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030A6">
      <w:pPr>
        <w:adjustRightInd w:val="0"/>
        <w:snapToGrid w:val="0"/>
        <w:ind w:firstLine="1440"/>
        <w:jc w:val="center"/>
        <w:outlineLvl w:val="0"/>
        <w:rPr>
          <w:rFonts w:ascii="方正小标宋_GBK" w:eastAsia="方正小标宋_GBK"/>
          <w:bCs/>
          <w:color w:val="auto"/>
          <w:sz w:val="72"/>
          <w:szCs w:val="72"/>
        </w:rPr>
      </w:pPr>
      <w:r>
        <w:rPr>
          <w:rFonts w:hint="eastAsia" w:ascii="方正小标宋_GBK" w:eastAsia="方正小标宋_GBK"/>
          <w:bCs/>
          <w:color w:val="auto"/>
          <w:sz w:val="72"/>
          <w:szCs w:val="72"/>
        </w:rPr>
        <w:t xml:space="preserve"> </w:t>
      </w:r>
    </w:p>
    <w:p w14:paraId="297E8BF5">
      <w:pPr>
        <w:adjustRightInd w:val="0"/>
        <w:snapToGrid w:val="0"/>
        <w:spacing w:line="240" w:lineRule="auto"/>
        <w:ind w:firstLine="0" w:firstLineChars="0"/>
        <w:jc w:val="center"/>
        <w:outlineLvl w:val="0"/>
        <w:rPr>
          <w:rFonts w:hint="eastAsia" w:ascii="宋体" w:hAnsi="宋体"/>
          <w:bCs/>
          <w:color w:val="auto"/>
          <w:sz w:val="72"/>
          <w:szCs w:val="72"/>
        </w:rPr>
      </w:pPr>
      <w:r>
        <w:rPr>
          <w:rFonts w:hint="eastAsia" w:ascii="宋体" w:hAnsi="宋体"/>
          <w:bCs/>
          <w:color w:val="auto"/>
          <w:sz w:val="72"/>
          <w:szCs w:val="72"/>
        </w:rPr>
        <w:t>建设项目生态环境影响</w:t>
      </w:r>
    </w:p>
    <w:p w14:paraId="4F62792F">
      <w:pPr>
        <w:adjustRightInd w:val="0"/>
        <w:snapToGrid w:val="0"/>
        <w:spacing w:line="240" w:lineRule="auto"/>
        <w:ind w:firstLine="0" w:firstLineChars="0"/>
        <w:jc w:val="center"/>
        <w:outlineLvl w:val="0"/>
        <w:rPr>
          <w:rFonts w:ascii="宋体" w:hAnsi="宋体"/>
          <w:bCs/>
          <w:color w:val="auto"/>
          <w:sz w:val="72"/>
          <w:szCs w:val="72"/>
        </w:rPr>
      </w:pPr>
      <w:r>
        <w:rPr>
          <w:rFonts w:hint="eastAsia" w:ascii="宋体" w:hAnsi="宋体"/>
          <w:bCs/>
          <w:color w:val="auto"/>
          <w:sz w:val="72"/>
          <w:szCs w:val="72"/>
        </w:rPr>
        <w:t>报告表</w:t>
      </w:r>
    </w:p>
    <w:p w14:paraId="5A4B60F4">
      <w:pPr>
        <w:keepNext w:val="0"/>
        <w:keepLines w:val="0"/>
        <w:pageBreakBefore w:val="0"/>
        <w:widowControl w:val="0"/>
        <w:kinsoku/>
        <w:wordWrap/>
        <w:overflowPunct/>
        <w:topLinePunct w:val="0"/>
        <w:autoSpaceDE/>
        <w:autoSpaceDN/>
        <w:bidi w:val="0"/>
        <w:adjustRightInd w:val="0"/>
        <w:snapToGrid w:val="0"/>
        <w:spacing w:before="192" w:beforeLines="80"/>
        <w:ind w:firstLine="0" w:firstLineChars="0"/>
        <w:jc w:val="center"/>
        <w:textAlignment w:val="auto"/>
        <w:rPr>
          <w:rFonts w:hint="eastAsia" w:ascii="宋体" w:hAnsi="宋体" w:eastAsia="宋体"/>
          <w:bCs/>
          <w:color w:val="auto"/>
          <w:sz w:val="48"/>
          <w:szCs w:val="48"/>
          <w:lang w:eastAsia="zh-CN"/>
        </w:rPr>
      </w:pPr>
      <w:r>
        <w:rPr>
          <w:rFonts w:hint="eastAsia" w:ascii="宋体" w:hAnsi="宋体"/>
          <w:bCs/>
          <w:color w:val="auto"/>
          <w:sz w:val="48"/>
          <w:szCs w:val="48"/>
          <w:lang w:eastAsia="zh-CN"/>
        </w:rPr>
        <w:t>（</w:t>
      </w:r>
      <w:r>
        <w:rPr>
          <w:rFonts w:hint="eastAsia" w:ascii="宋体" w:hAnsi="宋体"/>
          <w:bCs/>
          <w:color w:val="auto"/>
          <w:sz w:val="48"/>
          <w:szCs w:val="48"/>
        </w:rPr>
        <w:t>生态影响类</w:t>
      </w:r>
      <w:r>
        <w:rPr>
          <w:rFonts w:hint="eastAsia" w:ascii="宋体" w:hAnsi="宋体"/>
          <w:bCs/>
          <w:color w:val="auto"/>
          <w:sz w:val="48"/>
          <w:szCs w:val="48"/>
          <w:lang w:eastAsia="zh-CN"/>
        </w:rPr>
        <w:t>）</w:t>
      </w:r>
    </w:p>
    <w:p w14:paraId="350F1507">
      <w:pPr>
        <w:adjustRightInd w:val="0"/>
        <w:snapToGrid w:val="0"/>
        <w:spacing w:line="288" w:lineRule="auto"/>
        <w:ind w:firstLine="720"/>
        <w:rPr>
          <w:rFonts w:ascii="宋体" w:hAnsi="宋体"/>
          <w:color w:val="auto"/>
          <w:sz w:val="36"/>
          <w:szCs w:val="36"/>
        </w:rPr>
      </w:pPr>
    </w:p>
    <w:p w14:paraId="4EA3F831">
      <w:pPr>
        <w:adjustRightInd w:val="0"/>
        <w:snapToGrid w:val="0"/>
        <w:spacing w:line="288" w:lineRule="auto"/>
        <w:ind w:firstLine="720"/>
        <w:rPr>
          <w:rFonts w:ascii="宋体" w:hAnsi="宋体"/>
          <w:color w:val="auto"/>
          <w:sz w:val="36"/>
          <w:szCs w:val="36"/>
        </w:rPr>
      </w:pPr>
    </w:p>
    <w:p w14:paraId="330EA947">
      <w:pPr>
        <w:pStyle w:val="27"/>
        <w:rPr>
          <w:rFonts w:ascii="宋体" w:hAnsi="宋体"/>
          <w:color w:val="auto"/>
          <w:sz w:val="36"/>
          <w:szCs w:val="36"/>
        </w:rPr>
      </w:pPr>
    </w:p>
    <w:p w14:paraId="6AD2388C">
      <w:pPr>
        <w:pStyle w:val="26"/>
        <w:rPr>
          <w:rFonts w:ascii="宋体" w:hAnsi="宋体"/>
          <w:color w:val="auto"/>
          <w:sz w:val="36"/>
          <w:szCs w:val="36"/>
        </w:rPr>
      </w:pPr>
    </w:p>
    <w:p w14:paraId="1CEFF6FA">
      <w:pPr>
        <w:pStyle w:val="27"/>
        <w:rPr>
          <w:rFonts w:ascii="宋体" w:hAnsi="宋体"/>
          <w:color w:val="auto"/>
          <w:sz w:val="36"/>
          <w:szCs w:val="36"/>
        </w:rPr>
      </w:pPr>
    </w:p>
    <w:p w14:paraId="687BDA94">
      <w:pPr>
        <w:adjustRightInd w:val="0"/>
        <w:snapToGrid w:val="0"/>
        <w:ind w:firstLine="0" w:firstLineChars="0"/>
        <w:rPr>
          <w:rFonts w:ascii="宋体" w:hAnsi="宋体"/>
          <w:color w:val="auto"/>
          <w:sz w:val="36"/>
          <w:szCs w:val="36"/>
          <w:u w:val="single"/>
        </w:rPr>
      </w:pPr>
      <w:r>
        <w:rPr>
          <w:rFonts w:hint="eastAsia" w:ascii="宋体" w:hAnsi="宋体"/>
          <w:color w:val="auto"/>
          <w:sz w:val="36"/>
          <w:szCs w:val="36"/>
        </w:rPr>
        <w:t>项目名称：</w:t>
      </w:r>
      <w:r>
        <w:rPr>
          <w:rFonts w:hint="eastAsia" w:ascii="宋体" w:hAnsi="宋体" w:eastAsia="宋体" w:cs="Times New Roman"/>
          <w:color w:val="auto"/>
          <w:spacing w:val="-11"/>
          <w:sz w:val="36"/>
          <w:szCs w:val="36"/>
          <w:u w:val="single"/>
          <w:lang w:val="en-US" w:eastAsia="zh-CN"/>
        </w:rPr>
        <w:t xml:space="preserve">  新疆和静县胡勒哈其北钴镍矿勘探      </w:t>
      </w:r>
    </w:p>
    <w:p w14:paraId="7FBCF470">
      <w:pPr>
        <w:keepNext w:val="0"/>
        <w:keepLines w:val="0"/>
        <w:pageBreakBefore w:val="0"/>
        <w:widowControl w:val="0"/>
        <w:kinsoku/>
        <w:wordWrap/>
        <w:overflowPunct/>
        <w:topLinePunct w:val="0"/>
        <w:autoSpaceDE/>
        <w:autoSpaceDN/>
        <w:bidi w:val="0"/>
        <w:adjustRightInd w:val="0"/>
        <w:snapToGrid w:val="0"/>
        <w:ind w:left="3240" w:hanging="3240" w:hangingChars="900"/>
        <w:textAlignment w:val="auto"/>
        <w:rPr>
          <w:rFonts w:ascii="宋体" w:hAnsi="宋体"/>
          <w:color w:val="auto"/>
          <w:sz w:val="36"/>
          <w:szCs w:val="36"/>
          <w:u w:val="thick"/>
        </w:rPr>
      </w:pPr>
      <w:r>
        <w:rPr>
          <w:rFonts w:hint="eastAsia" w:ascii="宋体" w:hAnsi="宋体"/>
          <w:color w:val="auto"/>
          <w:sz w:val="36"/>
          <w:szCs w:val="36"/>
        </w:rPr>
        <w:t>建设单位</w:t>
      </w:r>
      <w:r>
        <w:rPr>
          <w:rFonts w:hint="eastAsia" w:ascii="宋体" w:hAnsi="宋体"/>
          <w:color w:val="auto"/>
          <w:sz w:val="36"/>
          <w:szCs w:val="36"/>
          <w:lang w:eastAsia="zh-CN"/>
        </w:rPr>
        <w:t>（</w:t>
      </w:r>
      <w:r>
        <w:rPr>
          <w:rFonts w:hint="eastAsia" w:ascii="宋体" w:hAnsi="宋体"/>
          <w:color w:val="auto"/>
          <w:sz w:val="36"/>
          <w:szCs w:val="36"/>
        </w:rPr>
        <w:t>盖章</w:t>
      </w:r>
      <w:r>
        <w:rPr>
          <w:rFonts w:hint="eastAsia" w:ascii="宋体" w:hAnsi="宋体"/>
          <w:color w:val="auto"/>
          <w:sz w:val="36"/>
          <w:szCs w:val="36"/>
          <w:lang w:eastAsia="zh-CN"/>
        </w:rPr>
        <w:t>）</w:t>
      </w:r>
      <w:r>
        <w:rPr>
          <w:rFonts w:hint="eastAsia" w:ascii="宋体" w:hAnsi="宋体"/>
          <w:color w:val="auto"/>
          <w:sz w:val="36"/>
          <w:szCs w:val="36"/>
        </w:rPr>
        <w:t>：</w:t>
      </w:r>
      <w:r>
        <w:rPr>
          <w:rFonts w:hint="eastAsia" w:ascii="宋体" w:hAnsi="宋体"/>
          <w:color w:val="auto"/>
          <w:sz w:val="36"/>
          <w:szCs w:val="36"/>
          <w:u w:val="single"/>
          <w:lang w:val="en-US" w:eastAsia="zh-CN"/>
        </w:rPr>
        <w:t xml:space="preserve">  北京天承盛西矿业技术开发有限公司</w:t>
      </w:r>
      <w:r>
        <w:rPr>
          <w:rFonts w:ascii="宋体" w:hAnsi="宋体"/>
          <w:color w:val="auto"/>
          <w:sz w:val="36"/>
          <w:szCs w:val="36"/>
          <w:u w:val="single"/>
        </w:rPr>
        <w:t xml:space="preserve"> </w:t>
      </w:r>
      <w:r>
        <w:rPr>
          <w:rFonts w:hint="eastAsia" w:ascii="宋体" w:hAnsi="宋体"/>
          <w:color w:val="auto"/>
          <w:sz w:val="36"/>
          <w:szCs w:val="36"/>
          <w:u w:val="single"/>
          <w:lang w:val="en-US" w:eastAsia="zh-CN"/>
        </w:rPr>
        <w:t xml:space="preserve">                 </w:t>
      </w:r>
      <w:r>
        <w:rPr>
          <w:rFonts w:ascii="宋体" w:hAnsi="宋体"/>
          <w:color w:val="auto"/>
          <w:sz w:val="36"/>
          <w:szCs w:val="36"/>
          <w:u w:val="single"/>
        </w:rPr>
        <w:t xml:space="preserve">    </w:t>
      </w:r>
    </w:p>
    <w:p w14:paraId="2A277F7D">
      <w:pPr>
        <w:adjustRightInd w:val="0"/>
        <w:snapToGrid w:val="0"/>
        <w:ind w:firstLine="0" w:firstLineChars="0"/>
        <w:rPr>
          <w:rFonts w:hint="default" w:ascii="宋体" w:hAnsi="宋体" w:eastAsia="宋体"/>
          <w:color w:val="auto"/>
          <w:sz w:val="36"/>
          <w:szCs w:val="36"/>
          <w:u w:val="single"/>
          <w:lang w:val="en-US" w:eastAsia="zh-CN"/>
        </w:rPr>
      </w:pPr>
      <w:r>
        <w:rPr>
          <w:rFonts w:hint="eastAsia" w:ascii="宋体" w:hAnsi="宋体"/>
          <w:color w:val="auto"/>
          <w:sz w:val="36"/>
          <w:szCs w:val="36"/>
        </w:rPr>
        <w:t>编制日期：</w:t>
      </w:r>
      <w:r>
        <w:rPr>
          <w:rFonts w:hint="eastAsia" w:ascii="宋体" w:hAnsi="宋体"/>
          <w:color w:val="auto"/>
          <w:sz w:val="36"/>
          <w:szCs w:val="36"/>
          <w:u w:val="single"/>
          <w:lang w:val="en-US" w:eastAsia="zh-CN"/>
        </w:rPr>
        <w:t xml:space="preserve">         </w:t>
      </w:r>
      <w:r>
        <w:rPr>
          <w:rFonts w:hint="default" w:ascii="Times New Roman" w:hAnsi="Times New Roman" w:eastAsia="宋体" w:cs="Times New Roman"/>
          <w:color w:val="auto"/>
          <w:sz w:val="36"/>
          <w:szCs w:val="36"/>
          <w:u w:val="single"/>
          <w:lang w:val="en-US" w:eastAsia="zh-CN"/>
        </w:rPr>
        <w:t xml:space="preserve"> 202</w:t>
      </w:r>
      <w:r>
        <w:rPr>
          <w:rFonts w:hint="eastAsia" w:ascii="Times New Roman" w:hAnsi="Times New Roman" w:eastAsia="宋体" w:cs="Times New Roman"/>
          <w:color w:val="auto"/>
          <w:sz w:val="36"/>
          <w:szCs w:val="36"/>
          <w:u w:val="single"/>
          <w:lang w:val="en-US" w:eastAsia="zh-CN"/>
        </w:rPr>
        <w:t>6</w:t>
      </w:r>
      <w:r>
        <w:rPr>
          <w:rFonts w:hint="default" w:ascii="Times New Roman" w:hAnsi="Times New Roman" w:eastAsia="宋体" w:cs="Times New Roman"/>
          <w:color w:val="auto"/>
          <w:sz w:val="36"/>
          <w:szCs w:val="36"/>
          <w:u w:val="single"/>
          <w:lang w:val="en-US" w:eastAsia="zh-CN"/>
        </w:rPr>
        <w:t>年</w:t>
      </w:r>
      <w:r>
        <w:rPr>
          <w:rFonts w:hint="eastAsia" w:cs="Times New Roman"/>
          <w:color w:val="auto"/>
          <w:sz w:val="36"/>
          <w:szCs w:val="36"/>
          <w:u w:val="single"/>
          <w:lang w:val="en-US" w:eastAsia="zh-CN"/>
        </w:rPr>
        <w:t>9</w:t>
      </w:r>
      <w:r>
        <w:rPr>
          <w:rFonts w:hint="default" w:ascii="Times New Roman" w:hAnsi="Times New Roman" w:eastAsia="宋体" w:cs="Times New Roman"/>
          <w:color w:val="auto"/>
          <w:sz w:val="36"/>
          <w:szCs w:val="36"/>
          <w:u w:val="single"/>
          <w:lang w:val="en-US" w:eastAsia="zh-CN"/>
        </w:rPr>
        <w:t>月</w:t>
      </w:r>
      <w:r>
        <w:rPr>
          <w:rFonts w:hint="default" w:ascii="Times New Roman" w:hAnsi="Times New Roman" w:eastAsia="宋体" w:cs="Times New Roman"/>
          <w:color w:val="auto"/>
          <w:sz w:val="36"/>
          <w:szCs w:val="36"/>
          <w:u w:val="single"/>
        </w:rPr>
        <w:t xml:space="preserve"> </w:t>
      </w:r>
      <w:r>
        <w:rPr>
          <w:rFonts w:hint="default" w:ascii="Times New Roman" w:hAnsi="Times New Roman" w:cs="Times New Roman"/>
          <w:color w:val="auto"/>
          <w:sz w:val="36"/>
          <w:szCs w:val="36"/>
          <w:u w:val="single"/>
        </w:rPr>
        <w:t xml:space="preserve">  </w:t>
      </w:r>
      <w:r>
        <w:rPr>
          <w:rFonts w:hint="eastAsia" w:ascii="宋体" w:hAnsi="宋体"/>
          <w:color w:val="auto"/>
          <w:sz w:val="36"/>
          <w:szCs w:val="36"/>
          <w:u w:val="single"/>
        </w:rPr>
        <w:t xml:space="preserve"> </w:t>
      </w:r>
      <w:r>
        <w:rPr>
          <w:rFonts w:ascii="宋体" w:hAnsi="宋体"/>
          <w:color w:val="auto"/>
          <w:sz w:val="36"/>
          <w:szCs w:val="36"/>
          <w:u w:val="single"/>
        </w:rPr>
        <w:t xml:space="preserve">            </w:t>
      </w:r>
    </w:p>
    <w:p w14:paraId="354ECDD6">
      <w:pPr>
        <w:adjustRightInd w:val="0"/>
        <w:snapToGrid w:val="0"/>
        <w:spacing w:line="288" w:lineRule="auto"/>
        <w:ind w:firstLine="720"/>
        <w:rPr>
          <w:rFonts w:ascii="仿宋_GB2312" w:eastAsia="仿宋_GB2312"/>
          <w:color w:val="auto"/>
          <w:sz w:val="36"/>
          <w:szCs w:val="36"/>
          <w:u w:val="single"/>
        </w:rPr>
      </w:pPr>
    </w:p>
    <w:p w14:paraId="70B89DF9">
      <w:pPr>
        <w:adjustRightInd w:val="0"/>
        <w:snapToGrid w:val="0"/>
        <w:spacing w:line="288" w:lineRule="auto"/>
        <w:ind w:firstLine="720"/>
        <w:rPr>
          <w:rFonts w:ascii="仿宋_GB2312" w:eastAsia="仿宋_GB2312"/>
          <w:color w:val="auto"/>
          <w:sz w:val="36"/>
          <w:szCs w:val="36"/>
        </w:rPr>
      </w:pPr>
    </w:p>
    <w:p w14:paraId="310C0455">
      <w:pPr>
        <w:adjustRightInd w:val="0"/>
        <w:snapToGrid w:val="0"/>
        <w:spacing w:line="288" w:lineRule="auto"/>
        <w:ind w:firstLine="720"/>
        <w:rPr>
          <w:rFonts w:hint="eastAsia" w:ascii="仿宋_GB2312" w:eastAsia="仿宋_GB2312"/>
          <w:color w:val="auto"/>
          <w:sz w:val="36"/>
          <w:szCs w:val="36"/>
        </w:rPr>
      </w:pPr>
    </w:p>
    <w:p w14:paraId="7B1F1E20">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ascii="楷体_GB2312" w:eastAsia="楷体_GB2312"/>
          <w:color w:val="auto"/>
          <w:sz w:val="36"/>
          <w:szCs w:val="36"/>
        </w:rPr>
      </w:pPr>
      <w:r>
        <w:rPr>
          <w:rFonts w:hint="eastAsia" w:ascii="楷体_GB2312" w:eastAsia="楷体_GB2312"/>
          <w:color w:val="auto"/>
          <w:sz w:val="36"/>
          <w:szCs w:val="36"/>
        </w:rPr>
        <w:t>中华人民共和国生态环境部制</w:t>
      </w:r>
    </w:p>
    <w:p w14:paraId="25A50129">
      <w:pPr>
        <w:adjustRightInd w:val="0"/>
        <w:snapToGrid w:val="0"/>
        <w:spacing w:line="288" w:lineRule="auto"/>
        <w:ind w:firstLine="720"/>
        <w:rPr>
          <w:rFonts w:ascii="仿宋_GB2312" w:eastAsia="仿宋_GB2312"/>
          <w:color w:val="auto"/>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1077" w:gutter="0"/>
          <w:pgBorders>
            <w:top w:val="none" w:sz="0" w:space="0"/>
            <w:left w:val="none" w:sz="0" w:space="0"/>
            <w:bottom w:val="none" w:sz="0" w:space="0"/>
            <w:right w:val="none" w:sz="0" w:space="0"/>
          </w:pgBorders>
          <w:pgNumType w:start="3"/>
          <w:cols w:space="720" w:num="1"/>
          <w:rtlGutter w:val="0"/>
          <w:docGrid w:linePitch="312" w:charSpace="0"/>
        </w:sectPr>
      </w:pPr>
    </w:p>
    <w:p w14:paraId="5AC6E44B">
      <w:pPr>
        <w:pStyle w:val="2"/>
        <w:rPr>
          <w:rFonts w:hint="eastAsia"/>
          <w:snapToGrid w:val="0"/>
          <w:color w:val="auto"/>
        </w:rPr>
      </w:pPr>
      <w:r>
        <w:rPr>
          <w:rFonts w:hint="eastAsia"/>
          <w:snapToGrid w:val="0"/>
          <w:color w:val="auto"/>
        </w:rPr>
        <w:t>一、建设项目基本情况</w:t>
      </w:r>
    </w:p>
    <w:tbl>
      <w:tblPr>
        <w:tblStyle w:val="28"/>
        <w:tblW w:w="91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24"/>
        <w:gridCol w:w="1839"/>
        <w:gridCol w:w="1756"/>
        <w:gridCol w:w="2212"/>
        <w:gridCol w:w="2884"/>
      </w:tblGrid>
      <w:tr w14:paraId="10069A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2D7D0BA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建设项目名称</w:t>
            </w:r>
          </w:p>
        </w:tc>
        <w:tc>
          <w:tcPr>
            <w:tcW w:w="6852" w:type="dxa"/>
            <w:gridSpan w:val="3"/>
            <w:noWrap w:val="0"/>
            <w:vAlign w:val="center"/>
          </w:tcPr>
          <w:p w14:paraId="421B322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新疆和静县胡勒哈其北钴镍矿勘探</w:t>
            </w:r>
          </w:p>
        </w:tc>
      </w:tr>
      <w:tr w14:paraId="7BB01D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342A3CC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项目代码</w:t>
            </w:r>
          </w:p>
        </w:tc>
        <w:tc>
          <w:tcPr>
            <w:tcW w:w="6852" w:type="dxa"/>
            <w:gridSpan w:val="3"/>
            <w:noWrap w:val="0"/>
            <w:vAlign w:val="center"/>
          </w:tcPr>
          <w:p w14:paraId="30A4C7B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eastAsia"/>
                <w:lang w:val="en-US" w:eastAsia="zh-CN"/>
              </w:rPr>
              <w:t>无</w:t>
            </w:r>
          </w:p>
        </w:tc>
      </w:tr>
      <w:tr w14:paraId="54D25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43EB8FF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建设单位联系人</w:t>
            </w:r>
          </w:p>
        </w:tc>
        <w:tc>
          <w:tcPr>
            <w:tcW w:w="1756" w:type="dxa"/>
            <w:noWrap w:val="0"/>
            <w:vAlign w:val="center"/>
          </w:tcPr>
          <w:p w14:paraId="51D376A7">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sz w:val="24"/>
                <w:szCs w:val="28"/>
                <w:lang w:val="en-US" w:eastAsia="zh-CN"/>
              </w:rPr>
            </w:pPr>
          </w:p>
        </w:tc>
        <w:tc>
          <w:tcPr>
            <w:tcW w:w="2212" w:type="dxa"/>
            <w:noWrap w:val="0"/>
            <w:vAlign w:val="center"/>
          </w:tcPr>
          <w:p w14:paraId="33947C75">
            <w:pPr>
              <w:pStyle w:val="68"/>
              <w:keepNext w:val="0"/>
              <w:keepLines w:val="0"/>
              <w:suppressLineNumbers w:val="0"/>
              <w:spacing w:before="0" w:beforeAutospacing="0" w:after="0" w:afterAutospacing="0"/>
              <w:ind w:right="0"/>
              <w:rPr>
                <w:rFonts w:hint="default" w:ascii="Times New Roman" w:hAnsi="Times New Roman" w:cs="Times New Roman"/>
                <w:color w:val="auto"/>
                <w:sz w:val="24"/>
                <w:szCs w:val="28"/>
              </w:rPr>
            </w:pPr>
            <w:r>
              <w:rPr>
                <w:rFonts w:hint="default" w:ascii="Times New Roman" w:hAnsi="Times New Roman" w:cs="Times New Roman"/>
                <w:color w:val="auto"/>
                <w:sz w:val="24"/>
                <w:szCs w:val="28"/>
              </w:rPr>
              <w:t>联系方式</w:t>
            </w:r>
          </w:p>
        </w:tc>
        <w:tc>
          <w:tcPr>
            <w:tcW w:w="2884" w:type="dxa"/>
            <w:noWrap w:val="0"/>
            <w:vAlign w:val="center"/>
          </w:tcPr>
          <w:p w14:paraId="04FFA67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lang w:val="en-US" w:eastAsia="zh-CN"/>
              </w:rPr>
            </w:pPr>
          </w:p>
        </w:tc>
      </w:tr>
      <w:tr w14:paraId="4D1D7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509FBB2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建设地点</w:t>
            </w:r>
          </w:p>
        </w:tc>
        <w:tc>
          <w:tcPr>
            <w:tcW w:w="6852" w:type="dxa"/>
            <w:gridSpan w:val="3"/>
            <w:noWrap w:val="0"/>
            <w:vAlign w:val="center"/>
          </w:tcPr>
          <w:p w14:paraId="660646A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rPr>
            </w:pPr>
          </w:p>
        </w:tc>
      </w:tr>
      <w:tr w14:paraId="7FCF7C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3AD9451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地理坐标</w:t>
            </w:r>
          </w:p>
        </w:tc>
        <w:tc>
          <w:tcPr>
            <w:tcW w:w="6852" w:type="dxa"/>
            <w:gridSpan w:val="3"/>
            <w:noWrap w:val="0"/>
            <w:vAlign w:val="center"/>
          </w:tcPr>
          <w:p w14:paraId="414FEB5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auto"/>
              </w:rPr>
            </w:pPr>
          </w:p>
        </w:tc>
      </w:tr>
      <w:tr w14:paraId="04799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263" w:type="dxa"/>
            <w:gridSpan w:val="2"/>
            <w:noWrap w:val="0"/>
            <w:tcMar>
              <w:top w:w="16" w:type="dxa"/>
              <w:left w:w="16" w:type="dxa"/>
              <w:right w:w="16" w:type="dxa"/>
            </w:tcMar>
            <w:vAlign w:val="center"/>
          </w:tcPr>
          <w:p w14:paraId="4CF93D9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建设项目</w:t>
            </w:r>
          </w:p>
          <w:p w14:paraId="6A9B3AE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color w:val="auto"/>
              </w:rPr>
              <w:t>行业类别</w:t>
            </w:r>
          </w:p>
        </w:tc>
        <w:tc>
          <w:tcPr>
            <w:tcW w:w="1756" w:type="dxa"/>
            <w:noWrap w:val="0"/>
            <w:vAlign w:val="center"/>
          </w:tcPr>
          <w:p w14:paraId="2C386CFD">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cs="Times New Roman"/>
                <w:bCs/>
                <w:color w:val="auto"/>
              </w:rPr>
              <w:t>四十六-</w:t>
            </w:r>
            <w:r>
              <w:rPr>
                <w:rFonts w:hint="default" w:ascii="Times New Roman" w:hAnsi="Times New Roman" w:cs="Times New Roman"/>
                <w:bCs/>
                <w:color w:val="auto"/>
              </w:rPr>
              <w:t>99、</w:t>
            </w:r>
            <w:r>
              <w:rPr>
                <w:rFonts w:hint="eastAsia" w:ascii="Times New Roman" w:hAnsi="Times New Roman" w:cs="Times New Roman"/>
                <w:bCs/>
                <w:color w:val="auto"/>
              </w:rPr>
              <w:t>陆地矿产资源地质</w:t>
            </w:r>
            <w:r>
              <w:rPr>
                <w:rFonts w:hint="eastAsia" w:ascii="Times New Roman" w:hAnsi="Times New Roman" w:cs="Times New Roman"/>
                <w:bCs/>
                <w:color w:val="auto"/>
                <w:lang w:eastAsia="zh-CN"/>
              </w:rPr>
              <w:t>勘查</w:t>
            </w:r>
          </w:p>
        </w:tc>
        <w:tc>
          <w:tcPr>
            <w:tcW w:w="2212" w:type="dxa"/>
            <w:noWrap w:val="0"/>
            <w:vAlign w:val="center"/>
          </w:tcPr>
          <w:p w14:paraId="289FC374">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用地（用海）面积（m</w:t>
            </w:r>
            <w:r>
              <w:rPr>
                <w:rFonts w:hint="eastAsia" w:ascii="Times New Roman" w:hAnsi="Times New Roman" w:eastAsia="宋体" w:cs="Times New Roman"/>
                <w:color w:val="auto"/>
                <w:kern w:val="2"/>
                <w:sz w:val="24"/>
                <w:szCs w:val="24"/>
                <w:vertAlign w:val="superscript"/>
                <w:lang w:val="en-US" w:eastAsia="zh-CN" w:bidi="ar-SA"/>
              </w:rPr>
              <w:t>2</w:t>
            </w:r>
            <w:r>
              <w:rPr>
                <w:rFonts w:hint="eastAsia" w:ascii="Times New Roman" w:hAnsi="Times New Roman" w:eastAsia="宋体" w:cs="Times New Roman"/>
                <w:color w:val="auto"/>
                <w:kern w:val="2"/>
                <w:sz w:val="24"/>
                <w:szCs w:val="24"/>
                <w:lang w:val="en-US" w:eastAsia="zh-CN" w:bidi="ar-SA"/>
              </w:rPr>
              <w:t>）/长度（km）</w:t>
            </w:r>
          </w:p>
        </w:tc>
        <w:tc>
          <w:tcPr>
            <w:tcW w:w="2884" w:type="dxa"/>
            <w:noWrap w:val="0"/>
            <w:vAlign w:val="center"/>
          </w:tcPr>
          <w:p w14:paraId="3DD5E2DB">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勘查面积：</w:t>
            </w:r>
            <w:r>
              <w:rPr>
                <w:rFonts w:hint="eastAsia" w:cs="Times New Roman"/>
                <w:color w:val="auto"/>
                <w:lang w:val="en-US" w:eastAsia="zh-CN"/>
              </w:rPr>
              <w:t>1212</w:t>
            </w:r>
            <w:r>
              <w:rPr>
                <w:rFonts w:hint="eastAsia" w:ascii="Times New Roman" w:hAnsi="Times New Roman" w:cs="Times New Roman"/>
                <w:color w:val="auto"/>
                <w:lang w:val="en-US" w:eastAsia="zh-CN"/>
              </w:rPr>
              <w:t>0000</w:t>
            </w:r>
          </w:p>
          <w:p w14:paraId="32BCE36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highlight w:val="none"/>
                <w:lang w:val="en-US"/>
              </w:rPr>
            </w:pPr>
            <w:r>
              <w:rPr>
                <w:rFonts w:hint="default" w:ascii="Times New Roman" w:hAnsi="Times New Roman" w:cs="Times New Roman"/>
                <w:color w:val="auto"/>
                <w:highlight w:val="none"/>
                <w:lang w:val="en-US" w:eastAsia="zh-CN"/>
              </w:rPr>
              <w:t>临时用地：</w:t>
            </w: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5</w:t>
            </w:r>
            <w:r>
              <w:rPr>
                <w:rFonts w:hint="eastAsia" w:ascii="Times New Roman" w:hAnsi="Times New Roman" w:cs="Times New Roman"/>
                <w:color w:val="auto"/>
                <w:highlight w:val="none"/>
                <w:lang w:val="en-US" w:eastAsia="zh-CN"/>
              </w:rPr>
              <w:t>000</w:t>
            </w:r>
          </w:p>
          <w:p w14:paraId="1B9FFC0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lang w:val="en-US" w:eastAsia="zh-CN"/>
              </w:rPr>
            </w:pPr>
            <w:r>
              <w:rPr>
                <w:rFonts w:hint="eastAsia" w:ascii="Times New Roman" w:hAnsi="Times New Roman" w:cs="Times New Roman"/>
                <w:highlight w:val="none"/>
                <w:lang w:val="en-US" w:eastAsia="zh-CN"/>
              </w:rPr>
              <w:t>临时道路：5</w:t>
            </w:r>
          </w:p>
        </w:tc>
      </w:tr>
      <w:tr w14:paraId="689EC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263" w:type="dxa"/>
            <w:gridSpan w:val="2"/>
            <w:noWrap w:val="0"/>
            <w:tcMar>
              <w:top w:w="16" w:type="dxa"/>
              <w:left w:w="16" w:type="dxa"/>
              <w:right w:w="16" w:type="dxa"/>
            </w:tcMar>
            <w:vAlign w:val="center"/>
          </w:tcPr>
          <w:p w14:paraId="19A0BEE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建设性质</w:t>
            </w:r>
          </w:p>
        </w:tc>
        <w:tc>
          <w:tcPr>
            <w:tcW w:w="1756" w:type="dxa"/>
            <w:noWrap w:val="0"/>
            <w:vAlign w:val="center"/>
          </w:tcPr>
          <w:p w14:paraId="58AB05A0">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eastAsia="宋体" w:cs="Times New Roman"/>
                <w:color w:val="auto"/>
                <w:lang w:eastAsia="zh-CN"/>
              </w:rPr>
            </w:pPr>
            <w:r>
              <w:rPr>
                <w:rFonts w:hint="default" w:ascii="Times New Roman" w:hAnsi="Times New Roman" w:cs="Times New Roman"/>
                <w:color w:val="auto"/>
              </w:rPr>
              <w:sym w:font="Wingdings 2" w:char="0052"/>
            </w:r>
            <w:r>
              <w:rPr>
                <w:rFonts w:hint="default" w:ascii="Times New Roman" w:hAnsi="Times New Roman" w:cs="Times New Roman"/>
                <w:color w:val="auto"/>
              </w:rPr>
              <w:t>新建</w:t>
            </w:r>
            <w:r>
              <w:rPr>
                <w:rFonts w:hint="eastAsia" w:ascii="Times New Roman" w:hAnsi="Times New Roman" w:cs="Times New Roman"/>
                <w:color w:val="auto"/>
                <w:lang w:eastAsia="zh-CN"/>
              </w:rPr>
              <w:t>（</w:t>
            </w:r>
            <w:r>
              <w:rPr>
                <w:rFonts w:hint="default" w:ascii="Times New Roman" w:hAnsi="Times New Roman" w:cs="Times New Roman"/>
                <w:color w:val="auto"/>
              </w:rPr>
              <w:t>迁建</w:t>
            </w:r>
            <w:r>
              <w:rPr>
                <w:rFonts w:hint="eastAsia" w:ascii="Times New Roman" w:hAnsi="Times New Roman" w:cs="Times New Roman"/>
                <w:color w:val="auto"/>
                <w:lang w:eastAsia="zh-CN"/>
              </w:rPr>
              <w:t>）</w:t>
            </w:r>
          </w:p>
          <w:p w14:paraId="5237EC08">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F0A3"/>
            </w:r>
            <w:r>
              <w:rPr>
                <w:rFonts w:hint="default" w:ascii="Times New Roman" w:hAnsi="Times New Roman" w:cs="Times New Roman"/>
                <w:color w:val="auto"/>
              </w:rPr>
              <w:t>改建</w:t>
            </w:r>
          </w:p>
          <w:p w14:paraId="7574F173">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F0A3"/>
            </w:r>
            <w:r>
              <w:rPr>
                <w:rFonts w:hint="default" w:ascii="Times New Roman" w:hAnsi="Times New Roman" w:cs="Times New Roman"/>
                <w:color w:val="auto"/>
              </w:rPr>
              <w:t>扩建</w:t>
            </w:r>
          </w:p>
          <w:p w14:paraId="4D9C2077">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F0A3"/>
            </w:r>
            <w:r>
              <w:rPr>
                <w:rFonts w:hint="default" w:ascii="Times New Roman" w:hAnsi="Times New Roman" w:cs="Times New Roman"/>
                <w:color w:val="auto"/>
              </w:rPr>
              <w:t>技术改造</w:t>
            </w:r>
          </w:p>
        </w:tc>
        <w:tc>
          <w:tcPr>
            <w:tcW w:w="2212" w:type="dxa"/>
            <w:noWrap w:val="0"/>
            <w:vAlign w:val="center"/>
          </w:tcPr>
          <w:p w14:paraId="68C4F95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建设项目</w:t>
            </w:r>
          </w:p>
          <w:p w14:paraId="43FAD282">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申报情形</w:t>
            </w:r>
          </w:p>
        </w:tc>
        <w:tc>
          <w:tcPr>
            <w:tcW w:w="2884" w:type="dxa"/>
            <w:noWrap w:val="0"/>
            <w:vAlign w:val="center"/>
          </w:tcPr>
          <w:p w14:paraId="36CE0C60">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0052"/>
            </w:r>
            <w:r>
              <w:rPr>
                <w:rFonts w:hint="default" w:ascii="Times New Roman" w:hAnsi="Times New Roman" w:cs="Times New Roman"/>
                <w:color w:val="auto"/>
              </w:rPr>
              <w:t xml:space="preserve">首次申报项目             </w:t>
            </w:r>
          </w:p>
          <w:p w14:paraId="356C6111">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F0A3"/>
            </w:r>
            <w:r>
              <w:rPr>
                <w:rFonts w:hint="default" w:ascii="Times New Roman" w:hAnsi="Times New Roman" w:cs="Times New Roman"/>
                <w:color w:val="auto"/>
              </w:rPr>
              <w:t>不予批准后再次申报项目</w:t>
            </w:r>
          </w:p>
          <w:p w14:paraId="3C51BC49">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F0A3"/>
            </w:r>
            <w:r>
              <w:rPr>
                <w:rFonts w:hint="default" w:ascii="Times New Roman" w:hAnsi="Times New Roman" w:cs="Times New Roman"/>
                <w:color w:val="auto"/>
              </w:rPr>
              <w:t xml:space="preserve">超五年重新审核项目     </w:t>
            </w:r>
          </w:p>
          <w:p w14:paraId="7208E333">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rPr>
            </w:pPr>
            <w:r>
              <w:rPr>
                <w:rFonts w:hint="default" w:ascii="Times New Roman" w:hAnsi="Times New Roman" w:cs="Times New Roman"/>
                <w:color w:val="auto"/>
              </w:rPr>
              <w:sym w:font="Wingdings 2" w:char="00A3"/>
            </w:r>
            <w:r>
              <w:rPr>
                <w:rFonts w:hint="default" w:ascii="Times New Roman" w:hAnsi="Times New Roman" w:cs="Times New Roman"/>
                <w:color w:val="auto"/>
              </w:rPr>
              <w:t>重大变动重新报批项目</w:t>
            </w:r>
          </w:p>
        </w:tc>
      </w:tr>
      <w:tr w14:paraId="2EA340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263" w:type="dxa"/>
            <w:gridSpan w:val="2"/>
            <w:noWrap w:val="0"/>
            <w:tcMar>
              <w:top w:w="16" w:type="dxa"/>
              <w:left w:w="16" w:type="dxa"/>
              <w:right w:w="16" w:type="dxa"/>
            </w:tcMar>
            <w:vAlign w:val="center"/>
          </w:tcPr>
          <w:p w14:paraId="557111D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项目审批</w:t>
            </w:r>
            <w:r>
              <w:rPr>
                <w:rFonts w:hint="eastAsia" w:ascii="Times New Roman" w:hAnsi="Times New Roman" w:cs="Times New Roman"/>
                <w:color w:val="auto"/>
                <w:lang w:eastAsia="zh-CN"/>
              </w:rPr>
              <w:t>（</w:t>
            </w:r>
            <w:r>
              <w:rPr>
                <w:rFonts w:hint="default" w:ascii="Times New Roman" w:hAnsi="Times New Roman" w:cs="Times New Roman"/>
                <w:color w:val="auto"/>
              </w:rPr>
              <w:t>核准/</w:t>
            </w:r>
          </w:p>
          <w:p w14:paraId="2BF6A05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备案</w:t>
            </w:r>
            <w:r>
              <w:rPr>
                <w:rFonts w:hint="eastAsia" w:ascii="Times New Roman" w:hAnsi="Times New Roman" w:cs="Times New Roman"/>
                <w:color w:val="auto"/>
                <w:lang w:eastAsia="zh-CN"/>
              </w:rPr>
              <w:t>）</w:t>
            </w:r>
            <w:r>
              <w:rPr>
                <w:rFonts w:hint="default" w:ascii="Times New Roman" w:hAnsi="Times New Roman" w:cs="Times New Roman"/>
                <w:color w:val="auto"/>
              </w:rPr>
              <w:t>部门</w:t>
            </w:r>
            <w:r>
              <w:rPr>
                <w:rFonts w:hint="eastAsia" w:ascii="Times New Roman" w:hAnsi="Times New Roman" w:cs="Times New Roman"/>
                <w:color w:val="auto"/>
                <w:lang w:eastAsia="zh-CN"/>
              </w:rPr>
              <w:t>（</w:t>
            </w:r>
            <w:r>
              <w:rPr>
                <w:rFonts w:hint="default" w:ascii="Times New Roman" w:hAnsi="Times New Roman" w:cs="Times New Roman"/>
                <w:color w:val="auto"/>
              </w:rPr>
              <w:t>选填</w:t>
            </w:r>
            <w:r>
              <w:rPr>
                <w:rFonts w:hint="eastAsia" w:ascii="Times New Roman" w:hAnsi="Times New Roman" w:cs="Times New Roman"/>
                <w:color w:val="auto"/>
                <w:lang w:eastAsia="zh-CN"/>
              </w:rPr>
              <w:t>）</w:t>
            </w:r>
          </w:p>
        </w:tc>
        <w:tc>
          <w:tcPr>
            <w:tcW w:w="1756" w:type="dxa"/>
            <w:noWrap w:val="0"/>
            <w:vAlign w:val="center"/>
          </w:tcPr>
          <w:p w14:paraId="6FC82DA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eastAsia" w:ascii="Times New Roman" w:hAnsi="Times New Roman" w:cs="Times New Roman"/>
                <w:color w:val="auto"/>
              </w:rPr>
              <w:t>/</w:t>
            </w:r>
          </w:p>
        </w:tc>
        <w:tc>
          <w:tcPr>
            <w:tcW w:w="2212" w:type="dxa"/>
            <w:noWrap w:val="0"/>
            <w:vAlign w:val="center"/>
          </w:tcPr>
          <w:p w14:paraId="2535F01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项目审批</w:t>
            </w:r>
            <w:r>
              <w:rPr>
                <w:rFonts w:hint="eastAsia" w:ascii="Times New Roman" w:hAnsi="Times New Roman" w:cs="Times New Roman"/>
                <w:color w:val="auto"/>
                <w:lang w:eastAsia="zh-CN"/>
              </w:rPr>
              <w:t>（</w:t>
            </w:r>
            <w:r>
              <w:rPr>
                <w:rFonts w:hint="default" w:ascii="Times New Roman" w:hAnsi="Times New Roman" w:cs="Times New Roman"/>
                <w:color w:val="auto"/>
              </w:rPr>
              <w:t>核准/</w:t>
            </w:r>
          </w:p>
          <w:p w14:paraId="7DF4FD3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备案</w:t>
            </w:r>
            <w:r>
              <w:rPr>
                <w:rFonts w:hint="eastAsia" w:ascii="Times New Roman" w:hAnsi="Times New Roman" w:cs="Times New Roman"/>
                <w:color w:val="auto"/>
                <w:lang w:eastAsia="zh-CN"/>
              </w:rPr>
              <w:t>）</w:t>
            </w:r>
            <w:r>
              <w:rPr>
                <w:rFonts w:hint="default" w:ascii="Times New Roman" w:hAnsi="Times New Roman" w:cs="Times New Roman"/>
                <w:color w:val="auto"/>
              </w:rPr>
              <w:t>文号</w:t>
            </w:r>
            <w:r>
              <w:rPr>
                <w:rFonts w:hint="eastAsia" w:ascii="Times New Roman" w:hAnsi="Times New Roman" w:cs="Times New Roman"/>
                <w:color w:val="auto"/>
                <w:lang w:eastAsia="zh-CN"/>
              </w:rPr>
              <w:t>（</w:t>
            </w:r>
            <w:r>
              <w:rPr>
                <w:rFonts w:hint="default" w:ascii="Times New Roman" w:hAnsi="Times New Roman" w:cs="Times New Roman"/>
                <w:color w:val="auto"/>
              </w:rPr>
              <w:t>选填</w:t>
            </w:r>
            <w:r>
              <w:rPr>
                <w:rFonts w:hint="eastAsia" w:ascii="Times New Roman" w:hAnsi="Times New Roman" w:cs="Times New Roman"/>
                <w:color w:val="auto"/>
                <w:lang w:eastAsia="zh-CN"/>
              </w:rPr>
              <w:t>）</w:t>
            </w:r>
          </w:p>
        </w:tc>
        <w:tc>
          <w:tcPr>
            <w:tcW w:w="2884" w:type="dxa"/>
            <w:noWrap w:val="0"/>
            <w:vAlign w:val="center"/>
          </w:tcPr>
          <w:p w14:paraId="3AC7280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rPr>
            </w:pPr>
            <w:r>
              <w:rPr>
                <w:rFonts w:hint="default" w:ascii="Times New Roman" w:hAnsi="Times New Roman" w:cs="Times New Roman"/>
                <w:color w:val="auto"/>
              </w:rPr>
              <w:t>/</w:t>
            </w:r>
          </w:p>
        </w:tc>
      </w:tr>
      <w:tr w14:paraId="310D3C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67C775B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总投资</w:t>
            </w:r>
            <w:r>
              <w:rPr>
                <w:rFonts w:hint="eastAsia" w:ascii="Times New Roman" w:hAnsi="Times New Roman" w:cs="Times New Roman"/>
                <w:color w:val="auto"/>
                <w:lang w:eastAsia="zh-CN"/>
              </w:rPr>
              <w:t>（</w:t>
            </w:r>
            <w:r>
              <w:rPr>
                <w:rFonts w:hint="default" w:ascii="Times New Roman" w:hAnsi="Times New Roman" w:cs="Times New Roman"/>
                <w:color w:val="auto"/>
              </w:rPr>
              <w:t>万元</w:t>
            </w:r>
            <w:r>
              <w:rPr>
                <w:rFonts w:hint="eastAsia" w:ascii="Times New Roman" w:hAnsi="Times New Roman" w:cs="Times New Roman"/>
                <w:color w:val="auto"/>
                <w:lang w:eastAsia="zh-CN"/>
              </w:rPr>
              <w:t>）</w:t>
            </w:r>
          </w:p>
        </w:tc>
        <w:tc>
          <w:tcPr>
            <w:tcW w:w="1756" w:type="dxa"/>
            <w:noWrap w:val="0"/>
            <w:vAlign w:val="center"/>
          </w:tcPr>
          <w:p w14:paraId="48E9358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lang w:val="en-US" w:eastAsia="zh-CN"/>
              </w:rPr>
            </w:pPr>
          </w:p>
        </w:tc>
        <w:tc>
          <w:tcPr>
            <w:tcW w:w="2212" w:type="dxa"/>
            <w:noWrap w:val="0"/>
            <w:tcMar>
              <w:top w:w="16" w:type="dxa"/>
              <w:left w:w="16" w:type="dxa"/>
              <w:right w:w="16" w:type="dxa"/>
            </w:tcMar>
            <w:vAlign w:val="center"/>
          </w:tcPr>
          <w:p w14:paraId="5D0D5820">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环保投资</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万元</w:t>
            </w:r>
            <w:r>
              <w:rPr>
                <w:rFonts w:hint="eastAsia" w:ascii="Times New Roman" w:hAnsi="Times New Roman" w:cs="Times New Roman"/>
                <w:color w:val="auto"/>
                <w:highlight w:val="none"/>
                <w:lang w:eastAsia="zh-CN"/>
              </w:rPr>
              <w:t>）</w:t>
            </w:r>
          </w:p>
        </w:tc>
        <w:tc>
          <w:tcPr>
            <w:tcW w:w="2884" w:type="dxa"/>
            <w:noWrap w:val="0"/>
            <w:vAlign w:val="center"/>
          </w:tcPr>
          <w:p w14:paraId="1BC8023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lang w:val="en-US" w:eastAsia="zh-CN"/>
              </w:rPr>
            </w:pPr>
          </w:p>
        </w:tc>
      </w:tr>
      <w:tr w14:paraId="5CA2DA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503032B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环保投资占比</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eastAsia" w:ascii="Times New Roman" w:hAnsi="Times New Roman" w:cs="Times New Roman"/>
                <w:color w:val="auto"/>
                <w:lang w:eastAsia="zh-CN"/>
              </w:rPr>
              <w:t>）</w:t>
            </w:r>
          </w:p>
        </w:tc>
        <w:tc>
          <w:tcPr>
            <w:tcW w:w="1756" w:type="dxa"/>
            <w:noWrap w:val="0"/>
            <w:vAlign w:val="center"/>
          </w:tcPr>
          <w:p w14:paraId="7122B71D">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lang w:val="en-US" w:eastAsia="zh-CN"/>
              </w:rPr>
            </w:pPr>
          </w:p>
        </w:tc>
        <w:tc>
          <w:tcPr>
            <w:tcW w:w="2212" w:type="dxa"/>
            <w:noWrap w:val="0"/>
            <w:tcMar>
              <w:top w:w="16" w:type="dxa"/>
              <w:left w:w="16" w:type="dxa"/>
              <w:right w:w="16" w:type="dxa"/>
            </w:tcMar>
            <w:vAlign w:val="center"/>
          </w:tcPr>
          <w:p w14:paraId="4ADAF11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施工工期</w:t>
            </w:r>
          </w:p>
        </w:tc>
        <w:tc>
          <w:tcPr>
            <w:tcW w:w="2884" w:type="dxa"/>
            <w:noWrap w:val="0"/>
            <w:vAlign w:val="center"/>
          </w:tcPr>
          <w:p w14:paraId="16DA2A32">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highlight w:val="none"/>
                <w:lang w:val="en-US" w:eastAsia="zh-CN"/>
              </w:rPr>
            </w:pPr>
          </w:p>
        </w:tc>
      </w:tr>
      <w:tr w14:paraId="52081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3" w:type="dxa"/>
            <w:gridSpan w:val="2"/>
            <w:noWrap w:val="0"/>
            <w:tcMar>
              <w:top w:w="16" w:type="dxa"/>
              <w:left w:w="16" w:type="dxa"/>
              <w:right w:w="16" w:type="dxa"/>
            </w:tcMar>
            <w:vAlign w:val="center"/>
          </w:tcPr>
          <w:p w14:paraId="6D91342D">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是否开工建设</w:t>
            </w:r>
          </w:p>
        </w:tc>
        <w:tc>
          <w:tcPr>
            <w:tcW w:w="6852" w:type="dxa"/>
            <w:gridSpan w:val="3"/>
            <w:noWrap w:val="0"/>
            <w:vAlign w:val="center"/>
          </w:tcPr>
          <w:p w14:paraId="2F185322">
            <w:pPr>
              <w:keepNext w:val="0"/>
              <w:keepLines w:val="0"/>
              <w:suppressLineNumbers w:val="0"/>
              <w:adjustRightInd w:val="0"/>
              <w:snapToGrid w:val="0"/>
              <w:spacing w:before="0" w:beforeAutospacing="0" w:after="0" w:afterAutospacing="0" w:line="240" w:lineRule="auto"/>
              <w:ind w:left="0" w:right="0" w:firstLine="0" w:firstLineChars="0"/>
              <w:rPr>
                <w:rFonts w:hint="default" w:ascii="Times New Roman" w:hAnsi="Times New Roman" w:cs="Times New Roman"/>
                <w:color w:val="auto"/>
              </w:rPr>
            </w:pPr>
            <w:r>
              <w:rPr>
                <w:rFonts w:hint="default" w:ascii="Times New Roman" w:hAnsi="Times New Roman" w:cs="Times New Roman"/>
                <w:color w:val="auto"/>
              </w:rPr>
              <w:sym w:font="Wingdings 2" w:char="0052"/>
            </w:r>
            <w:r>
              <w:rPr>
                <w:rFonts w:hint="default" w:ascii="Times New Roman" w:hAnsi="Times New Roman" w:cs="Times New Roman"/>
                <w:color w:val="auto"/>
              </w:rPr>
              <w:t>否</w:t>
            </w:r>
          </w:p>
          <w:p w14:paraId="67254B86">
            <w:pPr>
              <w:keepNext w:val="0"/>
              <w:keepLines w:val="0"/>
              <w:suppressLineNumbers w:val="0"/>
              <w:adjustRightInd w:val="0"/>
              <w:snapToGrid w:val="0"/>
              <w:spacing w:before="0" w:beforeAutospacing="0" w:after="0" w:afterAutospacing="0" w:line="240" w:lineRule="auto"/>
              <w:ind w:left="0" w:right="0" w:firstLine="0" w:firstLineChars="0"/>
              <w:jc w:val="both"/>
              <w:rPr>
                <w:rFonts w:hint="default" w:ascii="Times New Roman" w:hAnsi="Times New Roman" w:cs="Times New Roman"/>
                <w:color w:val="auto"/>
              </w:rPr>
            </w:pPr>
            <w:r>
              <w:rPr>
                <w:rFonts w:hint="default" w:ascii="Times New Roman" w:hAnsi="Times New Roman" w:cs="Times New Roman"/>
                <w:color w:val="auto"/>
              </w:rPr>
              <w:sym w:font="Wingdings 2" w:char="F0A3"/>
            </w:r>
            <w:r>
              <w:rPr>
                <w:rFonts w:hint="default" w:ascii="Times New Roman" w:hAnsi="Times New Roman" w:cs="Times New Roman"/>
                <w:color w:val="auto"/>
              </w:rPr>
              <w:t>是：</w:t>
            </w:r>
            <w:r>
              <w:rPr>
                <w:rFonts w:hint="default" w:ascii="Times New Roman" w:hAnsi="Times New Roman" w:cs="Times New Roman"/>
                <w:color w:val="auto"/>
                <w:u w:val="single"/>
              </w:rPr>
              <w:t xml:space="preserve">         </w:t>
            </w:r>
          </w:p>
        </w:tc>
      </w:tr>
      <w:tr w14:paraId="68DA5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24" w:type="dxa"/>
            <w:noWrap w:val="0"/>
            <w:vAlign w:val="center"/>
          </w:tcPr>
          <w:p w14:paraId="4013364D">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t>专项评价设置情况</w:t>
            </w:r>
          </w:p>
        </w:tc>
        <w:tc>
          <w:tcPr>
            <w:tcW w:w="8691" w:type="dxa"/>
            <w:gridSpan w:val="4"/>
            <w:noWrap w:val="0"/>
            <w:vAlign w:val="center"/>
          </w:tcPr>
          <w:p w14:paraId="2DA75D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rPr>
            </w:pPr>
            <w:r>
              <w:rPr>
                <w:rFonts w:hint="eastAsia" w:ascii="宋体" w:hAnsi="宋体" w:eastAsia="宋体" w:cs="宋体"/>
                <w:color w:val="000000"/>
                <w:kern w:val="0"/>
                <w:sz w:val="24"/>
                <w:szCs w:val="24"/>
                <w:lang w:val="en-US" w:eastAsia="zh-CN" w:bidi="ar"/>
              </w:rPr>
              <w:t>根据《建设项目环境影响报告表编制技术指南（生态影响类）（试行）》的专项评价设置原则表：</w:t>
            </w:r>
          </w:p>
          <w:p w14:paraId="7C7D9F6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专项评价设置原则表</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800"/>
              <w:gridCol w:w="1593"/>
              <w:gridCol w:w="852"/>
            </w:tblGrid>
            <w:tr w14:paraId="6D3E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1FD7077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专项评价的类别</w:t>
                  </w:r>
                </w:p>
              </w:tc>
              <w:tc>
                <w:tcPr>
                  <w:tcW w:w="4800" w:type="dxa"/>
                  <w:noWrap w:val="0"/>
                  <w:vAlign w:val="center"/>
                </w:tcPr>
                <w:p w14:paraId="7DD41D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涉及项目类别</w:t>
                  </w:r>
                </w:p>
              </w:tc>
              <w:tc>
                <w:tcPr>
                  <w:tcW w:w="1593" w:type="dxa"/>
                  <w:noWrap w:val="0"/>
                  <w:vAlign w:val="center"/>
                </w:tcPr>
                <w:p w14:paraId="7BC3F10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项目情况</w:t>
                  </w:r>
                </w:p>
              </w:tc>
              <w:tc>
                <w:tcPr>
                  <w:tcW w:w="852" w:type="dxa"/>
                  <w:noWrap w:val="0"/>
                  <w:vAlign w:val="center"/>
                </w:tcPr>
                <w:p w14:paraId="47087C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是否做专项</w:t>
                  </w:r>
                </w:p>
              </w:tc>
            </w:tr>
            <w:tr w14:paraId="10BE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46AFFC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地表水</w:t>
                  </w:r>
                </w:p>
              </w:tc>
              <w:tc>
                <w:tcPr>
                  <w:tcW w:w="4800" w:type="dxa"/>
                  <w:noWrap w:val="0"/>
                  <w:vAlign w:val="center"/>
                </w:tcPr>
                <w:p w14:paraId="26EDCF6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水力发电：引水式发电、涉及调峰发电的项目；</w:t>
                  </w:r>
                </w:p>
                <w:p w14:paraId="36028C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人工湖、人工湿地：全部；</w:t>
                  </w:r>
                </w:p>
                <w:p w14:paraId="4F14F37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水库：全部；</w:t>
                  </w:r>
                </w:p>
                <w:p w14:paraId="40D917A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引水工程：全部（配套的管线工程等除外）；</w:t>
                  </w:r>
                </w:p>
                <w:p w14:paraId="5175FBD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防洪除涝工程：包含水库的项目；</w:t>
                  </w:r>
                </w:p>
                <w:p w14:paraId="6DAB39C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河湖整治：涉及清淤且底泥存在重金属污染的项目</w:t>
                  </w:r>
                </w:p>
              </w:tc>
              <w:tc>
                <w:tcPr>
                  <w:tcW w:w="1593" w:type="dxa"/>
                  <w:noWrap w:val="0"/>
                  <w:vAlign w:val="center"/>
                </w:tcPr>
                <w:p w14:paraId="06DD22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宋体" w:hAnsi="宋体" w:eastAsia="宋体" w:cs="宋体"/>
                      <w:b w:val="0"/>
                      <w:bCs w:val="0"/>
                      <w:color w:val="auto"/>
                      <w:kern w:val="0"/>
                      <w:sz w:val="21"/>
                      <w:szCs w:val="21"/>
                      <w:vertAlign w:val="baseline"/>
                      <w:lang w:val="en-US" w:eastAsia="zh-CN"/>
                    </w:rPr>
                  </w:pPr>
                  <w:r>
                    <w:rPr>
                      <w:rFonts w:hint="eastAsia" w:ascii="宋体" w:hAnsi="宋体" w:cs="宋体"/>
                      <w:b w:val="0"/>
                      <w:bCs w:val="0"/>
                      <w:color w:val="auto"/>
                      <w:kern w:val="0"/>
                      <w:sz w:val="21"/>
                      <w:szCs w:val="21"/>
                      <w:vertAlign w:val="baseline"/>
                      <w:lang w:val="en-US" w:eastAsia="zh-CN"/>
                    </w:rPr>
                    <w:t>本项目为陆地矿产资源地质勘查，不涉及地表水专项类别</w:t>
                  </w:r>
                </w:p>
              </w:tc>
              <w:tc>
                <w:tcPr>
                  <w:tcW w:w="852" w:type="dxa"/>
                  <w:noWrap w:val="0"/>
                  <w:vAlign w:val="center"/>
                </w:tcPr>
                <w:p w14:paraId="2219811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b w:val="0"/>
                      <w:bCs w:val="0"/>
                      <w:color w:val="auto"/>
                      <w:kern w:val="0"/>
                      <w:sz w:val="21"/>
                      <w:szCs w:val="21"/>
                      <w:vertAlign w:val="baseline"/>
                      <w:lang w:val="en-US" w:eastAsia="zh-CN"/>
                    </w:rPr>
                  </w:pPr>
                  <w:r>
                    <w:rPr>
                      <w:rFonts w:hint="eastAsia" w:ascii="宋体" w:hAnsi="宋体" w:cs="宋体"/>
                      <w:b w:val="0"/>
                      <w:bCs w:val="0"/>
                      <w:color w:val="auto"/>
                      <w:kern w:val="0"/>
                      <w:sz w:val="21"/>
                      <w:szCs w:val="21"/>
                      <w:vertAlign w:val="baseline"/>
                      <w:lang w:val="en-US" w:eastAsia="zh-CN"/>
                    </w:rPr>
                    <w:t>否</w:t>
                  </w:r>
                </w:p>
              </w:tc>
            </w:tr>
            <w:tr w14:paraId="58F0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6AEA2F3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地下水</w:t>
                  </w:r>
                </w:p>
              </w:tc>
              <w:tc>
                <w:tcPr>
                  <w:tcW w:w="4800" w:type="dxa"/>
                  <w:noWrap w:val="0"/>
                  <w:vAlign w:val="center"/>
                </w:tcPr>
                <w:p w14:paraId="54CCB0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陆地石油和天然气开采：全部；</w:t>
                  </w:r>
                </w:p>
                <w:p w14:paraId="10A464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地下水（含矿泉水）开采：全部；</w:t>
                  </w:r>
                </w:p>
                <w:p w14:paraId="165A8CA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水利、水电、交通等：含穿越可溶岩地层隧道的项目</w:t>
                  </w:r>
                </w:p>
              </w:tc>
              <w:tc>
                <w:tcPr>
                  <w:tcW w:w="1593" w:type="dxa"/>
                  <w:noWrap w:val="0"/>
                  <w:vAlign w:val="center"/>
                </w:tcPr>
                <w:p w14:paraId="4B6451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cs="宋体"/>
                      <w:b w:val="0"/>
                      <w:bCs w:val="0"/>
                      <w:color w:val="auto"/>
                      <w:kern w:val="0"/>
                      <w:sz w:val="21"/>
                      <w:szCs w:val="21"/>
                      <w:vertAlign w:val="baseline"/>
                      <w:lang w:val="en-US" w:eastAsia="zh-CN"/>
                    </w:rPr>
                    <w:t>本项目为陆地矿产资源地质勘查，不涉及地下水专项类别</w:t>
                  </w:r>
                </w:p>
              </w:tc>
              <w:tc>
                <w:tcPr>
                  <w:tcW w:w="852" w:type="dxa"/>
                  <w:noWrap w:val="0"/>
                  <w:vAlign w:val="center"/>
                </w:tcPr>
                <w:p w14:paraId="76DB94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sz w:val="21"/>
                      <w:szCs w:val="21"/>
                    </w:rPr>
                  </w:pPr>
                  <w:r>
                    <w:rPr>
                      <w:rFonts w:hint="eastAsia" w:ascii="宋体" w:hAnsi="宋体" w:cs="宋体"/>
                      <w:b w:val="0"/>
                      <w:bCs w:val="0"/>
                      <w:color w:val="auto"/>
                      <w:kern w:val="0"/>
                      <w:sz w:val="21"/>
                      <w:szCs w:val="21"/>
                      <w:vertAlign w:val="baseline"/>
                      <w:lang w:val="en-US" w:eastAsia="zh-CN"/>
                    </w:rPr>
                    <w:t>否</w:t>
                  </w:r>
                </w:p>
              </w:tc>
            </w:tr>
            <w:tr w14:paraId="57F3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06E935C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生态</w:t>
                  </w:r>
                </w:p>
              </w:tc>
              <w:tc>
                <w:tcPr>
                  <w:tcW w:w="4800" w:type="dxa"/>
                  <w:noWrap w:val="0"/>
                  <w:vAlign w:val="center"/>
                </w:tcPr>
                <w:p w14:paraId="78A601D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涉及环境敏感区（不包括饮用水水源保护区，以居住、医疗卫生、文化教育、科研、行政办公为主要功能的区域，以及文物保护单位）的项目</w:t>
                  </w:r>
                </w:p>
              </w:tc>
              <w:tc>
                <w:tcPr>
                  <w:tcW w:w="1593" w:type="dxa"/>
                  <w:noWrap w:val="0"/>
                  <w:vAlign w:val="center"/>
                </w:tcPr>
                <w:p w14:paraId="6821E4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宋体" w:hAnsi="宋体" w:eastAsia="宋体" w:cs="宋体"/>
                      <w:b w:val="0"/>
                      <w:bCs w:val="0"/>
                      <w:color w:val="auto"/>
                      <w:kern w:val="0"/>
                      <w:sz w:val="21"/>
                      <w:szCs w:val="21"/>
                      <w:vertAlign w:val="baseline"/>
                      <w:lang w:val="en-US" w:eastAsia="zh-CN"/>
                    </w:rPr>
                  </w:pPr>
                  <w:r>
                    <w:rPr>
                      <w:rFonts w:hint="eastAsia" w:ascii="宋体" w:hAnsi="宋体" w:cs="宋体"/>
                      <w:b w:val="0"/>
                      <w:bCs w:val="0"/>
                      <w:color w:val="auto"/>
                      <w:kern w:val="0"/>
                      <w:sz w:val="21"/>
                      <w:szCs w:val="21"/>
                      <w:vertAlign w:val="baseline"/>
                      <w:lang w:val="en-US" w:eastAsia="zh-CN"/>
                    </w:rPr>
                    <w:t>本项目为陆地矿产资源地质勘查，周围不涉及</w:t>
                  </w:r>
                  <w:r>
                    <w:rPr>
                      <w:rFonts w:hint="eastAsia" w:ascii="宋体" w:hAnsi="宋体" w:eastAsia="宋体" w:cs="宋体"/>
                      <w:b w:val="0"/>
                      <w:bCs w:val="0"/>
                      <w:color w:val="auto"/>
                      <w:kern w:val="0"/>
                      <w:sz w:val="21"/>
                      <w:szCs w:val="21"/>
                      <w:vertAlign w:val="baseline"/>
                      <w:lang w:val="en-US" w:eastAsia="zh-CN"/>
                    </w:rPr>
                    <w:t>环境敏感区</w:t>
                  </w:r>
                </w:p>
              </w:tc>
              <w:tc>
                <w:tcPr>
                  <w:tcW w:w="852" w:type="dxa"/>
                  <w:noWrap w:val="0"/>
                  <w:vAlign w:val="center"/>
                </w:tcPr>
                <w:p w14:paraId="6ECA6E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cs="宋体"/>
                      <w:b w:val="0"/>
                      <w:bCs w:val="0"/>
                      <w:color w:val="auto"/>
                      <w:kern w:val="0"/>
                      <w:sz w:val="21"/>
                      <w:szCs w:val="21"/>
                      <w:vertAlign w:val="baseline"/>
                      <w:lang w:val="en-US" w:eastAsia="zh-CN"/>
                    </w:rPr>
                    <w:t>否</w:t>
                  </w:r>
                </w:p>
              </w:tc>
            </w:tr>
            <w:tr w14:paraId="1BA0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783F88F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大气</w:t>
                  </w:r>
                </w:p>
              </w:tc>
              <w:tc>
                <w:tcPr>
                  <w:tcW w:w="4800" w:type="dxa"/>
                  <w:noWrap w:val="0"/>
                  <w:vAlign w:val="center"/>
                </w:tcPr>
                <w:p w14:paraId="01807F8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油气、液体化工码头：全部；</w:t>
                  </w:r>
                </w:p>
                <w:p w14:paraId="37AEE00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干散货（含煤炭、矿石）、件杂、多用途、通用码头：涉及粉尘、挥发性有机物排放的项目</w:t>
                  </w:r>
                </w:p>
              </w:tc>
              <w:tc>
                <w:tcPr>
                  <w:tcW w:w="1593" w:type="dxa"/>
                  <w:noWrap w:val="0"/>
                  <w:vAlign w:val="center"/>
                </w:tcPr>
                <w:p w14:paraId="776CC6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cs="宋体"/>
                      <w:b w:val="0"/>
                      <w:bCs w:val="0"/>
                      <w:color w:val="auto"/>
                      <w:kern w:val="0"/>
                      <w:sz w:val="21"/>
                      <w:szCs w:val="21"/>
                      <w:vertAlign w:val="baseline"/>
                      <w:lang w:val="en-US" w:eastAsia="zh-CN"/>
                    </w:rPr>
                    <w:t>本项目为陆地矿产资源地质勘查，不涉及地表水专项类别</w:t>
                  </w:r>
                </w:p>
              </w:tc>
              <w:tc>
                <w:tcPr>
                  <w:tcW w:w="852" w:type="dxa"/>
                  <w:noWrap w:val="0"/>
                  <w:vAlign w:val="center"/>
                </w:tcPr>
                <w:p w14:paraId="7483217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kern w:val="0"/>
                      <w:sz w:val="21"/>
                      <w:szCs w:val="21"/>
                      <w:vertAlign w:val="baseline"/>
                      <w:lang w:val="en-US" w:eastAsia="zh-CN"/>
                    </w:rPr>
                  </w:pPr>
                  <w:r>
                    <w:rPr>
                      <w:rFonts w:hint="eastAsia" w:ascii="宋体" w:hAnsi="宋体" w:cs="宋体"/>
                      <w:b w:val="0"/>
                      <w:bCs w:val="0"/>
                      <w:color w:val="auto"/>
                      <w:kern w:val="0"/>
                      <w:sz w:val="21"/>
                      <w:szCs w:val="21"/>
                      <w:vertAlign w:val="baseline"/>
                      <w:lang w:val="en-US" w:eastAsia="zh-CN"/>
                    </w:rPr>
                    <w:t>否</w:t>
                  </w:r>
                </w:p>
              </w:tc>
            </w:tr>
            <w:tr w14:paraId="2A42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20F5C29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噪声</w:t>
                  </w:r>
                </w:p>
              </w:tc>
              <w:tc>
                <w:tcPr>
                  <w:tcW w:w="4800" w:type="dxa"/>
                  <w:noWrap w:val="0"/>
                  <w:vAlign w:val="center"/>
                </w:tcPr>
                <w:p w14:paraId="6697BC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公路、铁路、机场等交通运输业涉及环境敏感区（以居住、医疗卫生、文化教育、科研、行政办公为主要功能的区域）的项目；城市道路（不含维护，不含支路、人行天桥、人行地道）：全部</w:t>
                  </w:r>
                </w:p>
              </w:tc>
              <w:tc>
                <w:tcPr>
                  <w:tcW w:w="1593" w:type="dxa"/>
                  <w:noWrap w:val="0"/>
                  <w:vAlign w:val="center"/>
                </w:tcPr>
                <w:p w14:paraId="0647D7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cs="宋体"/>
                      <w:b w:val="0"/>
                      <w:bCs w:val="0"/>
                      <w:color w:val="auto"/>
                      <w:kern w:val="0"/>
                      <w:sz w:val="21"/>
                      <w:szCs w:val="21"/>
                      <w:vertAlign w:val="baseline"/>
                      <w:lang w:val="en-US" w:eastAsia="zh-CN"/>
                    </w:rPr>
                    <w:t>本项目为陆地矿产资源地质勘查，不涉及</w:t>
                  </w:r>
                  <w:r>
                    <w:rPr>
                      <w:rFonts w:hint="eastAsia" w:ascii="宋体" w:hAnsi="宋体" w:eastAsia="宋体" w:cs="宋体"/>
                      <w:sz w:val="21"/>
                      <w:szCs w:val="21"/>
                      <w:lang w:val="en-US" w:eastAsia="zh-CN"/>
                    </w:rPr>
                    <w:t>噪声</w:t>
                  </w:r>
                  <w:r>
                    <w:rPr>
                      <w:rFonts w:hint="eastAsia" w:ascii="宋体" w:hAnsi="宋体" w:cs="宋体"/>
                      <w:b w:val="0"/>
                      <w:bCs w:val="0"/>
                      <w:color w:val="auto"/>
                      <w:kern w:val="0"/>
                      <w:sz w:val="21"/>
                      <w:szCs w:val="21"/>
                      <w:vertAlign w:val="baseline"/>
                      <w:lang w:val="en-US" w:eastAsia="zh-CN"/>
                    </w:rPr>
                    <w:t>专项类别</w:t>
                  </w:r>
                </w:p>
              </w:tc>
              <w:tc>
                <w:tcPr>
                  <w:tcW w:w="852" w:type="dxa"/>
                  <w:noWrap w:val="0"/>
                  <w:vAlign w:val="center"/>
                </w:tcPr>
                <w:p w14:paraId="74AED2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sz w:val="21"/>
                      <w:szCs w:val="21"/>
                    </w:rPr>
                  </w:pPr>
                  <w:r>
                    <w:rPr>
                      <w:rFonts w:hint="eastAsia" w:ascii="宋体" w:hAnsi="宋体" w:cs="宋体"/>
                      <w:b w:val="0"/>
                      <w:bCs w:val="0"/>
                      <w:color w:val="auto"/>
                      <w:kern w:val="0"/>
                      <w:sz w:val="21"/>
                      <w:szCs w:val="21"/>
                      <w:vertAlign w:val="baseline"/>
                      <w:lang w:val="en-US" w:eastAsia="zh-CN"/>
                    </w:rPr>
                    <w:t>否</w:t>
                  </w:r>
                </w:p>
              </w:tc>
            </w:tr>
            <w:tr w14:paraId="512D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noWrap w:val="0"/>
                  <w:vAlign w:val="center"/>
                </w:tcPr>
                <w:p w14:paraId="35A5581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环境风险</w:t>
                  </w:r>
                </w:p>
              </w:tc>
              <w:tc>
                <w:tcPr>
                  <w:tcW w:w="4800" w:type="dxa"/>
                  <w:noWrap w:val="0"/>
                  <w:vAlign w:val="center"/>
                </w:tcPr>
                <w:p w14:paraId="38F80D9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石油和天然气开采：全部；</w:t>
                  </w:r>
                </w:p>
                <w:p w14:paraId="28635B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油气、液体化工码头：全部；</w:t>
                  </w:r>
                </w:p>
                <w:p w14:paraId="24F515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原油、成品油、天然气管线（不含城镇天然气管线、企业厂区内管线），危险化学品输送管线（不含企业厂区内管线）：全部</w:t>
                  </w:r>
                </w:p>
              </w:tc>
              <w:tc>
                <w:tcPr>
                  <w:tcW w:w="1593" w:type="dxa"/>
                  <w:noWrap w:val="0"/>
                  <w:vAlign w:val="center"/>
                </w:tcPr>
                <w:p w14:paraId="306A14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宋体" w:hAnsi="宋体" w:eastAsia="宋体" w:cs="宋体"/>
                      <w:sz w:val="21"/>
                      <w:szCs w:val="21"/>
                    </w:rPr>
                  </w:pPr>
                  <w:r>
                    <w:rPr>
                      <w:rFonts w:hint="eastAsia" w:ascii="宋体" w:hAnsi="宋体" w:cs="宋体"/>
                      <w:b w:val="0"/>
                      <w:bCs w:val="0"/>
                      <w:color w:val="auto"/>
                      <w:kern w:val="0"/>
                      <w:sz w:val="21"/>
                      <w:szCs w:val="21"/>
                      <w:vertAlign w:val="baseline"/>
                      <w:lang w:val="en-US" w:eastAsia="zh-CN"/>
                    </w:rPr>
                    <w:t>本项目为陆地矿产资源地质勘查，不涉及</w:t>
                  </w:r>
                  <w:r>
                    <w:rPr>
                      <w:rFonts w:hint="eastAsia" w:ascii="宋体" w:hAnsi="宋体" w:eastAsia="宋体" w:cs="宋体"/>
                      <w:sz w:val="21"/>
                      <w:szCs w:val="21"/>
                    </w:rPr>
                    <w:t>环境风险</w:t>
                  </w:r>
                  <w:r>
                    <w:rPr>
                      <w:rFonts w:hint="eastAsia" w:ascii="宋体" w:hAnsi="宋体" w:cs="宋体"/>
                      <w:b w:val="0"/>
                      <w:bCs w:val="0"/>
                      <w:color w:val="auto"/>
                      <w:kern w:val="0"/>
                      <w:sz w:val="21"/>
                      <w:szCs w:val="21"/>
                      <w:vertAlign w:val="baseline"/>
                      <w:lang w:val="en-US" w:eastAsia="zh-CN"/>
                    </w:rPr>
                    <w:t>专项类别</w:t>
                  </w:r>
                </w:p>
              </w:tc>
              <w:tc>
                <w:tcPr>
                  <w:tcW w:w="852" w:type="dxa"/>
                  <w:noWrap w:val="0"/>
                  <w:vAlign w:val="center"/>
                </w:tcPr>
                <w:p w14:paraId="4B1BD5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sz w:val="21"/>
                      <w:szCs w:val="21"/>
                    </w:rPr>
                  </w:pPr>
                  <w:r>
                    <w:rPr>
                      <w:rFonts w:hint="eastAsia" w:ascii="宋体" w:hAnsi="宋体" w:cs="宋体"/>
                      <w:b w:val="0"/>
                      <w:bCs w:val="0"/>
                      <w:color w:val="auto"/>
                      <w:kern w:val="0"/>
                      <w:sz w:val="21"/>
                      <w:szCs w:val="21"/>
                      <w:vertAlign w:val="baseline"/>
                      <w:lang w:val="en-US" w:eastAsia="zh-CN"/>
                    </w:rPr>
                    <w:t>否</w:t>
                  </w:r>
                </w:p>
              </w:tc>
            </w:tr>
          </w:tbl>
          <w:p w14:paraId="1C331E25">
            <w:pPr>
              <w:keepNext w:val="0"/>
              <w:keepLines w:val="0"/>
              <w:suppressLineNumbers w:val="0"/>
              <w:autoSpaceDE w:val="0"/>
              <w:autoSpaceDN w:val="0"/>
              <w:adjustRightInd w:val="0"/>
              <w:snapToGrid w:val="0"/>
              <w:spacing w:before="0" w:beforeAutospacing="0" w:after="0" w:afterAutospacing="0"/>
              <w:ind w:left="0" w:right="0" w:firstLine="480"/>
              <w:jc w:val="both"/>
              <w:rPr>
                <w:rFonts w:hint="default" w:ascii="Times New Roman" w:hAnsi="Times New Roman" w:cs="Times New Roman"/>
                <w:color w:val="auto"/>
                <w:kern w:val="0"/>
              </w:rPr>
            </w:pPr>
            <w:r>
              <w:rPr>
                <w:rFonts w:hint="default" w:ascii="Times New Roman" w:hAnsi="Times New Roman" w:eastAsia="宋体" w:cs="Times New Roman"/>
                <w:color w:val="000000"/>
                <w:kern w:val="0"/>
                <w:sz w:val="24"/>
                <w:szCs w:val="24"/>
                <w:lang w:val="en-US" w:eastAsia="zh-CN" w:bidi="ar"/>
              </w:rPr>
              <w:t>根据上表分析，本项目为</w:t>
            </w:r>
            <w:r>
              <w:rPr>
                <w:rFonts w:hint="eastAsia" w:ascii="Times New Roman" w:hAnsi="Times New Roman" w:eastAsia="宋体" w:cs="Times New Roman"/>
                <w:color w:val="000000"/>
                <w:kern w:val="0"/>
                <w:sz w:val="24"/>
                <w:szCs w:val="24"/>
                <w:lang w:val="en-US" w:eastAsia="zh-CN" w:bidi="ar"/>
              </w:rPr>
              <w:t>“四十六、专业技术服务业-99、陆地矿产资源地质勘查”</w:t>
            </w:r>
            <w:r>
              <w:rPr>
                <w:rFonts w:hint="default" w:ascii="Times New Roman" w:hAnsi="Times New Roman" w:eastAsia="宋体" w:cs="Times New Roman"/>
                <w:color w:val="000000"/>
                <w:kern w:val="0"/>
                <w:sz w:val="24"/>
                <w:szCs w:val="24"/>
                <w:lang w:val="en-US" w:eastAsia="zh-CN" w:bidi="ar"/>
              </w:rPr>
              <w:t>，无需开展专项评价工作。</w:t>
            </w:r>
          </w:p>
        </w:tc>
      </w:tr>
      <w:tr w14:paraId="18699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424" w:type="dxa"/>
            <w:noWrap w:val="0"/>
            <w:vAlign w:val="center"/>
          </w:tcPr>
          <w:p w14:paraId="36E82765">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rPr>
              <w:t>规划情况</w:t>
            </w:r>
          </w:p>
        </w:tc>
        <w:tc>
          <w:tcPr>
            <w:tcW w:w="8691" w:type="dxa"/>
            <w:gridSpan w:val="4"/>
            <w:noWrap w:val="0"/>
            <w:vAlign w:val="center"/>
          </w:tcPr>
          <w:p w14:paraId="4DC1B2F9">
            <w:pPr>
              <w:keepNext w:val="0"/>
              <w:keepLines w:val="0"/>
              <w:numPr>
                <w:ilvl w:val="0"/>
                <w:numId w:val="0"/>
              </w:numPr>
              <w:suppressLineNumbers w:val="0"/>
              <w:autoSpaceDE w:val="0"/>
              <w:autoSpaceDN w:val="0"/>
              <w:adjustRightInd w:val="0"/>
              <w:snapToGrid w:val="0"/>
              <w:spacing w:before="0" w:beforeAutospacing="0" w:after="0" w:afterAutospacing="0"/>
              <w:ind w:left="0" w:leftChars="0" w:right="0" w:firstLine="0" w:firstLineChars="0"/>
              <w:jc w:val="both"/>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rPr>
              <w:t>《新疆维吾尔自治区矿产资源总体规划</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2021-2025</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p>
          <w:p w14:paraId="084050E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审批机关：自然资源部</w:t>
            </w:r>
          </w:p>
          <w:p w14:paraId="681C218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lang w:val="en-US" w:eastAsia="zh-CN"/>
              </w:rPr>
              <w:t>审批文件名称及文号：</w:t>
            </w:r>
            <w:r>
              <w:rPr>
                <w:rFonts w:hint="eastAsia" w:ascii="Times New Roman" w:hAnsi="Times New Roman" w:cs="Times New Roman"/>
                <w:lang w:val="en-US" w:eastAsia="zh-CN"/>
              </w:rPr>
              <w:t>《关于&lt;新疆维吾尔自治区矿产资源总体规划（2021-2025年）&gt;的审查意见》（</w:t>
            </w:r>
            <w:r>
              <w:rPr>
                <w:rFonts w:hint="default" w:ascii="Times New Roman" w:hAnsi="Times New Roman" w:eastAsia="宋体" w:cs="Times New Roman"/>
                <w:color w:val="auto"/>
                <w:lang w:val="en-US" w:eastAsia="zh-CN"/>
              </w:rPr>
              <w:t>自然资源函〔2022〕1092号</w:t>
            </w:r>
            <w:r>
              <w:rPr>
                <w:rFonts w:hint="eastAsia" w:ascii="Times New Roman" w:hAnsi="Times New Roman" w:eastAsia="宋体" w:cs="Times New Roman"/>
                <w:color w:val="auto"/>
                <w:lang w:val="en-US" w:eastAsia="zh-CN"/>
              </w:rPr>
              <w:t>）</w:t>
            </w:r>
          </w:p>
          <w:p w14:paraId="202C0A3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sz w:val="24"/>
                <w:szCs w:val="24"/>
                <w:lang w:val="en-US" w:eastAsia="zh-CN"/>
              </w:rPr>
              <w:t>《巴音郭楞蒙古自治州矿产资源总体规划</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2021-2025</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color w:val="auto"/>
                <w:lang w:val="en-US" w:eastAsia="zh-CN"/>
              </w:rPr>
              <w:t>巴州人民政府2022年12月发布</w:t>
            </w:r>
          </w:p>
          <w:p w14:paraId="1C0EE49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审批机关：</w:t>
            </w:r>
            <w:r>
              <w:rPr>
                <w:rFonts w:hint="eastAsia" w:ascii="Times New Roman" w:hAnsi="Times New Roman" w:cs="Times New Roman"/>
                <w:color w:val="auto"/>
                <w:highlight w:val="none"/>
                <w:lang w:val="en-US" w:eastAsia="zh-CN"/>
              </w:rPr>
              <w:t>巴州人民政府</w:t>
            </w:r>
          </w:p>
          <w:p w14:paraId="23929D1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审批文件名称及文号：/</w:t>
            </w:r>
          </w:p>
          <w:p w14:paraId="054D2249">
            <w:pPr>
              <w:keepNext w:val="0"/>
              <w:keepLines w:val="0"/>
              <w:numPr>
                <w:ilvl w:val="0"/>
                <w:numId w:val="0"/>
              </w:numPr>
              <w:suppressLineNumbers w:val="0"/>
              <w:autoSpaceDE w:val="0"/>
              <w:autoSpaceDN w:val="0"/>
              <w:adjustRightInd w:val="0"/>
              <w:snapToGrid w:val="0"/>
              <w:spacing w:before="0" w:beforeAutospacing="0" w:after="0" w:afterAutospacing="0"/>
              <w:ind w:left="0" w:leftChars="0" w:right="0" w:firstLine="0" w:firstLineChars="0"/>
              <w:jc w:val="both"/>
              <w:rPr>
                <w:rFonts w:hint="eastAsia" w:ascii="Times New Roman" w:hAnsi="Times New Roman" w:cs="Times New Roman"/>
                <w:color w:val="auto"/>
                <w:lang w:val="en-US" w:eastAsia="zh-CN"/>
              </w:rPr>
            </w:pPr>
            <w:r>
              <w:rPr>
                <w:rFonts w:hint="eastAsia" w:ascii="Times New Roman" w:hAnsi="Times New Roman" w:cs="Times New Roman"/>
                <w:color w:val="auto"/>
                <w:kern w:val="2"/>
                <w:sz w:val="24"/>
                <w:szCs w:val="24"/>
                <w:lang w:val="en-US" w:eastAsia="zh-CN" w:bidi="ar-SA"/>
              </w:rPr>
              <w:t>（3）</w:t>
            </w:r>
            <w:r>
              <w:rPr>
                <w:rFonts w:hint="default" w:ascii="Times New Roman" w:hAnsi="Times New Roman" w:eastAsia="宋体" w:cs="Times New Roman"/>
                <w:color w:val="auto"/>
                <w:sz w:val="24"/>
                <w:szCs w:val="24"/>
              </w:rPr>
              <w:t>《新疆维吾尔自治区</w:t>
            </w:r>
            <w:r>
              <w:rPr>
                <w:rFonts w:hint="eastAsia" w:ascii="Times New Roman" w:hAnsi="Times New Roman" w:eastAsia="宋体" w:cs="Times New Roman"/>
                <w:color w:val="auto"/>
                <w:sz w:val="24"/>
                <w:szCs w:val="24"/>
                <w:lang w:val="en-US" w:eastAsia="zh-CN"/>
              </w:rPr>
              <w:t>和静</w:t>
            </w:r>
            <w:r>
              <w:rPr>
                <w:rFonts w:hint="default" w:ascii="Times New Roman" w:hAnsi="Times New Roman" w:eastAsia="宋体" w:cs="Times New Roman"/>
                <w:color w:val="auto"/>
                <w:sz w:val="24"/>
                <w:szCs w:val="24"/>
                <w:lang w:val="en-US" w:eastAsia="zh-CN"/>
              </w:rPr>
              <w:t>县</w:t>
            </w:r>
            <w:r>
              <w:rPr>
                <w:rFonts w:hint="default" w:ascii="Times New Roman" w:hAnsi="Times New Roman" w:eastAsia="宋体" w:cs="Times New Roman"/>
                <w:color w:val="auto"/>
                <w:sz w:val="24"/>
                <w:szCs w:val="24"/>
              </w:rPr>
              <w:t>矿产资源总体规划</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2021-2025</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lang w:val="en-US" w:eastAsia="zh-CN"/>
              </w:rPr>
              <w:t>和静县人民政府2023年3月发布</w:t>
            </w:r>
          </w:p>
          <w:p w14:paraId="351F83F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审批机关：</w:t>
            </w:r>
            <w:r>
              <w:rPr>
                <w:rFonts w:hint="eastAsia" w:ascii="Times New Roman" w:hAnsi="Times New Roman" w:cs="Times New Roman"/>
                <w:color w:val="auto"/>
                <w:highlight w:val="none"/>
                <w:lang w:val="en-US" w:eastAsia="zh-CN"/>
              </w:rPr>
              <w:t>和静县人民政府</w:t>
            </w:r>
          </w:p>
          <w:p w14:paraId="0E3F440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审批文件名称及文号：/</w:t>
            </w:r>
          </w:p>
          <w:p w14:paraId="3A899CF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rightChars="0"/>
              <w:textAlignment w:val="auto"/>
              <w:rPr>
                <w:rFonts w:hint="eastAsia" w:cs="Times New Roman"/>
                <w:color w:val="auto"/>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（4）</w:t>
            </w:r>
            <w:r>
              <w:rPr>
                <w:rFonts w:hint="eastAsia" w:cs="Times New Roman"/>
                <w:color w:val="auto"/>
                <w:highlight w:val="none"/>
                <w:lang w:val="en-US" w:eastAsia="zh-CN"/>
              </w:rPr>
              <w:t>《和静县国土空间总体规划（2021—2035年）》</w:t>
            </w:r>
          </w:p>
          <w:p w14:paraId="63E2C35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审批机关：</w:t>
            </w:r>
            <w:r>
              <w:rPr>
                <w:rFonts w:hint="eastAsia" w:cs="Times New Roman"/>
                <w:color w:val="auto"/>
                <w:highlight w:val="none"/>
                <w:lang w:val="en-US" w:eastAsia="zh-CN"/>
              </w:rPr>
              <w:t>巴州人民政府</w:t>
            </w:r>
          </w:p>
          <w:p w14:paraId="4E66EDF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rightChars="0"/>
              <w:textAlignment w:val="auto"/>
              <w:rPr>
                <w:rFonts w:hint="default"/>
                <w:color w:val="auto"/>
                <w:highlight w:val="none"/>
              </w:rPr>
            </w:pPr>
            <w:r>
              <w:rPr>
                <w:rFonts w:hint="default" w:ascii="Times New Roman" w:hAnsi="Times New Roman" w:eastAsia="宋体" w:cs="Times New Roman"/>
                <w:color w:val="auto"/>
                <w:highlight w:val="none"/>
                <w:lang w:val="en-US" w:eastAsia="zh-CN"/>
              </w:rPr>
              <w:t>审批文件名称及文号：</w:t>
            </w:r>
            <w:r>
              <w:rPr>
                <w:rFonts w:hint="eastAsia" w:ascii="Times New Roman" w:hAnsi="Times New Roman" w:cs="Times New Roman"/>
                <w:color w:val="auto"/>
                <w:highlight w:val="none"/>
                <w:lang w:val="en-US" w:eastAsia="zh-CN"/>
              </w:rPr>
              <w:t>《关于&lt;</w:t>
            </w:r>
            <w:r>
              <w:rPr>
                <w:rFonts w:hint="eastAsia" w:cs="Times New Roman"/>
                <w:color w:val="auto"/>
                <w:highlight w:val="none"/>
                <w:lang w:val="en-US" w:eastAsia="zh-CN"/>
              </w:rPr>
              <w:t>和静县国土空间总体规划（2021—2035年）</w:t>
            </w:r>
            <w:r>
              <w:rPr>
                <w:rFonts w:hint="eastAsia" w:ascii="Times New Roman" w:hAnsi="Times New Roman" w:cs="Times New Roman"/>
                <w:color w:val="auto"/>
                <w:highlight w:val="none"/>
                <w:lang w:val="en-US" w:eastAsia="zh-CN"/>
              </w:rPr>
              <w:t>&gt;的审查意见》（</w:t>
            </w:r>
            <w:r>
              <w:rPr>
                <w:rFonts w:hint="eastAsia" w:cs="Times New Roman"/>
                <w:color w:val="auto"/>
                <w:highlight w:val="none"/>
                <w:lang w:val="en-US" w:eastAsia="zh-CN"/>
              </w:rPr>
              <w:t>巴政函</w:t>
            </w:r>
            <w:r>
              <w:rPr>
                <w:rFonts w:hint="default" w:ascii="Times New Roman" w:hAnsi="Times New Roman" w:eastAsia="宋体" w:cs="Times New Roman"/>
                <w:color w:val="auto"/>
                <w:highlight w:val="none"/>
                <w:lang w:val="en-US" w:eastAsia="zh-CN"/>
              </w:rPr>
              <w:t>〔202</w:t>
            </w:r>
            <w:r>
              <w:rPr>
                <w:rFonts w:hint="eastAsia" w:cs="Times New Roman"/>
                <w:color w:val="auto"/>
                <w:highlight w:val="none"/>
                <w:lang w:val="en-US" w:eastAsia="zh-CN"/>
              </w:rPr>
              <w:t>4</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112</w:t>
            </w:r>
            <w:r>
              <w:rPr>
                <w:rFonts w:hint="default" w:ascii="Times New Roman" w:hAnsi="Times New Roman" w:eastAsia="宋体" w:cs="Times New Roman"/>
                <w:color w:val="auto"/>
                <w:highlight w:val="none"/>
                <w:lang w:val="en-US" w:eastAsia="zh-CN"/>
              </w:rPr>
              <w:t>号</w:t>
            </w:r>
            <w:r>
              <w:rPr>
                <w:rFonts w:hint="eastAsia" w:ascii="Times New Roman" w:hAnsi="Times New Roman" w:eastAsia="宋体" w:cs="Times New Roman"/>
                <w:color w:val="auto"/>
                <w:highlight w:val="none"/>
                <w:lang w:val="en-US" w:eastAsia="zh-CN"/>
              </w:rPr>
              <w:t>）</w:t>
            </w:r>
          </w:p>
          <w:p w14:paraId="2EC04B1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rightChars="0"/>
              <w:textAlignment w:val="auto"/>
              <w:rPr>
                <w:rFonts w:hint="eastAsia" w:cs="Times New Roman"/>
                <w:color w:val="auto"/>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highlight w:val="none"/>
                <w:lang w:val="en-US" w:eastAsia="zh-CN"/>
              </w:rPr>
              <w:t>《新疆维吾尔自治区林业草原保护利用“十五五”规划</w:t>
            </w:r>
            <w:r>
              <w:rPr>
                <w:rFonts w:hint="eastAsia" w:ascii="宋体" w:hAnsi="宋体" w:cs="宋体"/>
                <w:b w:val="0"/>
                <w:bCs w:val="0"/>
                <w:color w:val="auto"/>
                <w:kern w:val="2"/>
                <w:sz w:val="24"/>
                <w:szCs w:val="24"/>
                <w:highlight w:val="none"/>
                <w:lang w:val="en-US" w:eastAsia="zh-CN" w:bidi="ar"/>
              </w:rPr>
              <w:t>（征求意见稿）</w:t>
            </w:r>
            <w:r>
              <w:rPr>
                <w:rFonts w:hint="eastAsia" w:cs="Times New Roman"/>
                <w:color w:val="auto"/>
                <w:highlight w:val="none"/>
                <w:lang w:val="en-US" w:eastAsia="zh-CN"/>
              </w:rPr>
              <w:t>》</w:t>
            </w:r>
          </w:p>
          <w:p w14:paraId="1D169C7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审批机关：新疆维吾尔自治区林业和草原局</w:t>
            </w:r>
          </w:p>
          <w:p w14:paraId="6082813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eastAsia" w:ascii="Times New Roman" w:hAnsi="Times New Roman" w:cs="Times New Roman"/>
                <w:color w:val="auto"/>
                <w:lang w:val="en-US" w:eastAsia="zh-CN"/>
              </w:rPr>
            </w:pPr>
            <w:r>
              <w:rPr>
                <w:rFonts w:hint="default" w:ascii="Times New Roman" w:hAnsi="Times New Roman" w:eastAsia="宋体" w:cs="Times New Roman"/>
                <w:color w:val="auto"/>
                <w:highlight w:val="none"/>
                <w:lang w:val="en-US" w:eastAsia="zh-CN"/>
              </w:rPr>
              <w:t>审批文件名称及文号：</w:t>
            </w:r>
            <w:r>
              <w:rPr>
                <w:rFonts w:hint="eastAsia" w:cs="Times New Roman"/>
                <w:color w:val="auto"/>
                <w:highlight w:val="none"/>
                <w:lang w:val="en-US" w:eastAsia="zh-CN"/>
              </w:rPr>
              <w:t>/</w:t>
            </w:r>
          </w:p>
        </w:tc>
      </w:tr>
      <w:tr w14:paraId="6425C6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24" w:type="dxa"/>
            <w:noWrap w:val="0"/>
            <w:vAlign w:val="center"/>
          </w:tcPr>
          <w:p w14:paraId="06F7CDE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规划环境影响</w:t>
            </w:r>
          </w:p>
          <w:p w14:paraId="088516B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rPr>
              <w:t>评价情况</w:t>
            </w:r>
          </w:p>
        </w:tc>
        <w:tc>
          <w:tcPr>
            <w:tcW w:w="8691" w:type="dxa"/>
            <w:gridSpan w:val="4"/>
            <w:noWrap w:val="0"/>
            <w:vAlign w:val="center"/>
          </w:tcPr>
          <w:p w14:paraId="5580B57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ind w:left="0" w:right="0"/>
              <w:jc w:val="both"/>
              <w:textAlignment w:val="auto"/>
              <w:rPr>
                <w:rFonts w:hint="eastAsia" w:ascii="Times New Roman" w:hAnsi="Times New Roman" w:cs="Times New Roman"/>
                <w:color w:val="auto"/>
                <w:kern w:val="0"/>
                <w:lang w:val="en-US" w:eastAsia="zh-CN"/>
              </w:rPr>
            </w:pPr>
            <w:r>
              <w:rPr>
                <w:rFonts w:hint="eastAsia" w:ascii="Times New Roman" w:hAnsi="Times New Roman" w:cs="Times New Roman"/>
                <w:color w:val="auto"/>
                <w:kern w:val="0"/>
                <w:lang w:val="en-US" w:eastAsia="zh-CN"/>
              </w:rPr>
              <w:t>（1）规划名称：</w:t>
            </w:r>
            <w:r>
              <w:rPr>
                <w:rFonts w:hint="default" w:ascii="Times New Roman" w:hAnsi="Times New Roman" w:cs="Times New Roman"/>
                <w:color w:val="auto"/>
                <w:kern w:val="0"/>
                <w:lang w:val="en-US" w:eastAsia="zh-CN"/>
              </w:rPr>
              <w:t>《新疆维吾尔自治区矿产资源总体规划</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2021-2025年</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环境影响报告书》</w:t>
            </w:r>
          </w:p>
          <w:p w14:paraId="4DC8EFD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ind w:left="0" w:right="0"/>
              <w:jc w:val="both"/>
              <w:textAlignment w:val="auto"/>
              <w:rPr>
                <w:rFonts w:hint="eastAsia" w:ascii="Times New Roman" w:hAnsi="Times New Roman" w:cs="Times New Roman"/>
                <w:color w:val="auto"/>
                <w:kern w:val="0"/>
                <w:lang w:val="en-US" w:eastAsia="zh-CN"/>
              </w:rPr>
            </w:pPr>
            <w:r>
              <w:rPr>
                <w:rFonts w:hint="eastAsia" w:ascii="Times New Roman" w:hAnsi="Times New Roman" w:cs="Times New Roman"/>
                <w:color w:val="auto"/>
                <w:kern w:val="0"/>
                <w:lang w:val="en-US" w:eastAsia="zh-CN"/>
              </w:rPr>
              <w:t>审批机关：中华人民共和国生态环境部</w:t>
            </w:r>
          </w:p>
          <w:p w14:paraId="5FB624A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kern w:val="0"/>
                <w:lang w:val="en-US" w:eastAsia="zh-CN"/>
              </w:rPr>
            </w:pPr>
            <w:r>
              <w:rPr>
                <w:rFonts w:hint="eastAsia" w:ascii="Times New Roman" w:hAnsi="Times New Roman" w:cs="Times New Roman"/>
                <w:color w:val="auto"/>
                <w:kern w:val="0"/>
                <w:lang w:val="en-US" w:eastAsia="zh-CN"/>
              </w:rPr>
              <w:t>审批文件名称及文号：</w:t>
            </w:r>
            <w:r>
              <w:rPr>
                <w:rFonts w:hint="default" w:ascii="Times New Roman" w:hAnsi="Times New Roman" w:cs="Times New Roman"/>
                <w:color w:val="auto"/>
                <w:kern w:val="0"/>
                <w:lang w:val="en-US" w:eastAsia="zh-CN"/>
              </w:rPr>
              <w:t>《关于</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新疆维吾尔自治区矿产资源总体规划</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2021-2025年</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环境影响报告书</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的审查意见》</w:t>
            </w:r>
            <w:r>
              <w:rPr>
                <w:rFonts w:hint="eastAsia" w:ascii="Times New Roman" w:hAnsi="Times New Roman" w:cs="Times New Roman"/>
                <w:color w:val="auto"/>
                <w:kern w:val="0"/>
                <w:lang w:val="en-US" w:eastAsia="zh-CN"/>
              </w:rPr>
              <w:t>（</w:t>
            </w:r>
            <w:r>
              <w:rPr>
                <w:rFonts w:hint="default" w:ascii="Times New Roman" w:hAnsi="Times New Roman" w:cs="Times New Roman"/>
                <w:color w:val="auto"/>
                <w:kern w:val="0"/>
                <w:lang w:val="en-US" w:eastAsia="zh-CN"/>
              </w:rPr>
              <w:t>环审</w:t>
            </w:r>
            <w:r>
              <w:rPr>
                <w:rFonts w:hint="default" w:ascii="Times New Roman" w:hAnsi="Times New Roman" w:eastAsia="宋体" w:cs="Times New Roman"/>
                <w:color w:val="auto"/>
                <w:lang w:val="en-US" w:eastAsia="zh-CN"/>
              </w:rPr>
              <w:t>〔2022〕</w:t>
            </w:r>
            <w:r>
              <w:rPr>
                <w:rFonts w:hint="default" w:ascii="Times New Roman" w:hAnsi="Times New Roman" w:cs="Times New Roman"/>
                <w:color w:val="auto"/>
                <w:kern w:val="0"/>
                <w:lang w:val="en-US" w:eastAsia="zh-CN"/>
              </w:rPr>
              <w:t>124号</w:t>
            </w:r>
            <w:r>
              <w:rPr>
                <w:rFonts w:hint="eastAsia" w:ascii="Times New Roman" w:hAnsi="Times New Roman" w:cs="Times New Roman"/>
                <w:color w:val="auto"/>
                <w:kern w:val="0"/>
                <w:lang w:val="en-US" w:eastAsia="zh-CN"/>
              </w:rPr>
              <w:t>）</w:t>
            </w:r>
          </w:p>
        </w:tc>
      </w:tr>
      <w:tr w14:paraId="5393C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dxa"/>
            <w:noWrap w:val="0"/>
            <w:vAlign w:val="center"/>
          </w:tcPr>
          <w:p w14:paraId="1FDE0042">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t>规划及规划环境</w:t>
            </w:r>
          </w:p>
          <w:p w14:paraId="6B82CC33">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t>影响评价符合性分析</w:t>
            </w:r>
          </w:p>
        </w:tc>
        <w:tc>
          <w:tcPr>
            <w:tcW w:w="8691" w:type="dxa"/>
            <w:gridSpan w:val="4"/>
            <w:noWrap w:val="0"/>
            <w:vAlign w:val="center"/>
          </w:tcPr>
          <w:p w14:paraId="3ADB25F7">
            <w:pPr>
              <w:keepNext w:val="0"/>
              <w:keepLines w:val="0"/>
              <w:pageBreakBefore w:val="0"/>
              <w:widowControl w:val="0"/>
              <w:suppressLineNumbers w:val="0"/>
              <w:kinsoku/>
              <w:wordWrap/>
              <w:overflowPunct/>
              <w:topLinePunct w:val="0"/>
              <w:bidi w:val="0"/>
              <w:adjustRightInd/>
              <w:snapToGrid/>
              <w:spacing w:before="0" w:beforeAutospacing="0" w:after="0" w:afterAutospacing="0" w:line="500" w:lineRule="exact"/>
              <w:ind w:left="0" w:leftChars="0" w:right="0" w:firstLine="0" w:firstLineChars="0"/>
              <w:jc w:val="both"/>
              <w:textAlignment w:val="auto"/>
              <w:outlineLvl w:val="9"/>
              <w:rPr>
                <w:rFonts w:hint="eastAsia" w:ascii="Times New Roman" w:hAnsi="Times New Roman" w:cs="Times New Roman"/>
                <w:b/>
                <w:bCs/>
                <w:color w:val="auto"/>
                <w:kern w:val="0"/>
              </w:rPr>
            </w:pPr>
            <w:r>
              <w:rPr>
                <w:rFonts w:hint="eastAsia" w:ascii="Times New Roman" w:hAnsi="Times New Roman" w:cs="Times New Roman"/>
                <w:b/>
                <w:bCs/>
                <w:color w:val="auto"/>
                <w:lang w:val="en-US" w:eastAsia="zh-CN"/>
              </w:rPr>
              <w:t>1.《新疆维吾尔自治区矿产资源总体规划（2021-2025）》符合性分析</w:t>
            </w:r>
          </w:p>
          <w:p w14:paraId="151B619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kern w:val="0"/>
                <w:lang w:eastAsia="zh-CN"/>
              </w:rPr>
            </w:pPr>
            <w:r>
              <w:rPr>
                <w:rFonts w:hint="eastAsia" w:ascii="Times New Roman" w:hAnsi="Times New Roman" w:cs="Times New Roman"/>
                <w:lang w:val="en-US" w:eastAsia="zh-CN"/>
              </w:rPr>
              <w:t>根据</w:t>
            </w:r>
            <w:r>
              <w:rPr>
                <w:rFonts w:hint="default" w:ascii="Times New Roman" w:hAnsi="Times New Roman" w:cs="Times New Roman"/>
              </w:rPr>
              <w:t>《新疆维吾尔自治区矿产资源总体规划（2021</w:t>
            </w:r>
            <w:r>
              <w:rPr>
                <w:rFonts w:hint="eastAsia" w:ascii="Times New Roman" w:hAnsi="Times New Roman" w:cs="Times New Roman"/>
                <w:lang w:val="en-US" w:eastAsia="zh-CN"/>
              </w:rPr>
              <w:t>-</w:t>
            </w:r>
            <w:r>
              <w:rPr>
                <w:rFonts w:hint="default" w:ascii="Times New Roman" w:hAnsi="Times New Roman" w:cs="Times New Roman"/>
              </w:rPr>
              <w:t>2025</w:t>
            </w:r>
            <w:r>
              <w:rPr>
                <w:rFonts w:hint="eastAsia" w:ascii="Times New Roman" w:hAnsi="Times New Roman" w:cs="Times New Roman"/>
                <w:lang w:val="en-US" w:eastAsia="zh-CN"/>
              </w:rPr>
              <w:t>年</w:t>
            </w:r>
            <w:r>
              <w:rPr>
                <w:rFonts w:hint="default" w:ascii="Times New Roman" w:hAnsi="Times New Roman" w:cs="Times New Roman"/>
              </w:rPr>
              <w:t>）》</w:t>
            </w:r>
            <w:r>
              <w:rPr>
                <w:rFonts w:hint="eastAsia" w:ascii="Times New Roman" w:hAnsi="Times New Roman" w:cs="Times New Roman"/>
                <w:lang w:val="en-US" w:eastAsia="zh-CN"/>
              </w:rPr>
              <w:t>中三、规划目标。</w:t>
            </w:r>
            <w:r>
              <w:rPr>
                <w:rFonts w:hint="eastAsia" w:ascii="Times New Roman" w:hAnsi="Times New Roman" w:cs="Times New Roman"/>
                <w:lang w:eastAsia="zh-CN"/>
              </w:rPr>
              <w:t>（</w:t>
            </w:r>
            <w:r>
              <w:rPr>
                <w:rFonts w:hint="eastAsia" w:ascii="Times New Roman" w:hAnsi="Times New Roman" w:cs="Times New Roman"/>
                <w:lang w:val="en-US" w:eastAsia="zh-CN"/>
              </w:rPr>
              <w:t>一</w:t>
            </w:r>
            <w:r>
              <w:rPr>
                <w:rFonts w:hint="eastAsia" w:ascii="Times New Roman" w:hAnsi="Times New Roman" w:cs="Times New Roman"/>
                <w:lang w:eastAsia="zh-CN"/>
              </w:rPr>
              <w:t>）</w:t>
            </w:r>
            <w:r>
              <w:rPr>
                <w:rFonts w:hint="eastAsia" w:ascii="Times New Roman" w:hAnsi="Times New Roman" w:cs="Times New Roman"/>
                <w:lang w:val="en-US" w:eastAsia="zh-CN"/>
              </w:rPr>
              <w:t>总体目标。</w:t>
            </w:r>
            <w:r>
              <w:rPr>
                <w:rFonts w:hint="eastAsia" w:ascii="Times New Roman" w:hAnsi="Times New Roman" w:cs="Times New Roman"/>
                <w:color w:val="auto"/>
                <w:kern w:val="0"/>
              </w:rPr>
              <w:t>到2025年，矿产资源勘查开发科技创新能力不断增强，矿产资源勘查开发与保护格局更加优化，支撑保障国家</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三基地一通道</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和能源资源接替基地建设更加有力。矿业发展质量显著提升，矿业权市场更加健全、更加活跃，矿山生态环境质量持续提升，矿山安全根基稳固，初步形成资源、经济、环境、社会效益协调统一的矿业高质量发展新格局。</w:t>
            </w:r>
            <w:r>
              <w:rPr>
                <w:rFonts w:hint="eastAsia" w:ascii="Times New Roman" w:hAnsi="Times New Roman" w:cs="Times New Roman"/>
                <w:lang w:eastAsia="zh-CN"/>
              </w:rPr>
              <w:t>（</w:t>
            </w:r>
            <w:r>
              <w:rPr>
                <w:rFonts w:hint="eastAsia" w:ascii="Times New Roman" w:hAnsi="Times New Roman" w:cs="Times New Roman"/>
                <w:lang w:val="en-US" w:eastAsia="zh-CN"/>
              </w:rPr>
              <w:t>二</w:t>
            </w:r>
            <w:r>
              <w:rPr>
                <w:rFonts w:hint="eastAsia" w:ascii="Times New Roman" w:hAnsi="Times New Roman" w:cs="Times New Roman"/>
                <w:lang w:eastAsia="zh-CN"/>
              </w:rPr>
              <w:t>）</w:t>
            </w:r>
            <w:r>
              <w:rPr>
                <w:rFonts w:hint="eastAsia" w:ascii="Times New Roman" w:hAnsi="Times New Roman" w:cs="Times New Roman"/>
                <w:lang w:val="en-US" w:eastAsia="zh-CN"/>
              </w:rPr>
              <w:t>规划目标。</w:t>
            </w:r>
            <w:r>
              <w:rPr>
                <w:rFonts w:hint="eastAsia" w:ascii="Times New Roman" w:hAnsi="Times New Roman" w:cs="Times New Roman"/>
                <w:color w:val="auto"/>
                <w:kern w:val="0"/>
              </w:rPr>
              <w:t>战略性矿产资源保障能力显著提高。开展新一轮战略性矿产找矿行动，重要成矿区</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带</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内矿产资源调查评价工作持续推进，形成一批战略性矿产和优势矿产勘查开发后备区和战略接续区。新发现和评价矿产地100-150处，其中大中型矿产地20-30处。铁、锰、铜、钴、金、锂、铍、萤石、硅质原料等矿产勘查实现新突破</w:t>
            </w:r>
            <w:r>
              <w:rPr>
                <w:rFonts w:hint="eastAsia" w:ascii="Times New Roman" w:hAnsi="Times New Roman" w:cs="Times New Roman"/>
                <w:color w:val="auto"/>
                <w:kern w:val="0"/>
                <w:lang w:eastAsia="zh-CN"/>
              </w:rPr>
              <w:t>。</w:t>
            </w:r>
          </w:p>
          <w:p w14:paraId="4DB77D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kern w:val="0"/>
                <w:lang w:val="en-US" w:eastAsia="zh-CN"/>
              </w:rPr>
            </w:pPr>
            <w:r>
              <w:rPr>
                <w:rFonts w:hint="eastAsia" w:ascii="Times New Roman" w:hAnsi="Times New Roman" w:cs="Times New Roman"/>
                <w:lang w:val="en-US" w:eastAsia="zh-CN"/>
              </w:rPr>
              <w:t>四、总体布局。（一）勘查开发保护区域布局。</w:t>
            </w:r>
            <w:r>
              <w:rPr>
                <w:rFonts w:hint="eastAsia" w:ascii="Times New Roman" w:hAnsi="Times New Roman" w:eastAsia="宋体" w:cs="Times New Roman"/>
                <w:color w:val="auto"/>
                <w:kern w:val="0"/>
                <w:lang w:val="en-US" w:eastAsia="zh-CN"/>
              </w:rPr>
              <w:t>依据矿产资源分布特点及勘查开发利用现状，按照“深化北疆东疆，加快南疆勘查开发”的总体思路，划分环准噶尔、环塔里木、阿尔泰、东准噶尔、西准噶尔、东天山、西天山、西南天山、西昆仑、东昆仑-阿尔金等“两环八带十个勘查开发区”。</w:t>
            </w:r>
          </w:p>
          <w:p w14:paraId="5CB697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西天山能源矿产、黑色及贵金属勘查开发区。以煤炭、铁、金等</w:t>
            </w:r>
            <w:r>
              <w:rPr>
                <w:rFonts w:hint="eastAsia" w:cs="Times New Roman"/>
                <w:color w:val="auto"/>
                <w:kern w:val="0"/>
                <w:lang w:val="en-US" w:eastAsia="zh-CN"/>
              </w:rPr>
              <w:t>矿产</w:t>
            </w:r>
            <w:r>
              <w:rPr>
                <w:rFonts w:hint="eastAsia" w:ascii="Times New Roman" w:hAnsi="Times New Roman" w:eastAsia="宋体" w:cs="Times New Roman"/>
                <w:color w:val="auto"/>
                <w:kern w:val="0"/>
                <w:lang w:val="en-US" w:eastAsia="zh-CN"/>
              </w:rPr>
              <w:t>资源勘查开发为主，重点加强阿吾拉勒铁矿带敦德、备战等矿山建设及1000米以浅深边部富铁矿勘查，新增铁资源量1亿吨，为八钢及新源、和静钢铁产业提供资源保障。加强阿希金矿外围找矿，增加资源储量；加快卡特巴阿苏金矿开发建设，尽快形成产能。兼顾饰面石材、高品质石灰岩、石英岩等非金属矿产，延长产业链。加快和静县、伊宁市绿色矿业发展示范区建设，促进矿业绿色转型升级，发挥大企业龙头骨干作用，辐射带动当地钢铁、黄金、煤炭等产业发展。开展温泉—乌苏一带水热型地热资源调查评价，助力当地生态农业、文化旅游产业发展。</w:t>
            </w:r>
          </w:p>
          <w:p w14:paraId="26633A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kern w:val="0"/>
                <w:lang w:eastAsia="zh-CN"/>
              </w:rPr>
            </w:pPr>
            <w:r>
              <w:rPr>
                <w:rFonts w:hint="eastAsia" w:ascii="Times New Roman" w:hAnsi="Times New Roman" w:cs="Times New Roman"/>
                <w:color w:val="auto"/>
                <w:kern w:val="0"/>
                <w:highlight w:val="none"/>
              </w:rPr>
              <w:t>本项目为</w:t>
            </w:r>
            <w:r>
              <w:rPr>
                <w:rFonts w:hint="default" w:ascii="Times New Roman" w:hAnsi="Times New Roman" w:eastAsia="宋体" w:cs="Times New Roman"/>
                <w:color w:val="auto"/>
                <w:lang w:val="en-US" w:eastAsia="zh-CN"/>
              </w:rPr>
              <w:t>镍矿</w:t>
            </w:r>
            <w:r>
              <w:rPr>
                <w:rFonts w:hint="eastAsia" w:ascii="Times New Roman" w:hAnsi="Times New Roman" w:cs="Times New Roman"/>
                <w:color w:val="auto"/>
                <w:kern w:val="0"/>
                <w:highlight w:val="none"/>
              </w:rPr>
              <w:t>地质</w:t>
            </w:r>
            <w:r>
              <w:rPr>
                <w:rFonts w:hint="eastAsia"/>
                <w:lang w:val="en-US" w:eastAsia="zh-CN"/>
              </w:rPr>
              <w:t>勘查</w:t>
            </w:r>
            <w:r>
              <w:rPr>
                <w:rFonts w:hint="eastAsia" w:ascii="Times New Roman" w:hAnsi="Times New Roman" w:cs="Times New Roman"/>
                <w:color w:val="auto"/>
                <w:kern w:val="0"/>
                <w:highlight w:val="none"/>
                <w:lang w:val="en-US" w:eastAsia="zh-CN"/>
              </w:rPr>
              <w:t>项目</w:t>
            </w:r>
            <w:r>
              <w:rPr>
                <w:rFonts w:hint="eastAsia" w:ascii="Times New Roman" w:hAnsi="Times New Roman" w:cs="Times New Roman"/>
                <w:color w:val="auto"/>
                <w:kern w:val="0"/>
                <w:highlight w:val="none"/>
              </w:rPr>
              <w:t>，</w:t>
            </w:r>
            <w:r>
              <w:rPr>
                <w:rFonts w:hint="eastAsia" w:ascii="Times New Roman" w:hAnsi="Times New Roman" w:cs="Times New Roman"/>
                <w:color w:val="auto"/>
                <w:kern w:val="0"/>
              </w:rPr>
              <w:t>属于</w:t>
            </w:r>
            <w:r>
              <w:rPr>
                <w:rFonts w:hint="eastAsia" w:ascii="Times New Roman" w:hAnsi="Times New Roman" w:eastAsia="宋体" w:cs="Times New Roman"/>
                <w:color w:val="auto"/>
                <w:kern w:val="0"/>
                <w:lang w:val="en-US" w:eastAsia="zh-CN"/>
              </w:rPr>
              <w:t>“两环八带十个勘查开发区”</w:t>
            </w:r>
            <w:r>
              <w:rPr>
                <w:rFonts w:hint="eastAsia" w:ascii="Times New Roman" w:hAnsi="Times New Roman" w:cs="Times New Roman"/>
                <w:color w:val="auto"/>
                <w:kern w:val="0"/>
              </w:rPr>
              <w:t>中西天山能源矿产、黑色及贵金属勘查开发区，为矿产资源的开发与利用</w:t>
            </w:r>
            <w:r>
              <w:rPr>
                <w:rFonts w:hint="eastAsia" w:ascii="Times New Roman" w:hAnsi="Times New Roman" w:cs="Times New Roman"/>
                <w:color w:val="auto"/>
                <w:kern w:val="0"/>
                <w:lang w:val="en-US" w:eastAsia="zh-CN"/>
              </w:rPr>
              <w:t>奠定</w:t>
            </w:r>
            <w:r>
              <w:rPr>
                <w:rFonts w:hint="eastAsia" w:ascii="Times New Roman" w:hAnsi="Times New Roman" w:cs="Times New Roman"/>
                <w:color w:val="auto"/>
                <w:kern w:val="0"/>
              </w:rPr>
              <w:t>基础，符合《新疆维吾尔自治区矿产资源总体规划</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2021-2025</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》总体目标和总体布局等相关要求</w:t>
            </w:r>
            <w:r>
              <w:rPr>
                <w:rFonts w:hint="eastAsia" w:ascii="Times New Roman" w:hAnsi="Times New Roman" w:cs="Times New Roman"/>
                <w:color w:val="auto"/>
                <w:kern w:val="0"/>
                <w:lang w:eastAsia="zh-CN"/>
              </w:rPr>
              <w:t>。</w:t>
            </w:r>
          </w:p>
          <w:p w14:paraId="50B8231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jc w:val="both"/>
              <w:textAlignment w:val="auto"/>
              <w:outlineLvl w:val="9"/>
              <w:rPr>
                <w:rFonts w:hint="eastAsia" w:ascii="Times New Roman" w:hAnsi="Times New Roman" w:cs="Times New Roman"/>
                <w:b/>
                <w:bCs/>
                <w:color w:val="auto"/>
                <w:kern w:val="0"/>
                <w:sz w:val="24"/>
                <w:szCs w:val="24"/>
                <w:lang w:val="en-US" w:eastAsia="zh-CN" w:bidi="ar-SA"/>
              </w:rPr>
            </w:pPr>
            <w:r>
              <w:rPr>
                <w:rFonts w:hint="eastAsia" w:ascii="Times New Roman" w:hAnsi="Times New Roman" w:cs="Times New Roman"/>
                <w:b/>
                <w:bCs/>
                <w:color w:val="auto"/>
                <w:kern w:val="0"/>
                <w:sz w:val="24"/>
                <w:szCs w:val="24"/>
                <w:lang w:val="en-US" w:eastAsia="zh-CN" w:bidi="ar-SA"/>
              </w:rPr>
              <w:t>2.与《新疆维吾尔自治区矿产资源总体规划（2021-2025）环境影响报告书》及审查意见（环审〔2022〕124号）的符合性分析。</w:t>
            </w:r>
          </w:p>
          <w:p w14:paraId="369EA55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firstLine="480" w:firstLineChars="200"/>
              <w:jc w:val="both"/>
              <w:textAlignment w:val="auto"/>
              <w:outlineLvl w:val="9"/>
              <w:rPr>
                <w:rFonts w:hint="eastAsia" w:eastAsia="宋体"/>
                <w:color w:val="auto"/>
                <w:kern w:val="0"/>
                <w:lang w:val="en-US" w:eastAsia="zh-CN"/>
              </w:rPr>
            </w:pPr>
            <w:r>
              <w:rPr>
                <w:rFonts w:hint="eastAsia" w:eastAsia="宋体"/>
                <w:color w:val="auto"/>
                <w:kern w:val="0"/>
                <w:lang w:val="en-US" w:eastAsia="zh-CN"/>
              </w:rPr>
              <w:t>依据矿产资源分布特点及勘查开发利用现状，按照“深化北疆东疆，加快南疆勘查开发”的总体思路，划分环准噶尔、环塔里木、阿尔泰、东</w:t>
            </w:r>
            <w:r>
              <w:rPr>
                <w:rFonts w:hint="eastAsia" w:ascii="Times New Roman" w:hAnsi="Times New Roman" w:eastAsia="宋体" w:cs="Times New Roman"/>
                <w:color w:val="auto"/>
                <w:kern w:val="0"/>
                <w:lang w:val="en-US" w:eastAsia="zh-CN"/>
              </w:rPr>
              <w:t>准噶</w:t>
            </w:r>
            <w:r>
              <w:rPr>
                <w:rFonts w:hint="eastAsia" w:eastAsia="宋体"/>
                <w:color w:val="auto"/>
                <w:kern w:val="0"/>
                <w:lang w:val="en-US" w:eastAsia="zh-CN"/>
              </w:rPr>
              <w:t>尔、西</w:t>
            </w:r>
            <w:r>
              <w:rPr>
                <w:rFonts w:hint="eastAsia" w:ascii="Times New Roman" w:hAnsi="Times New Roman" w:eastAsia="宋体" w:cs="Times New Roman"/>
                <w:color w:val="auto"/>
                <w:kern w:val="0"/>
                <w:lang w:val="en-US" w:eastAsia="zh-CN"/>
              </w:rPr>
              <w:t>准噶</w:t>
            </w:r>
            <w:r>
              <w:rPr>
                <w:rFonts w:hint="eastAsia" w:eastAsia="宋体"/>
                <w:color w:val="auto"/>
                <w:kern w:val="0"/>
                <w:lang w:val="en-US" w:eastAsia="zh-CN"/>
              </w:rPr>
              <w:t>尔、东天山、西天山、西南天山、西昆仑、东昆仑-阿尔金等“两环八带十个勘查开发区”。</w:t>
            </w:r>
          </w:p>
          <w:p w14:paraId="211963E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sz w:val="24"/>
                <w:szCs w:val="24"/>
                <w:lang w:val="en-US" w:eastAsia="zh-CN" w:bidi="ar-SA"/>
              </w:rPr>
            </w:pPr>
            <w:r>
              <w:rPr>
                <w:rFonts w:hint="eastAsia" w:eastAsia="宋体"/>
                <w:color w:val="auto"/>
                <w:kern w:val="0"/>
                <w:lang w:val="en-US" w:eastAsia="zh-CN"/>
              </w:rPr>
              <w:t>西天山能源矿产、黑色及贵金属勘查开发区。以煤炭、铁、金等矿</w:t>
            </w:r>
            <w:r>
              <w:rPr>
                <w:rFonts w:hint="eastAsia"/>
                <w:color w:val="auto"/>
                <w:kern w:val="0"/>
                <w:lang w:val="en-US" w:eastAsia="zh-CN"/>
              </w:rPr>
              <w:t>产</w:t>
            </w:r>
            <w:r>
              <w:rPr>
                <w:rFonts w:hint="eastAsia" w:eastAsia="宋体"/>
                <w:color w:val="auto"/>
                <w:kern w:val="0"/>
                <w:lang w:val="en-US" w:eastAsia="zh-CN"/>
              </w:rPr>
              <w:t>资源勘查开发为主，重点加强阿吾拉勒铁矿带敦德、备战等矿山建设及1000米以浅深边部富铁矿勘查，新增铁资源量1亿吨，为八钢及新源、和静钢铁产业提供资源保障。加强阿希金矿外围找矿，增加资源储量；加快卡特巴阿苏金矿开发建设，尽快形成产能。兼顾饰面石材、高品质石灰岩、石英岩等非金属矿产，延长产业链。加快和静县、伊宁市绿色矿业发展示范区建设，促进矿业绿色转型升级，发挥大企业龙头骨干作用，辐射带动当地钢铁、黄金、煤炭等产业发展。开展温泉—乌苏一带水热型地热资源调查评价，助力当地生态农业、文化旅游产业发展。</w:t>
            </w:r>
          </w:p>
          <w:p w14:paraId="3F30C33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sz w:val="24"/>
                <w:szCs w:val="24"/>
                <w:lang w:val="en-US" w:eastAsia="zh-CN" w:bidi="ar-SA"/>
              </w:rPr>
            </w:pPr>
            <w:r>
              <w:rPr>
                <w:rFonts w:hint="eastAsia" w:ascii="Times New Roman" w:hAnsi="Times New Roman" w:cs="Times New Roman"/>
                <w:color w:val="auto"/>
                <w:kern w:val="0"/>
                <w:sz w:val="24"/>
                <w:szCs w:val="24"/>
                <w:lang w:val="en-US" w:eastAsia="zh-CN" w:bidi="ar-SA"/>
              </w:rPr>
              <w:t>重点勘查开采矿种：石油、天然气、页岩气、煤层气、煤、地热等能源矿产，铁、锰、铜、镍、钴、铅锌、锂、铍、金等金属矿产以及钾盐、萤石、硅质原料等非金属矿产。</w:t>
            </w:r>
          </w:p>
          <w:p w14:paraId="3F14B88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sz w:val="24"/>
                <w:szCs w:val="24"/>
                <w:lang w:val="en-US" w:eastAsia="zh-CN" w:bidi="ar-SA"/>
              </w:rPr>
            </w:pPr>
            <w:r>
              <w:rPr>
                <w:rFonts w:hint="eastAsia" w:ascii="Times New Roman" w:hAnsi="Times New Roman" w:cs="Times New Roman"/>
                <w:color w:val="auto"/>
                <w:kern w:val="0"/>
                <w:sz w:val="24"/>
                <w:szCs w:val="24"/>
                <w:lang w:val="en-US" w:eastAsia="zh-CN" w:bidi="ar-SA"/>
              </w:rPr>
              <w:t>限制勘查矿种：石棉、砂金等矿产。</w:t>
            </w:r>
          </w:p>
          <w:p w14:paraId="08C0F7E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sz w:val="24"/>
                <w:szCs w:val="24"/>
                <w:lang w:val="en-US" w:eastAsia="zh-CN" w:bidi="ar-SA"/>
              </w:rPr>
            </w:pPr>
            <w:r>
              <w:rPr>
                <w:rFonts w:hint="eastAsia" w:ascii="Times New Roman" w:hAnsi="Times New Roman" w:cs="Times New Roman"/>
                <w:color w:val="auto"/>
                <w:kern w:val="0"/>
                <w:sz w:val="24"/>
                <w:szCs w:val="24"/>
                <w:lang w:val="en-US" w:eastAsia="zh-CN" w:bidi="ar-SA"/>
              </w:rPr>
              <w:t>限制开采矿种：硫铁矿、石棉、砂金、砖瓦用粘土等矿产，严格控制钨、稀土等特定保护性开采矿产。</w:t>
            </w:r>
          </w:p>
          <w:p w14:paraId="10D4197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sz w:val="24"/>
                <w:szCs w:val="24"/>
                <w:lang w:val="en-US" w:eastAsia="zh-CN" w:bidi="ar-SA"/>
              </w:rPr>
            </w:pPr>
            <w:r>
              <w:rPr>
                <w:rFonts w:hint="eastAsia" w:ascii="Times New Roman" w:hAnsi="Times New Roman" w:cs="Times New Roman"/>
                <w:color w:val="auto"/>
                <w:kern w:val="0"/>
                <w:sz w:val="24"/>
                <w:szCs w:val="24"/>
                <w:lang w:val="en-US" w:eastAsia="zh-CN" w:bidi="ar-SA"/>
              </w:rPr>
              <w:t>禁止勘查开采矿种：可耕地砖瓦用粘土、灰分大于40%或含硫大于3%的煤以及砂铁、汞等矿产。</w:t>
            </w:r>
          </w:p>
          <w:p w14:paraId="5D5FEB0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lang w:val="en-US" w:eastAsia="zh-CN"/>
              </w:rPr>
            </w:pPr>
            <w:r>
              <w:rPr>
                <w:rFonts w:hint="eastAsia" w:ascii="Times New Roman" w:hAnsi="Times New Roman" w:cs="Times New Roman"/>
                <w:color w:val="auto"/>
                <w:kern w:val="0"/>
              </w:rPr>
              <w:t>本项目为</w:t>
            </w:r>
            <w:r>
              <w:rPr>
                <w:rFonts w:hint="default" w:ascii="Times New Roman" w:hAnsi="Times New Roman" w:eastAsia="宋体" w:cs="Times New Roman"/>
                <w:color w:val="auto"/>
                <w:lang w:val="en-US" w:eastAsia="zh-CN"/>
              </w:rPr>
              <w:t>镍矿</w:t>
            </w:r>
            <w:r>
              <w:rPr>
                <w:rFonts w:hint="eastAsia" w:ascii="Times New Roman" w:hAnsi="Times New Roman" w:cs="Times New Roman"/>
                <w:color w:val="auto"/>
                <w:kern w:val="0"/>
              </w:rPr>
              <w:t>地质</w:t>
            </w:r>
            <w:r>
              <w:rPr>
                <w:rFonts w:hint="eastAsia"/>
                <w:lang w:val="en-US" w:eastAsia="zh-CN"/>
              </w:rPr>
              <w:t>勘查</w:t>
            </w:r>
            <w:r>
              <w:rPr>
                <w:rFonts w:hint="eastAsia" w:ascii="Times New Roman" w:hAnsi="Times New Roman" w:cs="Times New Roman"/>
                <w:color w:val="auto"/>
                <w:kern w:val="0"/>
              </w:rPr>
              <w:t>项目，</w:t>
            </w:r>
            <w:r>
              <w:rPr>
                <w:rFonts w:hint="eastAsia" w:cs="Times New Roman"/>
                <w:color w:val="auto"/>
                <w:kern w:val="0"/>
                <w:lang w:val="en-US" w:eastAsia="zh-CN"/>
              </w:rPr>
              <w:t>为</w:t>
            </w:r>
            <w:r>
              <w:rPr>
                <w:rFonts w:hint="eastAsia" w:ascii="Times New Roman" w:hAnsi="Times New Roman" w:cs="Times New Roman"/>
                <w:color w:val="auto"/>
                <w:kern w:val="0"/>
                <w:sz w:val="24"/>
                <w:szCs w:val="24"/>
                <w:lang w:val="en-US" w:eastAsia="zh-CN" w:bidi="ar-SA"/>
              </w:rPr>
              <w:t>重点勘查开采矿种</w:t>
            </w:r>
            <w:r>
              <w:rPr>
                <w:rFonts w:hint="eastAsia" w:cs="Times New Roman"/>
                <w:color w:val="auto"/>
                <w:kern w:val="0"/>
                <w:lang w:val="en-US" w:eastAsia="zh-CN"/>
              </w:rPr>
              <w:t>，</w:t>
            </w:r>
            <w:r>
              <w:rPr>
                <w:rFonts w:hint="eastAsia" w:ascii="Times New Roman" w:hAnsi="Times New Roman" w:cs="Times New Roman"/>
                <w:color w:val="auto"/>
                <w:kern w:val="0"/>
              </w:rPr>
              <w:t>属于“两环八带十个勘查开发区”中西天山能源矿产、黑色及贵金属勘查开发区</w:t>
            </w:r>
            <w:r>
              <w:rPr>
                <w:rFonts w:hint="eastAsia" w:ascii="Times New Roman" w:hAnsi="Times New Roman" w:cs="Times New Roman"/>
                <w:color w:val="auto"/>
                <w:kern w:val="0"/>
                <w:lang w:eastAsia="zh-CN"/>
              </w:rPr>
              <w:t>，</w:t>
            </w:r>
            <w:r>
              <w:rPr>
                <w:rFonts w:hint="eastAsia" w:ascii="Times New Roman" w:hAnsi="Times New Roman" w:cs="Times New Roman"/>
                <w:color w:val="auto"/>
                <w:kern w:val="0"/>
              </w:rPr>
              <w:t>为矿产资源的开发与利用</w:t>
            </w:r>
            <w:r>
              <w:rPr>
                <w:rFonts w:hint="eastAsia" w:ascii="Times New Roman" w:hAnsi="Times New Roman" w:cs="Times New Roman"/>
                <w:color w:val="auto"/>
                <w:kern w:val="0"/>
                <w:lang w:val="en-US" w:eastAsia="zh-CN"/>
              </w:rPr>
              <w:t>奠定</w:t>
            </w:r>
            <w:r>
              <w:rPr>
                <w:rFonts w:hint="eastAsia" w:ascii="Times New Roman" w:hAnsi="Times New Roman" w:cs="Times New Roman"/>
                <w:color w:val="auto"/>
                <w:kern w:val="0"/>
              </w:rPr>
              <w:t>基础</w:t>
            </w:r>
            <w:r>
              <w:rPr>
                <w:rFonts w:hint="eastAsia" w:ascii="Times New Roman" w:hAnsi="Times New Roman" w:cs="Times New Roman"/>
                <w:color w:val="auto"/>
                <w:kern w:val="0"/>
                <w:lang w:eastAsia="zh-CN"/>
              </w:rPr>
              <w:t>；</w:t>
            </w:r>
            <w:r>
              <w:rPr>
                <w:rFonts w:hint="eastAsia" w:ascii="Times New Roman" w:hAnsi="Times New Roman" w:eastAsia="宋体" w:cs="Times New Roman"/>
                <w:color w:val="auto"/>
                <w:lang w:val="en-US" w:eastAsia="zh-CN"/>
              </w:rPr>
              <w:t>采用地质草测、地质剖面、地化（岩石）剖面测量、槽探工程及样品测试等综合勘查技术方法</w:t>
            </w:r>
            <w:r>
              <w:rPr>
                <w:rFonts w:hint="eastAsia" w:ascii="Times New Roman" w:hAnsi="Times New Roman" w:cs="Times New Roman"/>
                <w:color w:val="auto"/>
                <w:kern w:val="0"/>
                <w:lang w:val="en-US" w:eastAsia="zh-CN"/>
              </w:rPr>
              <w:t>，</w:t>
            </w:r>
            <w:r>
              <w:rPr>
                <w:rFonts w:hint="eastAsia"/>
                <w:color w:val="auto"/>
                <w:kern w:val="0"/>
                <w:lang w:val="en-US" w:eastAsia="zh-CN"/>
              </w:rPr>
              <w:t>严格控制施工作业范围</w:t>
            </w:r>
            <w:r>
              <w:rPr>
                <w:rFonts w:hint="default"/>
                <w:color w:val="auto"/>
                <w:kern w:val="0"/>
                <w:lang w:val="en-US" w:eastAsia="zh-CN"/>
              </w:rPr>
              <w:t>执行绿色勘查及矿山环境生态保护修复相关要求</w:t>
            </w:r>
            <w:r>
              <w:rPr>
                <w:rFonts w:hint="eastAsia"/>
                <w:color w:val="auto"/>
                <w:kern w:val="0"/>
                <w:lang w:val="en-US" w:eastAsia="zh-CN"/>
              </w:rPr>
              <w:t>，</w:t>
            </w:r>
            <w:r>
              <w:rPr>
                <w:rFonts w:hint="eastAsia" w:ascii="Times New Roman" w:hAnsi="Times New Roman" w:cs="Times New Roman"/>
                <w:color w:val="auto"/>
                <w:kern w:val="0"/>
                <w:lang w:val="en-US" w:eastAsia="zh-CN"/>
              </w:rPr>
              <w:t>因此符合总体规划环评报告书及审查意见中相关要求。</w:t>
            </w:r>
          </w:p>
          <w:p w14:paraId="4E1FEE6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right="0"/>
              <w:jc w:val="both"/>
              <w:textAlignment w:val="auto"/>
              <w:outlineLvl w:val="9"/>
              <w:rPr>
                <w:rFonts w:hint="eastAsia" w:ascii="Times New Roman" w:hAnsi="Times New Roman" w:cs="Times New Roman"/>
                <w:b/>
                <w:bCs/>
                <w:color w:val="auto"/>
                <w:kern w:val="0"/>
                <w:lang w:val="en-US" w:eastAsia="zh-CN"/>
              </w:rPr>
            </w:pPr>
            <w:r>
              <w:rPr>
                <w:rFonts w:hint="eastAsia" w:ascii="Times New Roman" w:hAnsi="Times New Roman" w:cs="Times New Roman"/>
                <w:b/>
                <w:bCs/>
                <w:color w:val="auto"/>
                <w:kern w:val="0"/>
                <w:sz w:val="24"/>
                <w:szCs w:val="24"/>
                <w:lang w:val="en-US" w:eastAsia="zh-CN" w:bidi="ar-SA"/>
              </w:rPr>
              <w:t>3.</w:t>
            </w:r>
            <w:r>
              <w:rPr>
                <w:rFonts w:hint="eastAsia" w:ascii="Times New Roman" w:hAnsi="Times New Roman" w:cs="Times New Roman"/>
                <w:b/>
                <w:bCs/>
                <w:color w:val="auto"/>
                <w:kern w:val="0"/>
                <w:lang w:val="en-US" w:eastAsia="zh-CN"/>
              </w:rPr>
              <w:t>《巴音郭楞蒙古自治州矿产资源总体规划2021-2025》符合性分析</w:t>
            </w:r>
          </w:p>
          <w:p w14:paraId="0609128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lang w:val="en-US" w:eastAsia="zh-CN"/>
              </w:rPr>
            </w:pPr>
            <w:r>
              <w:rPr>
                <w:rFonts w:hint="eastAsia" w:ascii="Times New Roman" w:hAnsi="Times New Roman" w:cs="Times New Roman"/>
                <w:lang w:val="en-US" w:eastAsia="zh-CN"/>
              </w:rPr>
              <w:t>规划要求，矿产资源调查评价与勘查。</w:t>
            </w:r>
            <w:r>
              <w:rPr>
                <w:rFonts w:hint="eastAsia" w:ascii="Times New Roman" w:hAnsi="Times New Roman" w:cs="Times New Roman"/>
                <w:color w:val="auto"/>
                <w:kern w:val="0"/>
                <w:lang w:val="en-US" w:eastAsia="zh-CN"/>
              </w:rPr>
              <w:t>落实自治区规划，推进新一轮战略性矿产找矿行动，加强重要成矿区（带）内矿产资源调查评价工作，形成一批战略性矿产和优势矿产勘查开发后备区和战略接续区。新发现矿产地10-15处，大中型矿产地2-4处。煤、铁、铜、镍、金、钨锡、锂、铍、萤石、硅质原料、石灰岩（大理岩）、饰面石材等矿产勘查实现新突破，探矿权总数控制在800个以内。</w:t>
            </w:r>
          </w:p>
          <w:p w14:paraId="322BB638">
            <w:pPr>
              <w:pStyle w:val="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矿产资源勘查开采调控方向。落实自治区规划，结合巴州实际，合理确定重点、限制、禁止勘查开采矿种。重点、限制、禁止勘查矿种：</w:t>
            </w:r>
          </w:p>
          <w:p w14:paraId="6C54EF9A">
            <w:pPr>
              <w:pStyle w:val="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重点勘查矿种：页岩气、煤、煤层气、地热等能源矿产，铁、铜、铅锌、镍、锡、金、银、锂、铍、铌、钽等金属矿产，钾盐、萤石、硅质原料、菱镁矿等非金属矿产。</w:t>
            </w:r>
          </w:p>
          <w:p w14:paraId="2EA366E3">
            <w:pPr>
              <w:pStyle w:val="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限制勘查矿种：钨、稀土等国家规定实行保护性开采的特定矿种，高硫煤、石煤、硫铁矿、石棉等矿产，总量限制的非市场紧缺矿种等。</w:t>
            </w:r>
          </w:p>
          <w:p w14:paraId="144CB62C">
            <w:pPr>
              <w:pStyle w:val="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禁止勘查矿种：灰分大于40%或含硫大于3%的煤以及可耕地砖瓦用粘土、砂金、砂铁、汞等，放射性矿产等涉及国家战略利益的矿种。</w:t>
            </w:r>
          </w:p>
          <w:p w14:paraId="5EB251D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lang w:val="en-US" w:eastAsia="zh-CN"/>
              </w:rPr>
            </w:pPr>
            <w:r>
              <w:rPr>
                <w:rFonts w:hint="eastAsia" w:ascii="Times New Roman" w:hAnsi="Times New Roman" w:cs="Times New Roman"/>
                <w:lang w:val="en-US" w:eastAsia="zh-CN"/>
              </w:rPr>
              <w:t>对重点勘查矿种，加强财政资金投入，实施找矿突破战略，实现新一轮找矿突破，优先投放探矿权，同时严格规范探矿权人准入条件，坚持绿色勘查，保护生态环境。对限制勘查矿种，原则上不新设探矿权，确因经济发展和供需要求需要投放探矿权，除严格规范探矿权人准入条件外，要进行资源环境承载力论证，保护生态环境。禁止设置砂金探矿权。</w:t>
            </w:r>
          </w:p>
          <w:p w14:paraId="0872D06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kern w:val="0"/>
                <w:lang w:val="en-US" w:eastAsia="zh-CN"/>
              </w:rPr>
            </w:pPr>
            <w:r>
              <w:rPr>
                <w:rFonts w:hint="eastAsia" w:ascii="Times New Roman" w:hAnsi="Times New Roman" w:cs="Times New Roman"/>
                <w:color w:val="auto"/>
                <w:kern w:val="0"/>
                <w:lang w:val="en-US" w:eastAsia="zh-CN"/>
              </w:rPr>
              <w:t>本项目为</w:t>
            </w:r>
            <w:r>
              <w:rPr>
                <w:rFonts w:hint="default" w:ascii="Times New Roman" w:hAnsi="Times New Roman" w:eastAsia="宋体" w:cs="Times New Roman"/>
                <w:color w:val="auto"/>
                <w:lang w:val="en-US" w:eastAsia="zh-CN"/>
              </w:rPr>
              <w:t>镍矿</w:t>
            </w:r>
            <w:r>
              <w:rPr>
                <w:rFonts w:hint="eastAsia" w:ascii="Times New Roman" w:hAnsi="Times New Roman" w:cs="Times New Roman"/>
                <w:color w:val="auto"/>
                <w:kern w:val="0"/>
                <w:lang w:val="en-US" w:eastAsia="zh-CN"/>
              </w:rPr>
              <w:t>地质</w:t>
            </w:r>
            <w:r>
              <w:rPr>
                <w:rFonts w:hint="eastAsia"/>
                <w:lang w:val="en-US" w:eastAsia="zh-CN"/>
              </w:rPr>
              <w:t>勘查</w:t>
            </w:r>
            <w:r>
              <w:rPr>
                <w:rFonts w:hint="eastAsia" w:ascii="Times New Roman" w:hAnsi="Times New Roman" w:cs="Times New Roman"/>
                <w:color w:val="auto"/>
                <w:kern w:val="0"/>
                <w:lang w:val="en-US" w:eastAsia="zh-CN"/>
              </w:rPr>
              <w:t>项目，</w:t>
            </w:r>
            <w:r>
              <w:rPr>
                <w:rFonts w:hint="eastAsia" w:cs="Times New Roman"/>
                <w:color w:val="auto"/>
                <w:kern w:val="0"/>
                <w:lang w:val="en-US" w:eastAsia="zh-CN"/>
              </w:rPr>
              <w:t>属于重点勘查矿种，</w:t>
            </w:r>
            <w:r>
              <w:rPr>
                <w:rFonts w:hint="eastAsia" w:ascii="Times New Roman" w:hAnsi="Times New Roman" w:eastAsia="宋体" w:cs="Times New Roman"/>
                <w:color w:val="auto"/>
                <w:lang w:val="en-US" w:eastAsia="zh-CN"/>
              </w:rPr>
              <w:t>采用地质草测、地质剖面、地化（岩石）剖面测量、槽探工程及样品测试等综合勘查技术方法</w:t>
            </w:r>
            <w:r>
              <w:rPr>
                <w:rFonts w:hint="eastAsia" w:ascii="Times New Roman" w:hAnsi="Times New Roman" w:cs="Times New Roman"/>
                <w:color w:val="auto"/>
                <w:kern w:val="0"/>
                <w:lang w:val="en-US" w:eastAsia="zh-CN"/>
              </w:rPr>
              <w:t>，符合上述《规划》的发展要求。</w:t>
            </w:r>
          </w:p>
          <w:p w14:paraId="14B3A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both"/>
              <w:textAlignment w:val="auto"/>
              <w:rPr>
                <w:rFonts w:hint="default" w:ascii="Times New Roman" w:hAnsi="Times New Roman" w:eastAsia="宋体" w:cs="Times New Roman"/>
                <w:b/>
                <w:bCs/>
                <w:color w:val="auto"/>
                <w:kern w:val="2"/>
                <w:sz w:val="24"/>
                <w:szCs w:val="24"/>
              </w:rPr>
            </w:pPr>
            <w:r>
              <w:rPr>
                <w:rFonts w:hint="eastAsia" w:ascii="Times New Roman" w:hAnsi="Times New Roman" w:cs="Times New Roman"/>
                <w:b/>
                <w:bCs/>
                <w:color w:val="auto"/>
                <w:kern w:val="0"/>
                <w:lang w:val="en-US" w:eastAsia="zh-CN"/>
              </w:rPr>
              <w:t>4.</w:t>
            </w:r>
            <w:r>
              <w:rPr>
                <w:rFonts w:hint="eastAsia" w:ascii="宋体" w:hAnsi="宋体" w:eastAsia="宋体" w:cs="宋体"/>
                <w:b/>
                <w:bCs/>
                <w:color w:val="auto"/>
                <w:kern w:val="2"/>
                <w:sz w:val="24"/>
                <w:szCs w:val="24"/>
                <w:lang w:val="en-US" w:eastAsia="zh-CN" w:bidi="ar"/>
              </w:rPr>
              <w:t>与《新疆维吾尔自治区和静县矿产资源总体规划（</w:t>
            </w:r>
            <w:r>
              <w:rPr>
                <w:rFonts w:hint="default" w:ascii="Times New Roman" w:hAnsi="Times New Roman" w:eastAsia="宋体" w:cs="Times New Roman"/>
                <w:b/>
                <w:bCs/>
                <w:color w:val="auto"/>
                <w:kern w:val="2"/>
                <w:sz w:val="24"/>
                <w:szCs w:val="24"/>
                <w:lang w:val="en-US" w:eastAsia="zh-CN" w:bidi="ar"/>
              </w:rPr>
              <w:t>2021</w:t>
            </w:r>
            <w:r>
              <w:rPr>
                <w:rFonts w:hint="eastAsia" w:ascii="Times New Roman" w:hAnsi="Times New Roman" w:eastAsia="宋体" w:cs="Times New Roman"/>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2025</w:t>
            </w:r>
            <w:r>
              <w:rPr>
                <w:rFonts w:hint="eastAsia" w:ascii="宋体" w:hAnsi="宋体" w:eastAsia="宋体" w:cs="宋体"/>
                <w:b/>
                <w:bCs/>
                <w:color w:val="auto"/>
                <w:kern w:val="2"/>
                <w:sz w:val="24"/>
                <w:szCs w:val="24"/>
                <w:lang w:val="en-US" w:eastAsia="zh-CN" w:bidi="ar"/>
              </w:rPr>
              <w:t>年）》相符性分析</w:t>
            </w:r>
          </w:p>
          <w:p w14:paraId="5AE7A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Style w:val="38"/>
                <w:rFonts w:hint="eastAsia"/>
                <w:lang w:val="en-US" w:eastAsia="zh-CN"/>
              </w:rPr>
            </w:pPr>
            <w:r>
              <w:rPr>
                <w:rFonts w:hint="eastAsia" w:ascii="宋体" w:hAnsi="宋体" w:eastAsia="宋体" w:cs="宋体"/>
                <w:color w:val="auto"/>
                <w:kern w:val="2"/>
                <w:sz w:val="24"/>
                <w:szCs w:val="24"/>
                <w:lang w:val="en-US" w:eastAsia="zh-CN" w:bidi="ar"/>
              </w:rPr>
              <w:t>根据《新疆维吾尔自治区和静县矿产资源总体规划（</w:t>
            </w:r>
            <w:r>
              <w:rPr>
                <w:rFonts w:hint="default" w:ascii="Times New Roman" w:hAnsi="Times New Roman" w:eastAsia="宋体" w:cs="Times New Roman"/>
                <w:color w:val="auto"/>
                <w:kern w:val="2"/>
                <w:sz w:val="24"/>
                <w:szCs w:val="24"/>
                <w:lang w:val="en-US" w:eastAsia="zh-CN" w:bidi="ar"/>
              </w:rPr>
              <w:t>2021</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2025</w:t>
            </w:r>
            <w:r>
              <w:rPr>
                <w:rFonts w:hint="eastAsia" w:ascii="宋体" w:hAnsi="宋体" w:eastAsia="宋体" w:cs="宋体"/>
                <w:color w:val="auto"/>
                <w:kern w:val="2"/>
                <w:sz w:val="24"/>
                <w:szCs w:val="24"/>
                <w:lang w:val="en-US" w:eastAsia="zh-CN" w:bidi="ar"/>
              </w:rPr>
              <w:t>年）》中矿产资源勘查开采调控方向，</w:t>
            </w:r>
            <w:r>
              <w:rPr>
                <w:rStyle w:val="38"/>
                <w:rFonts w:hint="eastAsia"/>
                <w:lang w:val="en-US" w:eastAsia="zh-CN"/>
              </w:rPr>
              <w:t>落实国家能源资源安全战略，结合和静县实际，合理确定重点、限制、禁止勘查开采矿种。</w:t>
            </w:r>
          </w:p>
          <w:p w14:paraId="4C07B6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eastAsia" w:ascii="Times New Roman" w:hAnsi="Times New Roman" w:cs="Times New Roman"/>
              </w:rPr>
            </w:pPr>
            <w:r>
              <w:rPr>
                <w:rFonts w:hint="eastAsia" w:ascii="Times New Roman" w:hAnsi="Times New Roman" w:cs="Times New Roman"/>
              </w:rPr>
              <w:t>重点勘查矿种：页岩气、煤、煤层气、地热等能源矿产，铁、铜、铅锌、镍、锡、金、银、锂、铍、铌、钽等金属矿产，萤石、硅质原料、菱镁矿等非金属矿产。</w:t>
            </w:r>
          </w:p>
          <w:p w14:paraId="7B4A0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eastAsia" w:ascii="宋体" w:hAnsi="宋体" w:eastAsia="宋体" w:cs="宋体"/>
                <w:color w:val="auto"/>
                <w:kern w:val="2"/>
                <w:sz w:val="24"/>
                <w:szCs w:val="24"/>
                <w:lang w:val="en-US" w:eastAsia="zh-CN" w:bidi="ar"/>
              </w:rPr>
            </w:pPr>
            <w:r>
              <w:rPr>
                <w:rFonts w:hint="default" w:ascii="Times New Roman" w:hAnsi="Times New Roman" w:cs="Times New Roman"/>
              </w:rPr>
              <w:t>限制</w:t>
            </w:r>
            <w:r>
              <w:rPr>
                <w:rFonts w:hint="eastAsia" w:ascii="Times New Roman" w:hAnsi="Times New Roman" w:cs="Times New Roman"/>
                <w:lang w:val="en-US" w:eastAsia="zh-CN"/>
              </w:rPr>
              <w:t>或</w:t>
            </w:r>
            <w:r>
              <w:rPr>
                <w:rFonts w:hint="default" w:ascii="Times New Roman" w:hAnsi="Times New Roman" w:cs="Times New Roman"/>
              </w:rPr>
              <w:t>禁止勘查矿种</w:t>
            </w:r>
            <w:r>
              <w:rPr>
                <w:rFonts w:hint="eastAsia" w:ascii="Times New Roman" w:hAnsi="Times New Roman" w:cs="Times New Roman"/>
              </w:rPr>
              <w:t>：原则上不存在限制</w:t>
            </w:r>
            <w:r>
              <w:rPr>
                <w:rFonts w:hint="eastAsia" w:ascii="Times New Roman" w:hAnsi="Times New Roman" w:cs="Times New Roman"/>
                <w:lang w:val="en-US" w:eastAsia="zh-CN"/>
              </w:rPr>
              <w:t>或</w:t>
            </w:r>
            <w:r>
              <w:rPr>
                <w:rFonts w:hint="eastAsia" w:ascii="Times New Roman" w:hAnsi="Times New Roman" w:cs="Times New Roman"/>
              </w:rPr>
              <w:t>禁止勘查矿种，仅针对目前无法开采，或开采成本较高、效益低下的矿种，相应降低勘查程度或暂缓勘查，将有限的勘查</w:t>
            </w:r>
            <w:r>
              <w:rPr>
                <w:rFonts w:hint="eastAsia" w:cs="Times New Roman"/>
                <w:lang w:eastAsia="zh-CN"/>
              </w:rPr>
              <w:t>资金投入</w:t>
            </w:r>
            <w:r>
              <w:rPr>
                <w:rFonts w:hint="eastAsia" w:ascii="Times New Roman" w:hAnsi="Times New Roman" w:cs="Times New Roman"/>
              </w:rPr>
              <w:t>急需的矿种勘查工作中去。</w:t>
            </w:r>
          </w:p>
          <w:p w14:paraId="425BD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eastAsia" w:ascii="宋体" w:hAnsi="宋体" w:eastAsia="宋体" w:cs="宋体"/>
                <w:color w:val="auto"/>
                <w:kern w:val="2"/>
                <w:sz w:val="24"/>
                <w:szCs w:val="24"/>
                <w:lang w:val="en-US" w:eastAsia="zh-CN" w:bidi="ar"/>
              </w:rPr>
            </w:pPr>
            <w:r>
              <w:rPr>
                <w:rFonts w:hint="eastAsia" w:ascii="Times New Roman" w:hAnsi="Times New Roman" w:cs="Times New Roman"/>
                <w:color w:val="auto"/>
                <w:kern w:val="0"/>
                <w:lang w:val="en-US" w:eastAsia="zh-CN"/>
              </w:rPr>
              <w:t>本项目为</w:t>
            </w:r>
            <w:r>
              <w:rPr>
                <w:rFonts w:hint="default" w:ascii="Times New Roman" w:hAnsi="Times New Roman" w:eastAsia="宋体" w:cs="Times New Roman"/>
                <w:color w:val="auto"/>
                <w:lang w:val="en-US" w:eastAsia="zh-CN"/>
              </w:rPr>
              <w:t>镍矿</w:t>
            </w:r>
            <w:r>
              <w:rPr>
                <w:rFonts w:hint="eastAsia" w:ascii="Times New Roman" w:hAnsi="Times New Roman" w:cs="Times New Roman"/>
                <w:color w:val="auto"/>
                <w:kern w:val="0"/>
                <w:lang w:val="en-US" w:eastAsia="zh-CN"/>
              </w:rPr>
              <w:t>地质</w:t>
            </w:r>
            <w:r>
              <w:rPr>
                <w:rFonts w:hint="eastAsia"/>
                <w:lang w:val="en-US" w:eastAsia="zh-CN"/>
              </w:rPr>
              <w:t>勘查</w:t>
            </w:r>
            <w:r>
              <w:rPr>
                <w:rFonts w:hint="eastAsia" w:ascii="Times New Roman" w:hAnsi="Times New Roman" w:cs="Times New Roman"/>
                <w:color w:val="auto"/>
                <w:kern w:val="0"/>
                <w:lang w:val="en-US" w:eastAsia="zh-CN"/>
              </w:rPr>
              <w:t>项目</w:t>
            </w:r>
            <w:r>
              <w:rPr>
                <w:rFonts w:hint="eastAsia" w:ascii="宋体" w:hAnsi="宋体" w:eastAsia="宋体" w:cs="宋体"/>
                <w:color w:val="auto"/>
                <w:kern w:val="2"/>
                <w:sz w:val="24"/>
                <w:szCs w:val="24"/>
                <w:lang w:val="en-US" w:eastAsia="zh-CN" w:bidi="ar"/>
              </w:rPr>
              <w:t>，</w:t>
            </w:r>
            <w:r>
              <w:rPr>
                <w:rFonts w:hint="eastAsia" w:cs="Times New Roman"/>
                <w:color w:val="auto"/>
                <w:kern w:val="0"/>
                <w:lang w:val="en-US" w:eastAsia="zh-CN"/>
              </w:rPr>
              <w:t>属于重点勘查矿种，</w:t>
            </w:r>
            <w:r>
              <w:rPr>
                <w:rFonts w:hint="eastAsia" w:ascii="Times New Roman" w:hAnsi="Times New Roman" w:eastAsia="宋体" w:cs="Times New Roman"/>
                <w:color w:val="auto"/>
                <w:lang w:val="en-US" w:eastAsia="zh-CN"/>
              </w:rPr>
              <w:t>采用地质草测、地质剖面、地化（岩石）剖面测量、槽探工程及样品测试等综合勘查技术方法</w:t>
            </w:r>
            <w:r>
              <w:rPr>
                <w:rFonts w:hint="eastAsia" w:cs="Times New Roman"/>
                <w:color w:val="auto"/>
                <w:lang w:val="en-US" w:eastAsia="zh-CN"/>
              </w:rPr>
              <w:t>，</w:t>
            </w:r>
            <w:r>
              <w:rPr>
                <w:rFonts w:hint="eastAsia" w:ascii="宋体" w:hAnsi="宋体" w:eastAsia="宋体" w:cs="宋体"/>
                <w:color w:val="auto"/>
                <w:kern w:val="2"/>
                <w:sz w:val="24"/>
                <w:szCs w:val="24"/>
                <w:lang w:val="en-US" w:eastAsia="zh-CN" w:bidi="ar"/>
              </w:rPr>
              <w:t>故符合《新疆维吾尔自治区和静县矿产资源总体规划（</w:t>
            </w:r>
            <w:r>
              <w:rPr>
                <w:rFonts w:hint="default" w:ascii="Times New Roman" w:hAnsi="Times New Roman" w:eastAsia="宋体" w:cs="Times New Roman"/>
                <w:color w:val="auto"/>
                <w:kern w:val="2"/>
                <w:sz w:val="24"/>
                <w:szCs w:val="24"/>
                <w:lang w:val="en-US" w:eastAsia="zh-CN" w:bidi="ar"/>
              </w:rPr>
              <w:t>2021</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2025</w:t>
            </w:r>
            <w:r>
              <w:rPr>
                <w:rFonts w:hint="eastAsia" w:ascii="宋体" w:hAnsi="宋体" w:eastAsia="宋体" w:cs="宋体"/>
                <w:color w:val="auto"/>
                <w:kern w:val="2"/>
                <w:sz w:val="24"/>
                <w:szCs w:val="24"/>
                <w:lang w:val="en-US" w:eastAsia="zh-CN" w:bidi="ar"/>
              </w:rPr>
              <w:t>年）》。</w:t>
            </w:r>
          </w:p>
          <w:p w14:paraId="4DB2F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both"/>
              <w:textAlignment w:val="auto"/>
              <w:rPr>
                <w:rFonts w:hint="default" w:ascii="Times New Roman" w:hAnsi="Times New Roman" w:eastAsia="宋体" w:cs="Times New Roman"/>
                <w:b/>
                <w:bCs/>
                <w:color w:val="auto"/>
                <w:kern w:val="2"/>
                <w:sz w:val="24"/>
                <w:szCs w:val="24"/>
                <w:highlight w:val="none"/>
              </w:rPr>
            </w:pPr>
            <w:r>
              <w:rPr>
                <w:rFonts w:hint="default" w:ascii="Times New Roman" w:hAnsi="Times New Roman" w:cs="Times New Roman"/>
                <w:b/>
                <w:bCs/>
                <w:color w:val="auto"/>
                <w:kern w:val="0"/>
                <w:highlight w:val="none"/>
                <w:lang w:val="en-US" w:eastAsia="zh-CN"/>
              </w:rPr>
              <w:t>5.</w:t>
            </w:r>
            <w:r>
              <w:rPr>
                <w:rFonts w:hint="default" w:ascii="Times New Roman" w:hAnsi="Times New Roman" w:eastAsia="宋体" w:cs="Times New Roman"/>
                <w:b/>
                <w:bCs/>
                <w:color w:val="auto"/>
                <w:kern w:val="2"/>
                <w:sz w:val="24"/>
                <w:szCs w:val="24"/>
                <w:highlight w:val="none"/>
                <w:lang w:val="en-US" w:eastAsia="zh-CN" w:bidi="ar"/>
              </w:rPr>
              <w:t>与《和静县</w:t>
            </w:r>
            <w:r>
              <w:rPr>
                <w:rFonts w:hint="default" w:ascii="Times New Roman" w:hAnsi="Times New Roman" w:cs="Times New Roman"/>
                <w:b/>
                <w:bCs/>
                <w:color w:val="auto"/>
                <w:kern w:val="2"/>
                <w:sz w:val="24"/>
                <w:szCs w:val="24"/>
                <w:highlight w:val="none"/>
                <w:lang w:val="en-US" w:eastAsia="zh-CN" w:bidi="ar"/>
              </w:rPr>
              <w:t>国土空间</w:t>
            </w:r>
            <w:r>
              <w:rPr>
                <w:rFonts w:hint="default" w:ascii="Times New Roman" w:hAnsi="Times New Roman" w:eastAsia="宋体" w:cs="Times New Roman"/>
                <w:b/>
                <w:bCs/>
                <w:color w:val="auto"/>
                <w:kern w:val="2"/>
                <w:sz w:val="24"/>
                <w:szCs w:val="24"/>
                <w:highlight w:val="none"/>
                <w:lang w:val="en-US" w:eastAsia="zh-CN" w:bidi="ar"/>
              </w:rPr>
              <w:t>总体规划（2021—20</w:t>
            </w:r>
            <w:r>
              <w:rPr>
                <w:rFonts w:hint="default" w:ascii="Times New Roman" w:hAnsi="Times New Roman" w:cs="Times New Roman"/>
                <w:b/>
                <w:bCs/>
                <w:color w:val="auto"/>
                <w:kern w:val="2"/>
                <w:sz w:val="24"/>
                <w:szCs w:val="24"/>
                <w:highlight w:val="none"/>
                <w:lang w:val="en-US" w:eastAsia="zh-CN" w:bidi="ar"/>
              </w:rPr>
              <w:t>3</w:t>
            </w:r>
            <w:r>
              <w:rPr>
                <w:rFonts w:hint="default" w:ascii="Times New Roman" w:hAnsi="Times New Roman" w:eastAsia="宋体" w:cs="Times New Roman"/>
                <w:b/>
                <w:bCs/>
                <w:color w:val="auto"/>
                <w:kern w:val="2"/>
                <w:sz w:val="24"/>
                <w:szCs w:val="24"/>
                <w:highlight w:val="none"/>
                <w:lang w:val="en-US" w:eastAsia="zh-CN" w:bidi="ar"/>
              </w:rPr>
              <w:t>5年）》相符性分析</w:t>
            </w:r>
          </w:p>
          <w:p w14:paraId="43F20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default" w:ascii="Times New Roman" w:hAnsi="Times New Roman"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根据《和静县国土空间总体规划（2021—2035年）》</w:t>
            </w:r>
            <w:r>
              <w:rPr>
                <w:rFonts w:hint="default" w:ascii="Times New Roman" w:hAnsi="Times New Roman" w:cs="Times New Roman"/>
                <w:color w:val="auto"/>
                <w:kern w:val="2"/>
                <w:sz w:val="24"/>
                <w:szCs w:val="24"/>
                <w:highlight w:val="none"/>
                <w:lang w:val="en-US" w:eastAsia="zh-CN" w:bidi="ar"/>
              </w:rPr>
              <w:t>中“</w:t>
            </w:r>
            <w:r>
              <w:rPr>
                <w:rFonts w:hint="default" w:ascii="Times New Roman" w:hAnsi="Times New Roman" w:eastAsia="宋体" w:cs="Times New Roman"/>
                <w:color w:val="auto"/>
                <w:kern w:val="2"/>
                <w:sz w:val="24"/>
                <w:szCs w:val="24"/>
                <w:highlight w:val="none"/>
                <w:lang w:val="en-US" w:eastAsia="zh-CN" w:bidi="ar"/>
              </w:rPr>
              <w:t>第八章加强矿产资源保护与利用</w:t>
            </w:r>
            <w:r>
              <w:rPr>
                <w:rFonts w:hint="default" w:ascii="Times New Roman" w:hAnsi="Times New Roman"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第一节 重点区域</w:t>
            </w:r>
            <w:r>
              <w:rPr>
                <w:rFonts w:hint="default" w:ascii="Times New Roman" w:hAnsi="Times New Roman"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第85条矿产资源产业重点发展区域</w:t>
            </w:r>
            <w:r>
              <w:rPr>
                <w:rFonts w:hint="default" w:ascii="Times New Roman" w:hAnsi="Times New Roman"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落实国家资源安全战略部署和自治区矿产资源基地建设。依托查岗诺尔、诺尔湖、敦德、备战推进建成天山铁矿基地、和静-库尔勒黑色金属基地，规划6个矿产资源勘查开发基地，分别是巴音布鲁克勘查开发基地、火烧桥勘查开发基地、古伦沟勘查开发基地、开都河勘查开发基地、阿拉沟勘查开发基地、克尔古提勘查开发基地。</w:t>
            </w:r>
            <w:r>
              <w:rPr>
                <w:rFonts w:hint="default" w:ascii="Times New Roman" w:hAnsi="Times New Roman" w:cs="Times New Roman"/>
                <w:color w:val="auto"/>
                <w:kern w:val="2"/>
                <w:sz w:val="24"/>
                <w:szCs w:val="24"/>
                <w:highlight w:val="none"/>
                <w:lang w:val="en-US" w:eastAsia="zh-CN" w:bidi="ar"/>
              </w:rPr>
              <w:t>”</w:t>
            </w:r>
          </w:p>
          <w:p w14:paraId="2DB238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default" w:ascii="Times New Roman" w:hAnsi="Times New Roman" w:cs="Times New Roman"/>
                <w:color w:val="auto"/>
                <w:kern w:val="2"/>
                <w:sz w:val="24"/>
                <w:szCs w:val="24"/>
                <w:highlight w:val="none"/>
                <w:lang w:val="en-US" w:eastAsia="zh-CN" w:bidi="ar"/>
              </w:rPr>
            </w:pPr>
            <w:r>
              <w:rPr>
                <w:rFonts w:hint="default" w:ascii="Times New Roman" w:hAnsi="Times New Roman" w:cs="Times New Roman"/>
                <w:color w:val="auto"/>
                <w:kern w:val="2"/>
                <w:sz w:val="24"/>
                <w:szCs w:val="24"/>
                <w:highlight w:val="none"/>
                <w:lang w:val="en-US" w:eastAsia="zh-CN" w:bidi="ar"/>
              </w:rPr>
              <w:t>鼓励开采铁、锰、铜、铅锌、金、菱镁矿、石英岩、萤石等金属及非金属矿产，限制开采粘土矿、钨、稀土。保持铁、有色金属、特色非金属产量稳中有增。</w:t>
            </w:r>
          </w:p>
          <w:p w14:paraId="6EF92D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default" w:ascii="Times New Roman" w:hAnsi="Times New Roman" w:cs="Times New Roman"/>
                <w:color w:val="auto"/>
                <w:kern w:val="2"/>
                <w:sz w:val="24"/>
                <w:szCs w:val="24"/>
                <w:highlight w:val="none"/>
                <w:lang w:val="en-US" w:eastAsia="zh-CN" w:bidi="ar"/>
              </w:rPr>
            </w:pPr>
            <w:r>
              <w:rPr>
                <w:rFonts w:hint="default" w:ascii="Times New Roman" w:hAnsi="Times New Roman" w:cs="Times New Roman"/>
                <w:color w:val="auto"/>
                <w:kern w:val="2"/>
                <w:sz w:val="24"/>
                <w:szCs w:val="24"/>
                <w:highlight w:val="none"/>
                <w:lang w:val="en-US" w:eastAsia="zh-CN" w:bidi="ar"/>
              </w:rPr>
              <w:t>本项目位于</w:t>
            </w:r>
            <w:r>
              <w:rPr>
                <w:rFonts w:hint="default" w:ascii="Times New Roman" w:hAnsi="Times New Roman" w:eastAsia="宋体" w:cs="Times New Roman"/>
                <w:color w:val="auto"/>
                <w:kern w:val="2"/>
                <w:sz w:val="24"/>
                <w:szCs w:val="24"/>
                <w:highlight w:val="none"/>
                <w:lang w:val="en-US" w:eastAsia="zh-CN" w:bidi="ar"/>
              </w:rPr>
              <w:t>《和静县国土空间总体规划（2021—2035年）》</w:t>
            </w:r>
            <w:r>
              <w:rPr>
                <w:rFonts w:hint="default" w:ascii="Times New Roman" w:hAnsi="Times New Roman" w:cs="Times New Roman"/>
                <w:color w:val="auto"/>
                <w:kern w:val="2"/>
                <w:sz w:val="24"/>
                <w:szCs w:val="24"/>
                <w:highlight w:val="none"/>
                <w:lang w:val="en-US" w:eastAsia="zh-CN" w:bidi="ar"/>
              </w:rPr>
              <w:t>中的</w:t>
            </w:r>
            <w:r>
              <w:rPr>
                <w:rFonts w:hint="default" w:ascii="Times New Roman" w:hAnsi="Times New Roman" w:eastAsia="宋体" w:cs="Times New Roman"/>
                <w:color w:val="auto"/>
                <w:kern w:val="2"/>
                <w:sz w:val="24"/>
                <w:szCs w:val="24"/>
                <w:highlight w:val="none"/>
                <w:lang w:val="en-US" w:eastAsia="zh-CN" w:bidi="ar"/>
              </w:rPr>
              <w:t>克尔古提勘查开发基地</w:t>
            </w:r>
            <w:r>
              <w:rPr>
                <w:rFonts w:hint="default" w:ascii="Times New Roman" w:hAnsi="Times New Roman" w:cs="Times New Roman"/>
                <w:color w:val="auto"/>
                <w:kern w:val="2"/>
                <w:sz w:val="24"/>
                <w:szCs w:val="24"/>
                <w:highlight w:val="none"/>
                <w:lang w:val="en-US" w:eastAsia="zh-CN" w:bidi="ar"/>
              </w:rPr>
              <w:t>，勘查矿种为</w:t>
            </w:r>
            <w:r>
              <w:rPr>
                <w:rFonts w:hint="default" w:ascii="Times New Roman" w:hAnsi="Times New Roman" w:eastAsia="宋体" w:cs="Times New Roman"/>
                <w:color w:val="auto"/>
                <w:lang w:val="en-US" w:eastAsia="zh-CN"/>
              </w:rPr>
              <w:t>镍矿</w:t>
            </w:r>
            <w:r>
              <w:rPr>
                <w:rFonts w:hint="default" w:ascii="Times New Roman" w:hAnsi="Times New Roman"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故符合《和静县国土空间总体规划（2021—2035年）》</w:t>
            </w:r>
            <w:r>
              <w:rPr>
                <w:rFonts w:hint="default" w:ascii="Times New Roman" w:hAnsi="Times New Roman" w:cs="Times New Roman"/>
                <w:color w:val="auto"/>
                <w:kern w:val="2"/>
                <w:sz w:val="24"/>
                <w:szCs w:val="24"/>
                <w:highlight w:val="none"/>
                <w:lang w:val="en-US" w:eastAsia="zh-CN" w:bidi="ar"/>
              </w:rPr>
              <w:t>。</w:t>
            </w:r>
          </w:p>
          <w:p w14:paraId="36BA5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both"/>
              <w:textAlignment w:val="auto"/>
              <w:rPr>
                <w:rFonts w:hint="default" w:ascii="Times New Roman" w:hAnsi="Times New Roman" w:eastAsia="宋体" w:cs="Times New Roman"/>
                <w:b/>
                <w:bCs/>
                <w:color w:val="auto"/>
                <w:kern w:val="2"/>
                <w:sz w:val="24"/>
                <w:szCs w:val="24"/>
                <w:highlight w:val="none"/>
              </w:rPr>
            </w:pPr>
            <w:r>
              <w:rPr>
                <w:rFonts w:hint="eastAsia" w:cs="Times New Roman"/>
                <w:b/>
                <w:bCs/>
                <w:color w:val="auto"/>
                <w:kern w:val="0"/>
                <w:highlight w:val="none"/>
                <w:lang w:val="en-US" w:eastAsia="zh-CN"/>
              </w:rPr>
              <w:t>6</w:t>
            </w:r>
            <w:r>
              <w:rPr>
                <w:rFonts w:hint="eastAsia" w:ascii="Times New Roman" w:hAnsi="Times New Roman" w:cs="Times New Roman"/>
                <w:b/>
                <w:bCs/>
                <w:color w:val="auto"/>
                <w:kern w:val="0"/>
                <w:highlight w:val="none"/>
                <w:lang w:val="en-US" w:eastAsia="zh-CN"/>
              </w:rPr>
              <w:t>.</w:t>
            </w:r>
            <w:r>
              <w:rPr>
                <w:rFonts w:hint="eastAsia" w:ascii="宋体" w:hAnsi="宋体" w:eastAsia="宋体" w:cs="宋体"/>
                <w:b/>
                <w:bCs/>
                <w:color w:val="auto"/>
                <w:kern w:val="2"/>
                <w:sz w:val="24"/>
                <w:szCs w:val="24"/>
                <w:highlight w:val="none"/>
                <w:lang w:val="en-US" w:eastAsia="zh-CN" w:bidi="ar"/>
              </w:rPr>
              <w:t>与《新疆维吾尔自治区林业草原保护利用“十五五”规划</w:t>
            </w:r>
            <w:r>
              <w:rPr>
                <w:rFonts w:hint="eastAsia" w:ascii="宋体" w:hAnsi="宋体" w:cs="宋体"/>
                <w:b/>
                <w:bCs/>
                <w:color w:val="auto"/>
                <w:kern w:val="2"/>
                <w:sz w:val="24"/>
                <w:szCs w:val="24"/>
                <w:highlight w:val="none"/>
                <w:lang w:val="en-US" w:eastAsia="zh-CN" w:bidi="ar"/>
              </w:rPr>
              <w:t>（征求意见稿）</w:t>
            </w:r>
            <w:r>
              <w:rPr>
                <w:rFonts w:hint="eastAsia" w:ascii="宋体" w:hAnsi="宋体" w:eastAsia="宋体" w:cs="宋体"/>
                <w:b/>
                <w:bCs/>
                <w:color w:val="auto"/>
                <w:kern w:val="2"/>
                <w:sz w:val="24"/>
                <w:szCs w:val="24"/>
                <w:highlight w:val="none"/>
                <w:lang w:val="en-US" w:eastAsia="zh-CN" w:bidi="ar"/>
              </w:rPr>
              <w:t>》相符性分析</w:t>
            </w:r>
          </w:p>
          <w:p w14:paraId="19C628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eastAsia" w:ascii="宋体" w:hAnsi="宋体" w:cs="宋体"/>
                <w:color w:val="auto"/>
                <w:kern w:val="2"/>
                <w:sz w:val="24"/>
                <w:szCs w:val="24"/>
                <w:highlight w:val="none"/>
                <w:lang w:val="en-US" w:eastAsia="zh-CN" w:bidi="ar"/>
              </w:rPr>
            </w:pPr>
            <w:r>
              <w:rPr>
                <w:rFonts w:hint="default" w:ascii="宋体" w:hAnsi="宋体" w:cs="宋体"/>
                <w:color w:val="auto"/>
                <w:kern w:val="2"/>
                <w:sz w:val="24"/>
                <w:szCs w:val="24"/>
                <w:highlight w:val="none"/>
                <w:lang w:val="en-US" w:eastAsia="zh-CN" w:bidi="ar"/>
              </w:rPr>
              <w:t>《新疆维吾尔自治区林业草原保护利用“十五五”规划（征求意见稿）》</w:t>
            </w:r>
            <w:r>
              <w:rPr>
                <w:rFonts w:hint="eastAsia" w:ascii="宋体" w:hAnsi="宋体" w:cs="宋体"/>
                <w:color w:val="auto"/>
                <w:kern w:val="2"/>
                <w:sz w:val="24"/>
                <w:szCs w:val="24"/>
                <w:highlight w:val="none"/>
                <w:lang w:val="en-US" w:eastAsia="zh-CN" w:bidi="ar"/>
              </w:rPr>
              <w:t>中提出“</w:t>
            </w:r>
            <w:r>
              <w:rPr>
                <w:rFonts w:hint="default" w:ascii="宋体" w:hAnsi="宋体" w:cs="宋体"/>
                <w:color w:val="auto"/>
                <w:kern w:val="2"/>
                <w:sz w:val="24"/>
                <w:szCs w:val="24"/>
                <w:highlight w:val="none"/>
                <w:lang w:val="en-US" w:eastAsia="zh-CN" w:bidi="ar"/>
              </w:rPr>
              <w:t>推进山水林田湖草沙一体化治理，加快水土保持综合治理、矿区植被恢复、耕地休耕制度试点建设，聚焦塔克拉玛干、古尔班通古特等沙漠边缘关键带，拓展防沙治沙空间，建设立体防风固沙阻沙网络。</w:t>
            </w:r>
            <w:r>
              <w:rPr>
                <w:rFonts w:hint="eastAsia" w:ascii="宋体" w:hAnsi="宋体" w:cs="宋体"/>
                <w:color w:val="auto"/>
                <w:kern w:val="2"/>
                <w:sz w:val="24"/>
                <w:szCs w:val="24"/>
                <w:highlight w:val="none"/>
                <w:lang w:val="en-US" w:eastAsia="zh-CN" w:bidi="ar"/>
              </w:rPr>
              <w:t>”</w:t>
            </w:r>
          </w:p>
          <w:p w14:paraId="663855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rPr>
                <w:rFonts w:hint="default" w:ascii="宋体" w:hAnsi="宋体" w:eastAsia="宋体" w:cs="宋体"/>
                <w:color w:val="auto"/>
                <w:kern w:val="2"/>
                <w:sz w:val="24"/>
                <w:szCs w:val="24"/>
                <w:lang w:val="en-US" w:eastAsia="zh-CN" w:bidi="ar"/>
              </w:rPr>
            </w:pPr>
            <w:r>
              <w:rPr>
                <w:rFonts w:hint="eastAsia" w:cs="Times New Roman"/>
                <w:color w:val="auto"/>
                <w:highlight w:val="none"/>
                <w:lang w:val="en-US" w:eastAsia="zh-CN"/>
              </w:rPr>
              <w:t>本项目勘查结束后生态恢复工作同时满足《绿色地质勘查工作规范》（DZ/T0374—2021）完工恢复、验收相关条款及《矿山生态修复技术规范》修复质量管控要求。全部临时占地、取样坑、临时营地统一清理平整，施工设备、管材、样品器具全部清运出场，无任何生产生活废弃物遗留；平整完成后覆土厚度统一≥20cm，采用前期剥离原生表土覆盖；覆土完成后播撒本土原生耐旱草种，建立2年恢复期跟踪监测机制，验收核心量化指标：植被恢复率≥70%，表层土壤有机质含量恢复至原生状态70%以上；全矿区完成恢复后开展全域巡视核查，对植被稀疏、覆土不足区域二次补土、补播，直至达到量化验收标准；严格落实“边勘查、边恢复”，杜绝以探代采、长期大面积裸露地表；拆除全部临时帐篷、一体化污水处理设施，所有不可循环利用生活垃圾密闭转运至城镇垃圾收集点处置；故符合</w:t>
            </w:r>
            <w:r>
              <w:rPr>
                <w:rFonts w:hint="default" w:ascii="宋体" w:hAnsi="宋体" w:cs="宋体"/>
                <w:color w:val="auto"/>
                <w:kern w:val="2"/>
                <w:sz w:val="24"/>
                <w:szCs w:val="24"/>
                <w:highlight w:val="none"/>
                <w:lang w:val="en-US" w:eastAsia="zh-CN" w:bidi="ar"/>
              </w:rPr>
              <w:t>《新疆维吾尔自治区林业草原保护利用“十五五”规划（征求意见稿）》</w:t>
            </w:r>
            <w:r>
              <w:rPr>
                <w:rFonts w:hint="eastAsia" w:ascii="宋体" w:hAnsi="宋体" w:cs="宋体"/>
                <w:color w:val="auto"/>
                <w:kern w:val="2"/>
                <w:sz w:val="24"/>
                <w:szCs w:val="24"/>
                <w:highlight w:val="none"/>
                <w:lang w:val="en-US" w:eastAsia="zh-CN" w:bidi="ar"/>
              </w:rPr>
              <w:t>中相关要求。</w:t>
            </w:r>
          </w:p>
        </w:tc>
      </w:tr>
      <w:tr w14:paraId="50A0AF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424" w:type="dxa"/>
            <w:noWrap w:val="0"/>
            <w:vAlign w:val="center"/>
          </w:tcPr>
          <w:p w14:paraId="058FEC37">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rPr>
            </w:pPr>
            <w:r>
              <w:rPr>
                <w:rFonts w:hint="eastAsia" w:ascii="宋体" w:hAnsi="宋体" w:cs="宋体"/>
                <w:color w:val="auto"/>
                <w:kern w:val="0"/>
                <w:szCs w:val="21"/>
              </w:rPr>
              <w:t>其他符合性分析</w:t>
            </w:r>
          </w:p>
        </w:tc>
        <w:tc>
          <w:tcPr>
            <w:tcW w:w="8691" w:type="dxa"/>
            <w:gridSpan w:val="4"/>
            <w:noWrap w:val="0"/>
            <w:vAlign w:val="top"/>
          </w:tcPr>
          <w:p w14:paraId="5EF044E4">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eastAsia="zh-CN"/>
              </w:rPr>
              <w:t>1.</w:t>
            </w:r>
            <w:r>
              <w:rPr>
                <w:rFonts w:hint="default"/>
                <w:color w:val="auto"/>
              </w:rPr>
              <w:t>产业政策符合性</w:t>
            </w:r>
          </w:p>
          <w:p w14:paraId="70EE39E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right="0" w:firstLine="480" w:firstLineChars="200"/>
              <w:jc w:val="both"/>
              <w:outlineLvl w:val="9"/>
              <w:rPr>
                <w:rFonts w:hint="default" w:ascii="Times New Roman" w:hAnsi="Times New Roman" w:cs="Times New Roman"/>
                <w:color w:val="auto"/>
              </w:rPr>
            </w:pPr>
            <w:r>
              <w:rPr>
                <w:rFonts w:hint="default" w:ascii="Times New Roman" w:hAnsi="Times New Roman" w:cs="Times New Roman"/>
                <w:snapToGrid w:val="0"/>
                <w:color w:val="auto"/>
              </w:rPr>
              <w:t>根据</w:t>
            </w:r>
            <w:r>
              <w:rPr>
                <w:rFonts w:hint="default" w:ascii="宋体" w:hAnsi="宋体" w:cs="Times New Roman"/>
                <w:color w:val="auto"/>
                <w:szCs w:val="22"/>
              </w:rPr>
              <w:t>《产业结构调整指导目录</w:t>
            </w:r>
            <w:r>
              <w:rPr>
                <w:rFonts w:hint="eastAsia" w:ascii="宋体" w:hAnsi="宋体" w:cs="Times New Roman"/>
                <w:color w:val="auto"/>
                <w:szCs w:val="22"/>
                <w:lang w:eastAsia="zh-CN"/>
              </w:rPr>
              <w:t>（</w:t>
            </w:r>
            <w:r>
              <w:rPr>
                <w:rFonts w:hint="default" w:ascii="Times New Roman" w:hAnsi="Times New Roman" w:cs="Times New Roman"/>
                <w:color w:val="auto"/>
              </w:rPr>
              <w:t>20</w:t>
            </w:r>
            <w:r>
              <w:rPr>
                <w:rFonts w:hint="eastAsia" w:ascii="Times New Roman" w:hAnsi="Times New Roman" w:cs="Times New Roman"/>
                <w:color w:val="auto"/>
                <w:lang w:val="en-US" w:eastAsia="zh-CN"/>
              </w:rPr>
              <w:t>24</w:t>
            </w:r>
            <w:r>
              <w:rPr>
                <w:rFonts w:hint="default" w:ascii="Times New Roman" w:hAnsi="Times New Roman" w:cs="Times New Roman"/>
                <w:color w:val="auto"/>
              </w:rPr>
              <w:t>年</w:t>
            </w:r>
            <w:r>
              <w:rPr>
                <w:rFonts w:hint="default" w:ascii="宋体" w:hAnsi="宋体" w:cs="Times New Roman"/>
                <w:color w:val="auto"/>
                <w:szCs w:val="22"/>
              </w:rPr>
              <w:t>本</w:t>
            </w:r>
            <w:r>
              <w:rPr>
                <w:rFonts w:hint="eastAsia" w:ascii="宋体" w:hAnsi="宋体" w:cs="Times New Roman"/>
                <w:color w:val="auto"/>
                <w:szCs w:val="22"/>
                <w:lang w:eastAsia="zh-CN"/>
              </w:rPr>
              <w:t>）</w:t>
            </w:r>
            <w:r>
              <w:rPr>
                <w:rFonts w:hint="default" w:ascii="宋体" w:hAnsi="宋体" w:cs="Times New Roman"/>
                <w:color w:val="auto"/>
                <w:szCs w:val="22"/>
              </w:rPr>
              <w:t>》</w:t>
            </w:r>
            <w:r>
              <w:rPr>
                <w:rFonts w:hint="default" w:ascii="Times New Roman" w:hAnsi="Times New Roman" w:cs="Times New Roman"/>
                <w:snapToGrid w:val="0"/>
                <w:color w:val="auto"/>
              </w:rPr>
              <w:t>，</w:t>
            </w:r>
            <w:r>
              <w:rPr>
                <w:rFonts w:hint="eastAsia" w:ascii="Times New Roman" w:hAnsi="Times New Roman" w:cs="Times New Roman"/>
                <w:snapToGrid w:val="0"/>
                <w:color w:val="auto"/>
              </w:rPr>
              <w:t>本项目为固体矿产地质</w:t>
            </w:r>
            <w:r>
              <w:rPr>
                <w:rFonts w:hint="eastAsia"/>
                <w:lang w:val="en-US" w:eastAsia="zh-CN"/>
              </w:rPr>
              <w:t>勘查</w:t>
            </w:r>
            <w:r>
              <w:rPr>
                <w:rFonts w:hint="eastAsia" w:ascii="Times New Roman" w:hAnsi="Times New Roman" w:cs="Times New Roman"/>
                <w:snapToGrid w:val="0"/>
                <w:color w:val="auto"/>
              </w:rPr>
              <w:t>，不属于鼓励类、限制类、淘汰类项目，为允许类。</w:t>
            </w:r>
            <w:r>
              <w:rPr>
                <w:rFonts w:hint="eastAsia" w:ascii="Times New Roman" w:hAnsi="Times New Roman" w:cs="Times New Roman"/>
              </w:rPr>
              <w:t>北京天承盛西矿业技术开发有限公司于</w:t>
            </w:r>
            <w:r>
              <w:rPr>
                <w:rFonts w:hint="eastAsia" w:ascii="Times New Roman" w:hAnsi="Times New Roman" w:cs="Times New Roman"/>
                <w:highlight w:val="none"/>
              </w:rPr>
              <w:t>20</w:t>
            </w:r>
            <w:r>
              <w:rPr>
                <w:rFonts w:hint="eastAsia" w:ascii="Times New Roman" w:hAnsi="Times New Roman" w:cs="Times New Roman"/>
                <w:highlight w:val="none"/>
                <w:lang w:val="en-US" w:eastAsia="zh-CN"/>
              </w:rPr>
              <w:t>2</w:t>
            </w:r>
            <w:r>
              <w:rPr>
                <w:rFonts w:hint="eastAsia" w:cs="Times New Roman"/>
                <w:highlight w:val="none"/>
                <w:lang w:val="en-US" w:eastAsia="zh-CN"/>
              </w:rPr>
              <w:t>6</w:t>
            </w:r>
            <w:r>
              <w:rPr>
                <w:rFonts w:hint="eastAsia" w:ascii="Times New Roman" w:hAnsi="Times New Roman" w:cs="Times New Roman"/>
                <w:highlight w:val="none"/>
              </w:rPr>
              <w:t>年</w:t>
            </w:r>
            <w:r>
              <w:rPr>
                <w:rFonts w:hint="eastAsia" w:ascii="Times New Roman" w:hAnsi="Times New Roman" w:cs="Times New Roman"/>
                <w:highlight w:val="none"/>
                <w:lang w:val="en-US" w:eastAsia="zh-CN"/>
              </w:rPr>
              <w:t>4</w:t>
            </w:r>
            <w:r>
              <w:rPr>
                <w:rFonts w:hint="eastAsia" w:ascii="Times New Roman" w:hAnsi="Times New Roman" w:cs="Times New Roman"/>
                <w:highlight w:val="none"/>
              </w:rPr>
              <w:t>月</w:t>
            </w:r>
            <w:r>
              <w:rPr>
                <w:rFonts w:hint="eastAsia" w:cs="Times New Roman"/>
                <w:highlight w:val="none"/>
                <w:lang w:val="en-US" w:eastAsia="zh-CN"/>
              </w:rPr>
              <w:t>7</w:t>
            </w:r>
            <w:r>
              <w:rPr>
                <w:rFonts w:hint="eastAsia" w:ascii="Times New Roman" w:hAnsi="Times New Roman" w:cs="Times New Roman"/>
                <w:highlight w:val="none"/>
              </w:rPr>
              <w:t>日取得“新疆和静县胡勒哈其北钴镍矿勘探”</w:t>
            </w:r>
            <w:r>
              <w:rPr>
                <w:rFonts w:hint="eastAsia" w:cs="Times New Roman"/>
                <w:highlight w:val="none"/>
                <w:lang w:val="en-US" w:eastAsia="zh-CN"/>
              </w:rPr>
              <w:t>不动产权证书（探矿权）</w:t>
            </w:r>
            <w:r>
              <w:rPr>
                <w:rFonts w:hint="eastAsia" w:ascii="Times New Roman" w:hAnsi="Times New Roman" w:cs="Times New Roman"/>
                <w:highlight w:val="none"/>
              </w:rPr>
              <w:t>，勘查矿种为镍矿，勘查许可证号：</w:t>
            </w:r>
            <w:r>
              <w:rPr>
                <w:rFonts w:hint="eastAsia" w:cs="Times New Roman"/>
                <w:highlight w:val="none"/>
                <w:lang w:val="en-US" w:eastAsia="zh-CN"/>
              </w:rPr>
              <w:t>D</w:t>
            </w:r>
            <w:r>
              <w:rPr>
                <w:rFonts w:hint="eastAsia" w:ascii="Times New Roman" w:hAnsi="Times New Roman" w:cs="Times New Roman"/>
                <w:color w:val="auto"/>
                <w:kern w:val="0"/>
                <w:highlight w:val="none"/>
                <w:lang w:val="en-US" w:eastAsia="zh-CN"/>
              </w:rPr>
              <w:t>T6500002008103010017255</w:t>
            </w:r>
            <w:r>
              <w:rPr>
                <w:rFonts w:hint="eastAsia" w:ascii="Times New Roman" w:hAnsi="Times New Roman" w:cs="Times New Roman"/>
                <w:highlight w:val="none"/>
              </w:rPr>
              <w:t>，有效期限2</w:t>
            </w:r>
            <w:r>
              <w:rPr>
                <w:rFonts w:hint="default" w:ascii="Times New Roman" w:hAnsi="Times New Roman" w:cs="Times New Roman"/>
                <w:highlight w:val="none"/>
              </w:rPr>
              <w:t>02</w:t>
            </w:r>
            <w:r>
              <w:rPr>
                <w:rFonts w:hint="eastAsia" w:cs="Times New Roman"/>
                <w:highlight w:val="none"/>
                <w:lang w:val="en-US" w:eastAsia="zh-CN"/>
              </w:rPr>
              <w:t>6</w:t>
            </w:r>
            <w:r>
              <w:rPr>
                <w:rFonts w:hint="eastAsia" w:ascii="Times New Roman" w:hAnsi="Times New Roman" w:cs="Times New Roman"/>
                <w:highlight w:val="none"/>
              </w:rPr>
              <w:t>年</w:t>
            </w:r>
            <w:r>
              <w:rPr>
                <w:rFonts w:hint="eastAsia" w:ascii="Times New Roman" w:hAnsi="Times New Roman" w:cs="Times New Roman"/>
                <w:highlight w:val="none"/>
                <w:lang w:val="en-US" w:eastAsia="zh-CN"/>
              </w:rPr>
              <w:t>4</w:t>
            </w:r>
            <w:r>
              <w:rPr>
                <w:rFonts w:hint="eastAsia" w:ascii="Times New Roman" w:hAnsi="Times New Roman" w:cs="Times New Roman"/>
                <w:highlight w:val="none"/>
              </w:rPr>
              <w:t>月</w:t>
            </w:r>
            <w:r>
              <w:rPr>
                <w:rFonts w:hint="eastAsia" w:cs="Times New Roman"/>
                <w:highlight w:val="none"/>
                <w:lang w:val="en-US" w:eastAsia="zh-CN"/>
              </w:rPr>
              <w:t>7</w:t>
            </w:r>
            <w:r>
              <w:rPr>
                <w:rFonts w:hint="eastAsia" w:ascii="Times New Roman" w:hAnsi="Times New Roman" w:cs="Times New Roman"/>
                <w:highlight w:val="none"/>
              </w:rPr>
              <w:t>日至</w:t>
            </w:r>
            <w:r>
              <w:rPr>
                <w:rFonts w:hint="eastAsia" w:ascii="Times New Roman" w:hAnsi="Times New Roman" w:cs="Times New Roman"/>
                <w:highlight w:val="none"/>
                <w:lang w:val="en-US" w:eastAsia="zh-CN"/>
              </w:rPr>
              <w:t>20</w:t>
            </w:r>
            <w:r>
              <w:rPr>
                <w:rFonts w:hint="eastAsia" w:cs="Times New Roman"/>
                <w:highlight w:val="none"/>
                <w:lang w:val="en-US" w:eastAsia="zh-CN"/>
              </w:rPr>
              <w:t>31</w:t>
            </w:r>
            <w:r>
              <w:rPr>
                <w:rFonts w:hint="eastAsia" w:ascii="Times New Roman" w:hAnsi="Times New Roman" w:cs="Times New Roman"/>
                <w:highlight w:val="none"/>
              </w:rPr>
              <w:t>年</w:t>
            </w:r>
            <w:r>
              <w:rPr>
                <w:rFonts w:hint="eastAsia" w:ascii="Times New Roman" w:hAnsi="Times New Roman" w:cs="Times New Roman"/>
                <w:highlight w:val="none"/>
                <w:lang w:val="en-US" w:eastAsia="zh-CN"/>
              </w:rPr>
              <w:t>4</w:t>
            </w:r>
            <w:r>
              <w:rPr>
                <w:rFonts w:hint="eastAsia" w:ascii="Times New Roman" w:hAnsi="Times New Roman" w:cs="Times New Roman"/>
                <w:highlight w:val="none"/>
              </w:rPr>
              <w:t>月</w:t>
            </w:r>
            <w:r>
              <w:rPr>
                <w:rFonts w:hint="eastAsia" w:ascii="Times New Roman" w:hAnsi="Times New Roman" w:cs="Times New Roman"/>
                <w:highlight w:val="none"/>
                <w:lang w:val="en-US" w:eastAsia="zh-CN"/>
              </w:rPr>
              <w:t>6</w:t>
            </w:r>
            <w:r>
              <w:rPr>
                <w:rFonts w:hint="eastAsia" w:ascii="Times New Roman" w:hAnsi="Times New Roman" w:cs="Times New Roman"/>
                <w:highlight w:val="none"/>
              </w:rPr>
              <w:t>日</w:t>
            </w:r>
            <w:r>
              <w:rPr>
                <w:rFonts w:hint="eastAsia" w:ascii="Times New Roman" w:hAnsi="Times New Roman" w:cs="Times New Roman"/>
              </w:rPr>
              <w:t>，勘查面积为</w:t>
            </w:r>
            <w:r>
              <w:rPr>
                <w:rFonts w:hint="eastAsia" w:ascii="Times New Roman" w:hAnsi="Times New Roman" w:cs="Times New Roman"/>
                <w:lang w:val="en-US" w:eastAsia="zh-CN"/>
              </w:rPr>
              <w:t>1</w:t>
            </w:r>
            <w:r>
              <w:rPr>
                <w:rFonts w:hint="eastAsia" w:cs="Times New Roman"/>
                <w:lang w:val="en-US" w:eastAsia="zh-CN"/>
              </w:rPr>
              <w:t>2</w:t>
            </w:r>
            <w:r>
              <w:rPr>
                <w:rFonts w:hint="eastAsia" w:ascii="Times New Roman" w:hAnsi="Times New Roman" w:cs="Times New Roman"/>
                <w:lang w:val="en-US" w:eastAsia="zh-CN"/>
              </w:rPr>
              <w:t>1</w:t>
            </w:r>
            <w:r>
              <w:rPr>
                <w:rFonts w:hint="eastAsia" w:cs="Times New Roman"/>
                <w:lang w:val="en-US" w:eastAsia="zh-CN"/>
              </w:rPr>
              <w:t>2</w:t>
            </w:r>
            <w:r>
              <w:rPr>
                <w:rFonts w:hint="eastAsia" w:ascii="Times New Roman" w:hAnsi="Times New Roman" w:cs="Times New Roman"/>
                <w:lang w:val="en-US" w:eastAsia="zh-CN"/>
              </w:rPr>
              <w:t>0</w:t>
            </w:r>
            <w:r>
              <w:rPr>
                <w:rFonts w:hint="eastAsia" w:ascii="Times New Roman" w:hAnsi="Times New Roman" w:cs="Times New Roman"/>
                <w:color w:val="auto"/>
                <w:lang w:val="en-US" w:eastAsia="zh-CN"/>
              </w:rPr>
              <w:t>000</w:t>
            </w:r>
            <w:r>
              <w:rPr>
                <w:rFonts w:hint="default" w:ascii="Times New Roman" w:hAnsi="Times New Roman" w:cs="Times New Roman"/>
                <w:color w:val="auto"/>
              </w:rPr>
              <w:t>m</w:t>
            </w:r>
            <w:r>
              <w:rPr>
                <w:rFonts w:hint="default" w:ascii="Times New Roman" w:hAnsi="Times New Roman" w:cs="Times New Roman"/>
                <w:color w:val="auto"/>
                <w:vertAlign w:val="superscript"/>
              </w:rPr>
              <w:t>2</w:t>
            </w:r>
            <w:r>
              <w:rPr>
                <w:rFonts w:hint="eastAsia" w:ascii="Times New Roman" w:hAnsi="Times New Roman" w:cs="Times New Roman"/>
                <w:color w:val="auto"/>
              </w:rPr>
              <w:t>。</w:t>
            </w:r>
            <w:r>
              <w:rPr>
                <w:rFonts w:hint="default" w:ascii="Times New Roman" w:hAnsi="Times New Roman" w:cs="Times New Roman"/>
                <w:snapToGrid w:val="0"/>
                <w:color w:val="auto"/>
              </w:rPr>
              <w:t>因此其建设符合国家</w:t>
            </w:r>
            <w:r>
              <w:rPr>
                <w:rFonts w:hint="eastAsia" w:cs="Times New Roman"/>
                <w:snapToGrid w:val="0"/>
                <w:color w:val="auto"/>
                <w:lang w:val="en-US" w:eastAsia="zh-CN"/>
              </w:rPr>
              <w:t>和地方的</w:t>
            </w:r>
            <w:r>
              <w:rPr>
                <w:rFonts w:hint="default" w:ascii="Times New Roman" w:hAnsi="Times New Roman" w:cs="Times New Roman"/>
                <w:snapToGrid w:val="0"/>
                <w:color w:val="auto"/>
              </w:rPr>
              <w:t>产业政策要求。</w:t>
            </w:r>
          </w:p>
          <w:p w14:paraId="43F8F019">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2.</w:t>
            </w:r>
            <w:r>
              <w:rPr>
                <w:rFonts w:hint="eastAsia"/>
                <w:color w:val="auto"/>
              </w:rPr>
              <w:t>生态环境分区管控</w:t>
            </w:r>
            <w:r>
              <w:rPr>
                <w:rFonts w:hint="default"/>
                <w:color w:val="auto"/>
              </w:rPr>
              <w:t>符合性</w:t>
            </w:r>
          </w:p>
          <w:p w14:paraId="73279959">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2.1</w:t>
            </w:r>
            <w:r>
              <w:rPr>
                <w:rFonts w:hint="eastAsia"/>
                <w:color w:val="auto"/>
              </w:rPr>
              <w:t>与自治区生态环境分区管控符合性分析</w:t>
            </w:r>
          </w:p>
          <w:p w14:paraId="6A109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lang w:val="en-US" w:eastAsia="zh-CN"/>
              </w:rPr>
            </w:pPr>
            <w:r>
              <w:rPr>
                <w:rFonts w:hint="eastAsia" w:ascii="Times New Roman" w:hAnsi="Times New Roman" w:cs="Times New Roman"/>
                <w:color w:val="auto"/>
              </w:rPr>
              <w:t>根据关于印发《新疆维吾尔自治区生态环境分区管控动态更新成果》的通知</w:t>
            </w:r>
            <w:r>
              <w:rPr>
                <w:rFonts w:hint="eastAsia" w:ascii="Times New Roman" w:hAnsi="Times New Roman" w:cs="Times New Roman"/>
                <w:color w:val="auto"/>
                <w:lang w:eastAsia="zh-CN"/>
              </w:rPr>
              <w:t>（</w:t>
            </w:r>
            <w:r>
              <w:rPr>
                <w:rFonts w:hint="eastAsia" w:ascii="Times New Roman" w:hAnsi="Times New Roman" w:cs="Times New Roman"/>
                <w:color w:val="auto"/>
              </w:rPr>
              <w:t>新环环评发〔2024〕157号</w:t>
            </w:r>
            <w:r>
              <w:rPr>
                <w:rFonts w:hint="eastAsia" w:ascii="Times New Roman" w:hAnsi="Times New Roman" w:cs="Times New Roman"/>
                <w:color w:val="auto"/>
                <w:lang w:eastAsia="zh-CN"/>
              </w:rPr>
              <w:t>）</w:t>
            </w:r>
            <w:r>
              <w:rPr>
                <w:rFonts w:hint="eastAsia" w:ascii="Times New Roman" w:hAnsi="Times New Roman" w:cs="Times New Roman"/>
                <w:color w:val="auto"/>
              </w:rPr>
              <w:t>、《新疆维吾尔自治区七大片区</w:t>
            </w:r>
            <w:r>
              <w:rPr>
                <w:rFonts w:hint="eastAsia" w:ascii="Times New Roman" w:hAnsi="Times New Roman" w:cs="Times New Roman"/>
                <w:color w:val="auto"/>
                <w:lang w:eastAsia="zh-CN"/>
              </w:rPr>
              <w:t>“</w:t>
            </w:r>
            <w:r>
              <w:rPr>
                <w:rFonts w:hint="eastAsia" w:ascii="Times New Roman" w:hAnsi="Times New Roman" w:cs="Times New Roman"/>
                <w:color w:val="auto"/>
              </w:rPr>
              <w:t>三线一单</w:t>
            </w:r>
            <w:r>
              <w:rPr>
                <w:rFonts w:hint="eastAsia" w:ascii="Times New Roman" w:hAnsi="Times New Roman" w:cs="Times New Roman"/>
                <w:color w:val="auto"/>
                <w:lang w:eastAsia="zh-CN"/>
              </w:rPr>
              <w:t>”</w:t>
            </w:r>
            <w:r>
              <w:rPr>
                <w:rFonts w:hint="eastAsia" w:ascii="Times New Roman" w:hAnsi="Times New Roman" w:cs="Times New Roman"/>
                <w:color w:val="auto"/>
              </w:rPr>
              <w:t>生态环境分区管控要求》</w:t>
            </w:r>
            <w:r>
              <w:rPr>
                <w:rFonts w:hint="eastAsia" w:ascii="Times New Roman" w:hAnsi="Times New Roman" w:cs="Times New Roman"/>
                <w:color w:val="auto"/>
                <w:lang w:eastAsia="zh-CN"/>
              </w:rPr>
              <w:t>（</w:t>
            </w:r>
            <w:r>
              <w:rPr>
                <w:rFonts w:hint="eastAsia" w:ascii="Times New Roman" w:hAnsi="Times New Roman" w:cs="Times New Roman"/>
                <w:color w:val="auto"/>
              </w:rPr>
              <w:t>2021年版</w:t>
            </w:r>
            <w:r>
              <w:rPr>
                <w:rFonts w:hint="eastAsia" w:ascii="Times New Roman" w:hAnsi="Times New Roman" w:cs="Times New Roman"/>
                <w:color w:val="auto"/>
                <w:lang w:eastAsia="zh-CN"/>
              </w:rPr>
              <w:t>）（新环环评发〔2021〕162号），</w:t>
            </w:r>
            <w:r>
              <w:rPr>
                <w:rFonts w:hint="eastAsia" w:ascii="Times New Roman" w:hAnsi="Times New Roman" w:cs="Times New Roman"/>
                <w:color w:val="auto"/>
                <w:lang w:val="en-US" w:eastAsia="zh-CN"/>
              </w:rPr>
              <w:t>其</w:t>
            </w:r>
            <w:r>
              <w:rPr>
                <w:rFonts w:hint="eastAsia" w:ascii="Times New Roman" w:hAnsi="Times New Roman" w:cs="Times New Roman"/>
                <w:color w:val="auto"/>
              </w:rPr>
              <w:t>符合性分析见表1-</w:t>
            </w:r>
            <w:r>
              <w:rPr>
                <w:rFonts w:hint="eastAsia" w:ascii="Times New Roman" w:hAnsi="Times New Roman" w:cs="Times New Roman"/>
                <w:color w:val="auto"/>
                <w:lang w:val="en-US" w:eastAsia="zh-CN"/>
              </w:rPr>
              <w:t>1、1-2</w:t>
            </w:r>
            <w:r>
              <w:rPr>
                <w:rFonts w:hint="eastAsia" w:ascii="Times New Roman" w:hAnsi="Times New Roman" w:cs="Times New Roman"/>
                <w:color w:val="auto"/>
              </w:rPr>
              <w:t>。</w:t>
            </w:r>
          </w:p>
          <w:p w14:paraId="2EA477F2">
            <w:pPr>
              <w:pStyle w:val="66"/>
              <w:keepNext w:val="0"/>
              <w:keepLines w:val="0"/>
              <w:suppressLineNumbers w:val="0"/>
              <w:spacing w:before="156" w:beforeAutospacing="0" w:after="0" w:afterAutospacing="0"/>
              <w:ind w:left="0" w:right="0"/>
              <w:rPr>
                <w:rFonts w:hint="default" w:cs="Times New Roman"/>
                <w:color w:val="auto"/>
              </w:rPr>
            </w:pPr>
            <w:r>
              <w:rPr>
                <w:rFonts w:hint="eastAsia" w:cs="Times New Roman"/>
                <w:color w:val="auto"/>
              </w:rPr>
              <w:t>表</w:t>
            </w:r>
            <w:r>
              <w:rPr>
                <w:rFonts w:hint="default" w:cs="Times New Roman"/>
                <w:color w:val="auto"/>
              </w:rPr>
              <w:t>1-</w:t>
            </w:r>
            <w:r>
              <w:rPr>
                <w:rFonts w:hint="eastAsia" w:cs="Times New Roman"/>
                <w:color w:val="auto"/>
                <w:lang w:val="en-US" w:eastAsia="zh-CN"/>
              </w:rPr>
              <w:t xml:space="preserve">1 </w:t>
            </w:r>
            <w:r>
              <w:rPr>
                <w:rFonts w:hint="default" w:cs="Times New Roman"/>
                <w:color w:val="auto"/>
              </w:rPr>
              <w:t xml:space="preserve"> </w:t>
            </w:r>
            <w:r>
              <w:rPr>
                <w:rFonts w:hint="eastAsia" w:cs="Times New Roman"/>
                <w:color w:val="auto"/>
                <w:lang w:val="en-US" w:eastAsia="zh-CN"/>
              </w:rPr>
              <w:t xml:space="preserve"> </w:t>
            </w:r>
            <w:r>
              <w:rPr>
                <w:rFonts w:hint="eastAsia" w:cs="Times New Roman"/>
                <w:color w:val="auto"/>
              </w:rPr>
              <w:t>与新疆维吾尔自治区生态环境分区管控总体要求符合性分析</w:t>
            </w:r>
          </w:p>
          <w:tbl>
            <w:tblPr>
              <w:tblStyle w:val="29"/>
              <w:tblW w:w="4997"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7"/>
              <w:gridCol w:w="748"/>
              <w:gridCol w:w="4174"/>
              <w:gridCol w:w="2598"/>
              <w:gridCol w:w="383"/>
              <w:tblGridChange w:id="0">
                <w:tblGrid>
                  <w:gridCol w:w="323"/>
                  <w:gridCol w:w="224"/>
                  <w:gridCol w:w="218"/>
                  <w:gridCol w:w="530"/>
                  <w:gridCol w:w="1939"/>
                  <w:gridCol w:w="1537"/>
                  <w:gridCol w:w="226"/>
                  <w:gridCol w:w="472"/>
                  <w:gridCol w:w="2598"/>
                  <w:gridCol w:w="383"/>
                </w:tblGrid>
              </w:tblGridChange>
            </w:tblGrid>
            <w:tr w14:paraId="4D887A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66" w:type="pct"/>
                  <w:gridSpan w:val="2"/>
                  <w:tcBorders>
                    <w:tl2br w:val="nil"/>
                    <w:tr2bl w:val="nil"/>
                  </w:tcBorders>
                  <w:noWrap w:val="0"/>
                  <w:vAlign w:val="center"/>
                </w:tcPr>
                <w:p w14:paraId="30547F6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spacing w:val="-1"/>
                      <w:sz w:val="21"/>
                      <w:szCs w:val="21"/>
                    </w:rPr>
                    <w:t>管控维度</w:t>
                  </w:r>
                </w:p>
              </w:tc>
              <w:tc>
                <w:tcPr>
                  <w:tcW w:w="2469" w:type="pct"/>
                  <w:tcBorders>
                    <w:tl2br w:val="nil"/>
                    <w:tr2bl w:val="nil"/>
                  </w:tcBorders>
                  <w:noWrap w:val="0"/>
                  <w:vAlign w:val="center"/>
                </w:tcPr>
                <w:p w14:paraId="39E7F541">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spacing w:val="-6"/>
                      <w:sz w:val="21"/>
                      <w:szCs w:val="21"/>
                    </w:rPr>
                    <w:t>管控要求</w:t>
                  </w:r>
                </w:p>
              </w:tc>
              <w:tc>
                <w:tcPr>
                  <w:tcW w:w="1537" w:type="pct"/>
                  <w:tcBorders>
                    <w:tl2br w:val="nil"/>
                    <w:tr2bl w:val="nil"/>
                  </w:tcBorders>
                  <w:noWrap w:val="0"/>
                  <w:vAlign w:val="center"/>
                </w:tcPr>
                <w:p w14:paraId="5340D08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b/>
                      <w:bCs/>
                      <w:color w:val="auto"/>
                      <w:spacing w:val="-6"/>
                      <w:sz w:val="21"/>
                      <w:szCs w:val="21"/>
                    </w:rPr>
                  </w:pPr>
                  <w:r>
                    <w:rPr>
                      <w:rFonts w:hint="default" w:ascii="Times New Roman" w:hAnsi="Times New Roman" w:cs="Times New Roman"/>
                      <w:b/>
                      <w:bCs/>
                      <w:color w:val="auto"/>
                      <w:spacing w:val="-6"/>
                      <w:sz w:val="21"/>
                      <w:szCs w:val="21"/>
                    </w:rPr>
                    <w:t>本项目</w:t>
                  </w:r>
                </w:p>
              </w:tc>
              <w:tc>
                <w:tcPr>
                  <w:tcW w:w="226" w:type="pct"/>
                  <w:tcBorders>
                    <w:tl2br w:val="nil"/>
                    <w:tr2bl w:val="nil"/>
                  </w:tcBorders>
                  <w:noWrap w:val="0"/>
                  <w:vAlign w:val="center"/>
                </w:tcPr>
                <w:p w14:paraId="1B544920">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b/>
                      <w:bCs/>
                      <w:color w:val="auto"/>
                      <w:spacing w:val="-6"/>
                      <w:sz w:val="21"/>
                      <w:szCs w:val="21"/>
                    </w:rPr>
                  </w:pPr>
                  <w:r>
                    <w:rPr>
                      <w:rFonts w:hint="default" w:ascii="Times New Roman" w:hAnsi="Times New Roman" w:cs="Times New Roman"/>
                      <w:b/>
                      <w:bCs/>
                      <w:color w:val="auto"/>
                      <w:spacing w:val="-6"/>
                      <w:sz w:val="21"/>
                      <w:szCs w:val="21"/>
                    </w:rPr>
                    <w:t>符合性</w:t>
                  </w:r>
                </w:p>
              </w:tc>
            </w:tr>
            <w:tr w14:paraId="107AF5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restart"/>
                  <w:tcBorders>
                    <w:tl2br w:val="nil"/>
                    <w:tr2bl w:val="nil"/>
                  </w:tcBorders>
                  <w:noWrap w:val="0"/>
                  <w:vAlign w:val="center"/>
                </w:tcPr>
                <w:p w14:paraId="3CEFDF54">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A1空间布局约束</w:t>
                  </w:r>
                </w:p>
              </w:tc>
              <w:tc>
                <w:tcPr>
                  <w:tcW w:w="442" w:type="pct"/>
                  <w:vMerge w:val="restart"/>
                  <w:tcBorders>
                    <w:tl2br w:val="nil"/>
                    <w:tr2bl w:val="nil"/>
                  </w:tcBorders>
                  <w:noWrap w:val="0"/>
                  <w:vAlign w:val="center"/>
                </w:tcPr>
                <w:p w14:paraId="5B4A9A5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A1.1禁止开发建设的活动</w:t>
                  </w:r>
                </w:p>
              </w:tc>
              <w:tc>
                <w:tcPr>
                  <w:tcW w:w="2469" w:type="pct"/>
                  <w:tcBorders>
                    <w:tl2br w:val="nil"/>
                    <w:tr2bl w:val="nil"/>
                  </w:tcBorders>
                  <w:noWrap w:val="0"/>
                  <w:vAlign w:val="center"/>
                </w:tcPr>
                <w:p w14:paraId="0D24BB8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〔A1.1-1〕禁止新建、扩建《产业结构调整指导目录</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2024年本</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》中淘汰类项目。禁止引入《市场准入负面清单</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202</w:t>
                  </w:r>
                  <w:r>
                    <w:rPr>
                      <w:rFonts w:hint="eastAsia"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年版</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》禁止准入类事项。</w:t>
                  </w:r>
                </w:p>
              </w:tc>
              <w:tc>
                <w:tcPr>
                  <w:tcW w:w="1537" w:type="pct"/>
                  <w:tcBorders>
                    <w:tl2br w:val="nil"/>
                    <w:tr2bl w:val="nil"/>
                  </w:tcBorders>
                  <w:noWrap w:val="0"/>
                  <w:vAlign w:val="center"/>
                </w:tcPr>
                <w:p w14:paraId="7C7D10EE">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本项目为固体矿产地质勘查，属于允许类</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不属于</w:t>
                  </w:r>
                  <w:r>
                    <w:rPr>
                      <w:rFonts w:hint="default" w:ascii="Times New Roman" w:hAnsi="Times New Roman" w:cs="Times New Roman"/>
                      <w:color w:val="auto"/>
                      <w:sz w:val="21"/>
                      <w:szCs w:val="21"/>
                    </w:rPr>
                    <w:t>《市场准入负面清单</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202</w:t>
                  </w:r>
                  <w:r>
                    <w:rPr>
                      <w:rFonts w:hint="eastAsia"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年版</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中</w:t>
                  </w:r>
                  <w:r>
                    <w:rPr>
                      <w:rFonts w:hint="default" w:ascii="Times New Roman" w:hAnsi="Times New Roman" w:cs="Times New Roman"/>
                      <w:color w:val="auto"/>
                      <w:sz w:val="21"/>
                      <w:szCs w:val="21"/>
                    </w:rPr>
                    <w:t>禁止准入类事项</w:t>
                  </w:r>
                </w:p>
              </w:tc>
              <w:tc>
                <w:tcPr>
                  <w:tcW w:w="226" w:type="pct"/>
                  <w:tcBorders>
                    <w:tl2br w:val="nil"/>
                    <w:tr2bl w:val="nil"/>
                  </w:tcBorders>
                  <w:noWrap w:val="0"/>
                  <w:vAlign w:val="center"/>
                </w:tcPr>
                <w:p w14:paraId="0410593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FB485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continue"/>
                  <w:tcBorders>
                    <w:tl2br w:val="nil"/>
                    <w:tr2bl w:val="nil"/>
                  </w:tcBorders>
                  <w:noWrap w:val="0"/>
                  <w:vAlign w:val="center"/>
                </w:tcPr>
                <w:p w14:paraId="102607A9">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continue"/>
                  <w:tcBorders>
                    <w:tl2br w:val="nil"/>
                    <w:tr2bl w:val="nil"/>
                  </w:tcBorders>
                  <w:noWrap w:val="0"/>
                  <w:vAlign w:val="center"/>
                </w:tcPr>
                <w:p w14:paraId="28077CE7">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2469" w:type="pct"/>
                  <w:tcBorders>
                    <w:tl2br w:val="nil"/>
                    <w:tr2bl w:val="nil"/>
                  </w:tcBorders>
                  <w:noWrap w:val="0"/>
                  <w:vAlign w:val="center"/>
                </w:tcPr>
                <w:p w14:paraId="41E1907A">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〔A1.1-3〕禁止在饮用水水源保护区、风景名胜区、自然保护区的核心区和缓冲区、城镇居民区、文化教育科学研究区等人口集中区域以及法律法规规定的其他禁止养殖区域建设畜禽养殖场、养殖小区。</w:t>
                  </w:r>
                </w:p>
              </w:tc>
              <w:tc>
                <w:tcPr>
                  <w:tcW w:w="1537" w:type="pct"/>
                  <w:vMerge w:val="restart"/>
                  <w:tcBorders>
                    <w:tl2br w:val="nil"/>
                    <w:tr2bl w:val="nil"/>
                  </w:tcBorders>
                  <w:noWrap w:val="0"/>
                  <w:vAlign w:val="center"/>
                </w:tcPr>
                <w:p w14:paraId="2A5D5BF3">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本项目位于</w:t>
                  </w:r>
                  <w:r>
                    <w:rPr>
                      <w:rFonts w:hint="eastAsia" w:ascii="Times New Roman" w:hAnsi="Times New Roman" w:cs="Times New Roman"/>
                      <w:color w:val="auto"/>
                      <w:sz w:val="21"/>
                      <w:szCs w:val="21"/>
                    </w:rPr>
                    <w:t>新疆维吾尔自治区巴音郭楞蒙古自治州和静县克尔古提乡</w:t>
                  </w:r>
                  <w:r>
                    <w:rPr>
                      <w:rFonts w:hint="eastAsia" w:cs="Times New Roman"/>
                      <w:color w:val="auto"/>
                      <w:sz w:val="21"/>
                      <w:szCs w:val="21"/>
                      <w:lang w:eastAsia="zh-CN"/>
                    </w:rPr>
                    <w:t>，</w:t>
                  </w:r>
                  <w:r>
                    <w:rPr>
                      <w:rFonts w:hint="eastAsia" w:ascii="Times New Roman" w:hAnsi="Times New Roman" w:cs="Times New Roman"/>
                      <w:color w:val="auto"/>
                      <w:sz w:val="21"/>
                      <w:szCs w:val="21"/>
                    </w:rPr>
                    <w:t>距离和静县城直线距离约</w:t>
                  </w:r>
                  <w:r>
                    <w:rPr>
                      <w:rFonts w:hint="eastAsia" w:cs="Times New Roman"/>
                      <w:color w:val="auto"/>
                      <w:sz w:val="21"/>
                      <w:szCs w:val="21"/>
                      <w:lang w:val="en-US" w:eastAsia="zh-CN"/>
                    </w:rPr>
                    <w:t>30</w:t>
                  </w:r>
                  <w:r>
                    <w:rPr>
                      <w:rFonts w:hint="eastAsia" w:ascii="Times New Roman" w:hAnsi="Times New Roman" w:cs="Times New Roman"/>
                      <w:color w:val="auto"/>
                      <w:sz w:val="21"/>
                      <w:szCs w:val="21"/>
                    </w:rPr>
                    <w:t>km</w:t>
                  </w:r>
                  <w:r>
                    <w:rPr>
                      <w:rFonts w:hint="default" w:ascii="Times New Roman" w:hAnsi="Times New Roman" w:cs="Times New Roman"/>
                      <w:color w:val="auto"/>
                      <w:sz w:val="21"/>
                      <w:szCs w:val="21"/>
                    </w:rPr>
                    <w:t>，项目周围无</w:t>
                  </w:r>
                  <w:r>
                    <w:rPr>
                      <w:rFonts w:hint="eastAsia" w:cs="Times New Roman"/>
                      <w:color w:val="auto"/>
                      <w:sz w:val="21"/>
                      <w:szCs w:val="21"/>
                      <w:lang w:eastAsia="zh-CN"/>
                    </w:rPr>
                    <w:t>饮用水水源保护区</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自然保护区、风景名胜区、森林公园、重要湿地及人群密集区等生态敏感区域</w:t>
                  </w:r>
                </w:p>
              </w:tc>
              <w:tc>
                <w:tcPr>
                  <w:tcW w:w="226" w:type="pct"/>
                  <w:tcBorders>
                    <w:tl2br w:val="nil"/>
                    <w:tr2bl w:val="nil"/>
                  </w:tcBorders>
                  <w:noWrap w:val="0"/>
                  <w:vAlign w:val="center"/>
                </w:tcPr>
                <w:p w14:paraId="64566261">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AC08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323" w:type="pct"/>
                  <w:vMerge w:val="continue"/>
                  <w:tcBorders>
                    <w:tl2br w:val="nil"/>
                    <w:tr2bl w:val="nil"/>
                  </w:tcBorders>
                  <w:noWrap w:val="0"/>
                  <w:vAlign w:val="center"/>
                </w:tcPr>
                <w:p w14:paraId="6AC1969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continue"/>
                  <w:tcBorders>
                    <w:tl2br w:val="nil"/>
                    <w:tr2bl w:val="nil"/>
                  </w:tcBorders>
                  <w:noWrap w:val="0"/>
                  <w:vAlign w:val="center"/>
                </w:tcPr>
                <w:p w14:paraId="31B6D3C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2469" w:type="pct"/>
                  <w:tcBorders>
                    <w:tl2br w:val="nil"/>
                    <w:tr2bl w:val="nil"/>
                  </w:tcBorders>
                  <w:noWrap w:val="0"/>
                  <w:vAlign w:val="center"/>
                </w:tcPr>
                <w:p w14:paraId="278EE27A">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〔A1.1-4〕禁止在水源涵养区、地下水源、饮用水源、自然保护区、风景名胜区、森林公园、重要湿地及人群密集区等生态敏感区域内进行煤炭、石油、天然气开发。</w:t>
                  </w:r>
                </w:p>
              </w:tc>
              <w:tc>
                <w:tcPr>
                  <w:tcW w:w="1537" w:type="pct"/>
                  <w:vMerge w:val="continue"/>
                  <w:tcBorders>
                    <w:tl2br w:val="nil"/>
                    <w:tr2bl w:val="nil"/>
                  </w:tcBorders>
                  <w:noWrap w:val="0"/>
                  <w:vAlign w:val="center"/>
                </w:tcPr>
                <w:p w14:paraId="0455C50D">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226" w:type="pct"/>
                  <w:tcBorders>
                    <w:tl2br w:val="nil"/>
                    <w:tr2bl w:val="nil"/>
                  </w:tcBorders>
                  <w:noWrap w:val="0"/>
                  <w:vAlign w:val="center"/>
                </w:tcPr>
                <w:p w14:paraId="7A60D99F">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5CA1E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323" w:type="pct"/>
                  <w:vMerge w:val="continue"/>
                  <w:tcBorders>
                    <w:tl2br w:val="nil"/>
                    <w:tr2bl w:val="nil"/>
                  </w:tcBorders>
                  <w:noWrap w:val="0"/>
                  <w:vAlign w:val="center"/>
                </w:tcPr>
                <w:p w14:paraId="0DCDEC81">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restart"/>
                  <w:tcBorders>
                    <w:tl2br w:val="nil"/>
                    <w:tr2bl w:val="nil"/>
                  </w:tcBorders>
                  <w:noWrap w:val="0"/>
                  <w:vAlign w:val="center"/>
                </w:tcPr>
                <w:p w14:paraId="3018B725">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A1.2限制开发建设的活动</w:t>
                  </w:r>
                </w:p>
              </w:tc>
              <w:tc>
                <w:tcPr>
                  <w:tcW w:w="2469" w:type="pct"/>
                  <w:tcBorders>
                    <w:tl2br w:val="nil"/>
                    <w:tr2bl w:val="nil"/>
                  </w:tcBorders>
                  <w:noWrap w:val="0"/>
                  <w:vAlign w:val="center"/>
                </w:tcPr>
                <w:p w14:paraId="01D687AE">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1"/>
                      <w:sz w:val="21"/>
                      <w:szCs w:val="21"/>
                      <w:lang w:eastAsia="zh-CN"/>
                    </w:rPr>
                    <w:t>〔A1.2-1〕严格控制缺水地区、水污染严重区域和敏</w:t>
                  </w:r>
                  <w:r>
                    <w:rPr>
                      <w:rFonts w:hint="default" w:ascii="Times New Roman" w:hAnsi="Times New Roman" w:cs="Times New Roman"/>
                      <w:color w:val="auto"/>
                      <w:spacing w:val="-2"/>
                      <w:sz w:val="21"/>
                      <w:szCs w:val="21"/>
                      <w:lang w:eastAsia="zh-CN"/>
                    </w:rPr>
                    <w:t>感区域高耗水、</w:t>
                  </w:r>
                  <w:r>
                    <w:rPr>
                      <w:rFonts w:hint="default" w:ascii="Times New Roman" w:hAnsi="Times New Roman" w:cs="Times New Roman"/>
                      <w:color w:val="auto"/>
                      <w:spacing w:val="-3"/>
                      <w:sz w:val="21"/>
                      <w:szCs w:val="21"/>
                      <w:lang w:eastAsia="zh-CN"/>
                    </w:rPr>
                    <w:t>高污染行业发展</w:t>
                  </w:r>
                </w:p>
              </w:tc>
              <w:tc>
                <w:tcPr>
                  <w:tcW w:w="1537" w:type="pct"/>
                  <w:tcBorders>
                    <w:tl2br w:val="nil"/>
                    <w:tr2bl w:val="nil"/>
                  </w:tcBorders>
                  <w:noWrap w:val="0"/>
                  <w:vAlign w:val="center"/>
                </w:tcPr>
                <w:p w14:paraId="7A11D59A">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z w:val="21"/>
                      <w:szCs w:val="21"/>
                      <w:lang w:eastAsia="zh-CN"/>
                    </w:rPr>
                    <w:t>本项目为固体矿产地质勘查，</w:t>
                  </w:r>
                  <w:r>
                    <w:rPr>
                      <w:rFonts w:hint="default" w:ascii="Times New Roman" w:hAnsi="Times New Roman" w:cs="Times New Roman"/>
                      <w:color w:val="auto"/>
                      <w:spacing w:val="-1"/>
                      <w:sz w:val="21"/>
                      <w:szCs w:val="21"/>
                      <w:lang w:eastAsia="zh-CN"/>
                    </w:rPr>
                    <w:t>不属于</w:t>
                  </w:r>
                  <w:r>
                    <w:rPr>
                      <w:rFonts w:hint="eastAsia" w:ascii="Times New Roman" w:hAnsi="Times New Roman" w:cs="Times New Roman"/>
                      <w:color w:val="auto"/>
                      <w:spacing w:val="-1"/>
                      <w:sz w:val="21"/>
                      <w:szCs w:val="21"/>
                      <w:lang w:eastAsia="zh-CN"/>
                    </w:rPr>
                    <w:t>“</w:t>
                  </w:r>
                  <w:r>
                    <w:rPr>
                      <w:rFonts w:hint="default" w:ascii="Times New Roman" w:hAnsi="Times New Roman" w:cs="Times New Roman"/>
                      <w:color w:val="auto"/>
                      <w:spacing w:val="-1"/>
                      <w:sz w:val="21"/>
                      <w:szCs w:val="21"/>
                      <w:lang w:eastAsia="zh-CN"/>
                    </w:rPr>
                    <w:t>三高</w:t>
                  </w:r>
                  <w:r>
                    <w:rPr>
                      <w:rFonts w:hint="eastAsia" w:ascii="Times New Roman" w:hAnsi="Times New Roman" w:cs="Times New Roman"/>
                      <w:color w:val="auto"/>
                      <w:spacing w:val="-1"/>
                      <w:sz w:val="21"/>
                      <w:szCs w:val="21"/>
                      <w:lang w:eastAsia="zh-CN"/>
                    </w:rPr>
                    <w:t>”</w:t>
                  </w:r>
                  <w:r>
                    <w:rPr>
                      <w:rFonts w:hint="default" w:ascii="Times New Roman" w:hAnsi="Times New Roman" w:cs="Times New Roman"/>
                      <w:color w:val="auto"/>
                      <w:spacing w:val="-1"/>
                      <w:sz w:val="21"/>
                      <w:szCs w:val="21"/>
                      <w:lang w:eastAsia="zh-CN"/>
                    </w:rPr>
                    <w:t>行业</w:t>
                  </w:r>
                </w:p>
              </w:tc>
              <w:tc>
                <w:tcPr>
                  <w:tcW w:w="226" w:type="pct"/>
                  <w:tcBorders>
                    <w:tl2br w:val="nil"/>
                    <w:tr2bl w:val="nil"/>
                  </w:tcBorders>
                  <w:noWrap w:val="0"/>
                  <w:vAlign w:val="center"/>
                </w:tcPr>
                <w:p w14:paraId="5B33339F">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z w:val="21"/>
                      <w:szCs w:val="21"/>
                    </w:rPr>
                    <w:t>符合</w:t>
                  </w:r>
                </w:p>
              </w:tc>
            </w:tr>
            <w:tr w14:paraId="4CCD1B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continue"/>
                  <w:tcBorders>
                    <w:tl2br w:val="nil"/>
                    <w:tr2bl w:val="nil"/>
                  </w:tcBorders>
                  <w:noWrap w:val="0"/>
                  <w:vAlign w:val="center"/>
                </w:tcPr>
                <w:p w14:paraId="2EEA54EB">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continue"/>
                  <w:tcBorders>
                    <w:tl2br w:val="nil"/>
                    <w:tr2bl w:val="nil"/>
                  </w:tcBorders>
                  <w:noWrap w:val="0"/>
                  <w:vAlign w:val="center"/>
                </w:tcPr>
                <w:p w14:paraId="19DA42AF">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2469" w:type="pct"/>
                  <w:tcBorders>
                    <w:tl2br w:val="nil"/>
                    <w:tr2bl w:val="nil"/>
                  </w:tcBorders>
                  <w:noWrap w:val="0"/>
                  <w:vAlign w:val="center"/>
                </w:tcPr>
                <w:p w14:paraId="1BA37D96">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pacing w:val="5"/>
                      <w:sz w:val="21"/>
                      <w:szCs w:val="21"/>
                      <w:lang w:eastAsia="zh-CN"/>
                    </w:rPr>
                    <w:t>〔A1.2-2〕建设项目用地原则上不得</w:t>
                  </w:r>
                  <w:r>
                    <w:rPr>
                      <w:rFonts w:hint="default" w:ascii="Times New Roman" w:hAnsi="Times New Roman" w:cs="Times New Roman"/>
                      <w:color w:val="auto"/>
                      <w:spacing w:val="4"/>
                      <w:sz w:val="21"/>
                      <w:szCs w:val="21"/>
                      <w:lang w:eastAsia="zh-CN"/>
                    </w:rPr>
                    <w:t>占用永久基本农田，确需占用</w:t>
                  </w:r>
                  <w:r>
                    <w:rPr>
                      <w:rFonts w:hint="default" w:ascii="Times New Roman" w:hAnsi="Times New Roman" w:cs="Times New Roman"/>
                      <w:color w:val="auto"/>
                      <w:sz w:val="21"/>
                      <w:szCs w:val="21"/>
                      <w:lang w:eastAsia="zh-CN"/>
                    </w:rPr>
                    <w:t>永久基本农田的建设项目须符合《中华人民共和国基本农田保护条</w:t>
                  </w:r>
                  <w:r>
                    <w:rPr>
                      <w:rFonts w:hint="default" w:ascii="Times New Roman" w:hAnsi="Times New Roman" w:cs="Times New Roman"/>
                      <w:color w:val="auto"/>
                      <w:spacing w:val="4"/>
                      <w:sz w:val="21"/>
                      <w:szCs w:val="21"/>
                      <w:lang w:eastAsia="zh-CN"/>
                    </w:rPr>
                    <w:t>例》中相关要求，占用耕地、林地或草地的建设项目须按照国家、</w:t>
                  </w:r>
                  <w:r>
                    <w:rPr>
                      <w:rFonts w:hint="default" w:ascii="Times New Roman" w:hAnsi="Times New Roman" w:cs="Times New Roman"/>
                      <w:color w:val="auto"/>
                      <w:spacing w:val="-1"/>
                      <w:sz w:val="21"/>
                      <w:szCs w:val="21"/>
                      <w:lang w:eastAsia="zh-CN"/>
                    </w:rPr>
                    <w:t>自治区相关补偿要求进行补偿。</w:t>
                  </w:r>
                </w:p>
              </w:tc>
              <w:tc>
                <w:tcPr>
                  <w:tcW w:w="1537" w:type="pct"/>
                  <w:tcBorders>
                    <w:tl2br w:val="nil"/>
                    <w:tr2bl w:val="nil"/>
                  </w:tcBorders>
                  <w:noWrap w:val="0"/>
                  <w:vAlign w:val="center"/>
                </w:tcPr>
                <w:p w14:paraId="43E0C9ED">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5"/>
                      <w:sz w:val="21"/>
                      <w:szCs w:val="21"/>
                      <w:lang w:val="en-US" w:eastAsia="zh-CN"/>
                    </w:rPr>
                  </w:pPr>
                  <w:r>
                    <w:rPr>
                      <w:rFonts w:hint="default" w:ascii="Times New Roman" w:hAnsi="Times New Roman" w:cs="Times New Roman"/>
                      <w:color w:val="auto"/>
                      <w:spacing w:val="5"/>
                      <w:sz w:val="21"/>
                      <w:szCs w:val="21"/>
                      <w:highlight w:val="none"/>
                      <w:lang w:eastAsia="zh-CN"/>
                    </w:rPr>
                    <w:t>本项目占地类型</w:t>
                  </w:r>
                  <w:r>
                    <w:rPr>
                      <w:rFonts w:hint="eastAsia" w:ascii="Times New Roman" w:hAnsi="Times New Roman" w:cs="Times New Roman"/>
                      <w:color w:val="auto"/>
                      <w:spacing w:val="5"/>
                      <w:sz w:val="21"/>
                      <w:szCs w:val="21"/>
                      <w:highlight w:val="none"/>
                      <w:lang w:val="en-US" w:eastAsia="zh-CN"/>
                    </w:rPr>
                    <w:t>为其他草地，</w:t>
                  </w:r>
                  <w:r>
                    <w:rPr>
                      <w:rFonts w:hint="default" w:ascii="Times New Roman" w:hAnsi="Times New Roman" w:cs="Times New Roman"/>
                      <w:color w:val="auto"/>
                      <w:spacing w:val="5"/>
                      <w:sz w:val="21"/>
                      <w:szCs w:val="21"/>
                      <w:highlight w:val="none"/>
                      <w:lang w:eastAsia="zh-CN"/>
                    </w:rPr>
                    <w:t>属</w:t>
                  </w:r>
                  <w:r>
                    <w:rPr>
                      <w:rFonts w:hint="default" w:ascii="Times New Roman" w:hAnsi="Times New Roman" w:cs="Times New Roman"/>
                      <w:color w:val="auto"/>
                      <w:spacing w:val="5"/>
                      <w:sz w:val="21"/>
                      <w:szCs w:val="21"/>
                      <w:lang w:eastAsia="zh-CN"/>
                    </w:rPr>
                    <w:t>于临时用地</w:t>
                  </w:r>
                  <w:r>
                    <w:rPr>
                      <w:rFonts w:hint="eastAsia" w:ascii="Times New Roman" w:hAnsi="Times New Roman" w:cs="Times New Roman"/>
                      <w:color w:val="auto"/>
                      <w:spacing w:val="5"/>
                      <w:sz w:val="21"/>
                      <w:szCs w:val="21"/>
                      <w:lang w:eastAsia="zh-CN"/>
                    </w:rPr>
                    <w:t>，</w:t>
                  </w:r>
                  <w:r>
                    <w:rPr>
                      <w:rFonts w:hint="default" w:ascii="Times New Roman" w:hAnsi="Times New Roman" w:cs="Times New Roman"/>
                      <w:color w:val="auto"/>
                      <w:spacing w:val="5"/>
                      <w:sz w:val="21"/>
                      <w:szCs w:val="21"/>
                      <w:lang w:eastAsia="zh-CN"/>
                    </w:rPr>
                    <w:t>不</w:t>
                  </w:r>
                  <w:r>
                    <w:rPr>
                      <w:rFonts w:hint="default" w:ascii="Times New Roman" w:hAnsi="Times New Roman" w:cs="Times New Roman"/>
                      <w:color w:val="auto"/>
                      <w:spacing w:val="4"/>
                      <w:sz w:val="21"/>
                      <w:szCs w:val="21"/>
                      <w:lang w:eastAsia="zh-CN"/>
                    </w:rPr>
                    <w:t>占用永久基本农田</w:t>
                  </w:r>
                </w:p>
              </w:tc>
              <w:tc>
                <w:tcPr>
                  <w:tcW w:w="226" w:type="pct"/>
                  <w:tcBorders>
                    <w:tl2br w:val="nil"/>
                    <w:tr2bl w:val="nil"/>
                  </w:tcBorders>
                  <w:noWrap w:val="0"/>
                  <w:vAlign w:val="center"/>
                </w:tcPr>
                <w:p w14:paraId="4744B167">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5"/>
                      <w:sz w:val="21"/>
                      <w:szCs w:val="21"/>
                      <w:lang w:eastAsia="zh-CN"/>
                    </w:rPr>
                  </w:pPr>
                  <w:r>
                    <w:rPr>
                      <w:rFonts w:hint="default" w:ascii="Times New Roman" w:hAnsi="Times New Roman" w:cs="Times New Roman"/>
                      <w:color w:val="auto"/>
                      <w:sz w:val="21"/>
                      <w:szCs w:val="21"/>
                    </w:rPr>
                    <w:t>符合</w:t>
                  </w:r>
                </w:p>
              </w:tc>
            </w:tr>
            <w:tr w14:paraId="1041F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continue"/>
                  <w:tcBorders>
                    <w:tl2br w:val="nil"/>
                    <w:tr2bl w:val="nil"/>
                  </w:tcBorders>
                  <w:noWrap w:val="0"/>
                  <w:vAlign w:val="center"/>
                </w:tcPr>
                <w:p w14:paraId="3E7D8005">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restart"/>
                  <w:tcBorders>
                    <w:tl2br w:val="nil"/>
                    <w:tr2bl w:val="nil"/>
                  </w:tcBorders>
                  <w:noWrap w:val="0"/>
                  <w:vAlign w:val="center"/>
                </w:tcPr>
                <w:p w14:paraId="50203BCA">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A1.3不</w:t>
                  </w:r>
                  <w:r>
                    <w:rPr>
                      <w:rFonts w:hint="default" w:ascii="Times New Roman" w:hAnsi="Times New Roman" w:cs="Times New Roman"/>
                      <w:color w:val="auto"/>
                      <w:spacing w:val="4"/>
                      <w:sz w:val="21"/>
                      <w:szCs w:val="21"/>
                    </w:rPr>
                    <w:t>符合空</w:t>
                  </w:r>
                  <w:r>
                    <w:rPr>
                      <w:rFonts w:hint="default" w:ascii="Times New Roman" w:hAnsi="Times New Roman" w:cs="Times New Roman"/>
                      <w:color w:val="auto"/>
                      <w:spacing w:val="7"/>
                      <w:sz w:val="21"/>
                      <w:szCs w:val="21"/>
                    </w:rPr>
                    <w:t>间布局</w:t>
                  </w:r>
                  <w:r>
                    <w:rPr>
                      <w:rFonts w:hint="default" w:ascii="Times New Roman" w:hAnsi="Times New Roman" w:cs="Times New Roman"/>
                      <w:color w:val="auto"/>
                      <w:spacing w:val="-4"/>
                      <w:sz w:val="21"/>
                      <w:szCs w:val="21"/>
                    </w:rPr>
                    <w:t>要求活动的退</w:t>
                  </w:r>
                  <w:r>
                    <w:rPr>
                      <w:rFonts w:hint="default" w:ascii="Times New Roman" w:hAnsi="Times New Roman" w:cs="Times New Roman"/>
                      <w:color w:val="auto"/>
                      <w:spacing w:val="3"/>
                      <w:sz w:val="21"/>
                      <w:szCs w:val="21"/>
                    </w:rPr>
                    <w:t>出要求</w:t>
                  </w:r>
                </w:p>
              </w:tc>
              <w:tc>
                <w:tcPr>
                  <w:tcW w:w="2469" w:type="pct"/>
                  <w:tcBorders>
                    <w:tl2br w:val="nil"/>
                    <w:tr2bl w:val="nil"/>
                  </w:tcBorders>
                  <w:noWrap w:val="0"/>
                  <w:vAlign w:val="center"/>
                </w:tcPr>
                <w:p w14:paraId="49908C0A">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3"/>
                      <w:sz w:val="21"/>
                      <w:szCs w:val="21"/>
                      <w:lang w:eastAsia="zh-CN"/>
                    </w:rPr>
                  </w:pPr>
                  <w:r>
                    <w:rPr>
                      <w:rFonts w:hint="default" w:ascii="Times New Roman" w:hAnsi="Times New Roman" w:cs="Times New Roman"/>
                      <w:color w:val="auto"/>
                      <w:spacing w:val="1"/>
                      <w:sz w:val="21"/>
                      <w:szCs w:val="21"/>
                      <w:lang w:eastAsia="zh-CN"/>
                    </w:rPr>
                    <w:t>〔A1.3-1〕任何单位和个人不得在水源涵养区、饮用水水源保护区</w:t>
                  </w:r>
                  <w:r>
                    <w:rPr>
                      <w:rFonts w:hint="default" w:ascii="Times New Roman" w:hAnsi="Times New Roman" w:cs="Times New Roman"/>
                      <w:color w:val="auto"/>
                      <w:spacing w:val="-3"/>
                      <w:sz w:val="21"/>
                      <w:szCs w:val="21"/>
                      <w:lang w:eastAsia="zh-CN"/>
                    </w:rPr>
                    <w:t>内和河流、湖泊、水库周围建设重化工、涉重</w:t>
                  </w:r>
                  <w:r>
                    <w:rPr>
                      <w:rFonts w:hint="default" w:ascii="Times New Roman" w:hAnsi="Times New Roman" w:cs="Times New Roman"/>
                      <w:color w:val="auto"/>
                      <w:spacing w:val="-4"/>
                      <w:sz w:val="21"/>
                      <w:szCs w:val="21"/>
                      <w:lang w:eastAsia="zh-CN"/>
                    </w:rPr>
                    <w:t>金属等工业污染项目；</w:t>
                  </w:r>
                  <w:r>
                    <w:rPr>
                      <w:rFonts w:hint="default" w:ascii="Times New Roman" w:hAnsi="Times New Roman" w:cs="Times New Roman"/>
                      <w:color w:val="auto"/>
                      <w:spacing w:val="-3"/>
                      <w:sz w:val="21"/>
                      <w:szCs w:val="21"/>
                      <w:lang w:eastAsia="zh-CN"/>
                    </w:rPr>
                    <w:t>对已建成的工业污染项目，当地人民政府应当组织</w:t>
                  </w:r>
                  <w:r>
                    <w:rPr>
                      <w:rFonts w:hint="default" w:ascii="Times New Roman" w:hAnsi="Times New Roman" w:cs="Times New Roman"/>
                      <w:color w:val="auto"/>
                      <w:spacing w:val="-4"/>
                      <w:sz w:val="21"/>
                      <w:szCs w:val="21"/>
                      <w:lang w:eastAsia="zh-CN"/>
                    </w:rPr>
                    <w:t>限期搬迁。</w:t>
                  </w:r>
                </w:p>
              </w:tc>
              <w:tc>
                <w:tcPr>
                  <w:tcW w:w="1537" w:type="pct"/>
                  <w:tcBorders>
                    <w:tl2br w:val="nil"/>
                    <w:tr2bl w:val="nil"/>
                  </w:tcBorders>
                  <w:noWrap w:val="0"/>
                  <w:vAlign w:val="center"/>
                </w:tcPr>
                <w:p w14:paraId="5C8C8474">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z w:val="21"/>
                      <w:szCs w:val="21"/>
                      <w:lang w:eastAsia="zh-CN"/>
                    </w:rPr>
                    <w:t>本项目位于</w:t>
                  </w:r>
                  <w:r>
                    <w:rPr>
                      <w:rFonts w:hint="eastAsia" w:ascii="Times New Roman" w:hAnsi="Times New Roman" w:cs="Times New Roman"/>
                      <w:color w:val="auto"/>
                      <w:sz w:val="21"/>
                      <w:szCs w:val="21"/>
                      <w:lang w:eastAsia="zh-CN"/>
                    </w:rPr>
                    <w:t>新疆维吾尔自治区巴音郭楞蒙古自治州和静县克尔古提乡，距离和静县城直线距离约</w:t>
                  </w:r>
                  <w:r>
                    <w:rPr>
                      <w:rFonts w:hint="eastAsia" w:ascii="Times New Roman" w:hAnsi="Times New Roman" w:cs="Times New Roman"/>
                      <w:color w:val="auto"/>
                      <w:sz w:val="21"/>
                      <w:szCs w:val="21"/>
                      <w:lang w:val="en-US" w:eastAsia="zh-CN"/>
                    </w:rPr>
                    <w:t>30</w:t>
                  </w:r>
                  <w:r>
                    <w:rPr>
                      <w:rFonts w:hint="eastAsia" w:ascii="Times New Roman" w:hAnsi="Times New Roman" w:cs="Times New Roman"/>
                      <w:color w:val="auto"/>
                      <w:sz w:val="21"/>
                      <w:szCs w:val="21"/>
                      <w:lang w:eastAsia="zh-CN"/>
                    </w:rPr>
                    <w:t>km</w:t>
                  </w:r>
                  <w:r>
                    <w:rPr>
                      <w:rFonts w:hint="default" w:ascii="Times New Roman" w:hAnsi="Times New Roman" w:cs="Times New Roman"/>
                      <w:color w:val="auto"/>
                      <w:sz w:val="21"/>
                      <w:szCs w:val="21"/>
                      <w:lang w:eastAsia="zh-CN"/>
                    </w:rPr>
                    <w:t>，不在</w:t>
                  </w:r>
                  <w:r>
                    <w:rPr>
                      <w:rFonts w:hint="default" w:ascii="Times New Roman" w:hAnsi="Times New Roman" w:cs="Times New Roman"/>
                      <w:color w:val="auto"/>
                      <w:spacing w:val="1"/>
                      <w:sz w:val="21"/>
                      <w:szCs w:val="21"/>
                      <w:lang w:eastAsia="zh-CN"/>
                    </w:rPr>
                    <w:t>水源涵养区、饮用水水源保护区</w:t>
                  </w:r>
                  <w:r>
                    <w:rPr>
                      <w:rFonts w:hint="default" w:ascii="Times New Roman" w:hAnsi="Times New Roman" w:cs="Times New Roman"/>
                      <w:color w:val="auto"/>
                      <w:spacing w:val="-3"/>
                      <w:sz w:val="21"/>
                      <w:szCs w:val="21"/>
                      <w:lang w:eastAsia="zh-CN"/>
                    </w:rPr>
                    <w:t>内</w:t>
                  </w:r>
                </w:p>
              </w:tc>
              <w:tc>
                <w:tcPr>
                  <w:tcW w:w="226" w:type="pct"/>
                  <w:tcBorders>
                    <w:tl2br w:val="nil"/>
                    <w:tr2bl w:val="nil"/>
                  </w:tcBorders>
                  <w:noWrap w:val="0"/>
                  <w:vAlign w:val="center"/>
                </w:tcPr>
                <w:p w14:paraId="66BD1950">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z w:val="21"/>
                      <w:szCs w:val="21"/>
                    </w:rPr>
                    <w:t>符合</w:t>
                  </w:r>
                </w:p>
              </w:tc>
            </w:tr>
            <w:tr w14:paraId="59ADA6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 w:author="哦" w:date="2026-03-29T11:22:00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90" w:hRule="atLeast"/>
                <w:trPrChange w:id="1" w:author="哦" w:date="2026-03-29T11:22:00Z">
                  <w:trPr>
                    <w:gridAfter w:val="3"/>
                    <w:wAfter w:w="3453" w:type="dxa"/>
                  </w:trPr>
                </w:trPrChange>
              </w:trPr>
              <w:tc>
                <w:tcPr>
                  <w:tcW w:w="323" w:type="pct"/>
                  <w:vMerge w:val="continue"/>
                  <w:tcBorders>
                    <w:tl2br w:val="nil"/>
                    <w:tr2bl w:val="nil"/>
                  </w:tcBorders>
                  <w:noWrap w:val="0"/>
                  <w:vAlign w:val="center"/>
                  <w:tcPrChange w:id="2" w:author="哦" w:date="2026-03-29T11:22:00Z">
                    <w:tcPr>
                      <w:tcW w:w="323" w:type="pct"/>
                      <w:vMerge w:val="continue"/>
                      <w:tcBorders>
                        <w:tl2br w:val="nil"/>
                        <w:tr2bl w:val="nil"/>
                      </w:tcBorders>
                      <w:noWrap w:val="0"/>
                      <w:vAlign w:val="center"/>
                    </w:tcPr>
                  </w:tcPrChange>
                </w:tcPr>
                <w:p w14:paraId="18DF6F4E">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continue"/>
                  <w:tcBorders>
                    <w:tl2br w:val="nil"/>
                    <w:tr2bl w:val="nil"/>
                  </w:tcBorders>
                  <w:noWrap w:val="0"/>
                  <w:vAlign w:val="center"/>
                  <w:tcPrChange w:id="3" w:author="哦" w:date="2026-03-29T11:22:00Z">
                    <w:tcPr>
                      <w:tcW w:w="442" w:type="pct"/>
                      <w:gridSpan w:val="2"/>
                      <w:vMerge w:val="continue"/>
                      <w:tcBorders>
                        <w:tl2br w:val="nil"/>
                        <w:tr2bl w:val="nil"/>
                      </w:tcBorders>
                      <w:noWrap w:val="0"/>
                      <w:vAlign w:val="center"/>
                    </w:tcPr>
                  </w:tcPrChange>
                </w:tcPr>
                <w:p w14:paraId="4CCFDC01">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2469" w:type="pct"/>
                  <w:tcBorders>
                    <w:tl2br w:val="nil"/>
                    <w:tr2bl w:val="nil"/>
                  </w:tcBorders>
                  <w:noWrap w:val="0"/>
                  <w:vAlign w:val="center"/>
                  <w:tcPrChange w:id="4" w:author="哦" w:date="2026-03-29T11:22:00Z">
                    <w:tcPr>
                      <w:tcW w:w="2469" w:type="pct"/>
                      <w:gridSpan w:val="2"/>
                      <w:tcBorders>
                        <w:tl2br w:val="nil"/>
                        <w:tr2bl w:val="nil"/>
                      </w:tcBorders>
                      <w:noWrap w:val="0"/>
                      <w:vAlign w:val="center"/>
                    </w:tcPr>
                  </w:tcPrChange>
                </w:tcPr>
                <w:p w14:paraId="3235A85D">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3"/>
                      <w:sz w:val="21"/>
                      <w:szCs w:val="21"/>
                      <w:lang w:eastAsia="zh-CN"/>
                    </w:rPr>
                  </w:pPr>
                  <w:r>
                    <w:rPr>
                      <w:rFonts w:hint="default" w:ascii="Times New Roman" w:hAnsi="Times New Roman" w:cs="Times New Roman"/>
                      <w:color w:val="auto"/>
                      <w:spacing w:val="4"/>
                      <w:sz w:val="21"/>
                      <w:szCs w:val="21"/>
                      <w:lang w:eastAsia="zh-CN"/>
                    </w:rPr>
                    <w:t>〔A1.3-2〕对不符合国家产业政策、严重污染水环境的生产项目全</w:t>
                  </w:r>
                  <w:r>
                    <w:rPr>
                      <w:rFonts w:hint="default" w:ascii="Times New Roman" w:hAnsi="Times New Roman" w:cs="Times New Roman"/>
                      <w:color w:val="auto"/>
                      <w:spacing w:val="-1"/>
                      <w:sz w:val="21"/>
                      <w:szCs w:val="21"/>
                      <w:lang w:eastAsia="zh-CN"/>
                    </w:rPr>
                    <w:t>部予以取缔。</w:t>
                  </w:r>
                </w:p>
              </w:tc>
              <w:tc>
                <w:tcPr>
                  <w:tcW w:w="1537" w:type="pct"/>
                  <w:tcBorders>
                    <w:tl2br w:val="nil"/>
                    <w:tr2bl w:val="nil"/>
                  </w:tcBorders>
                  <w:noWrap w:val="0"/>
                  <w:vAlign w:val="center"/>
                  <w:tcPrChange w:id="5" w:author="哦" w:date="2026-03-29T11:22:00Z">
                    <w:tcPr>
                      <w:tcW w:w="1537" w:type="pct"/>
                      <w:tcBorders>
                        <w:tl2br w:val="nil"/>
                        <w:tr2bl w:val="nil"/>
                      </w:tcBorders>
                      <w:noWrap w:val="0"/>
                      <w:vAlign w:val="center"/>
                    </w:tcPr>
                  </w:tcPrChange>
                </w:tcPr>
                <w:p w14:paraId="39406FC9">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default" w:ascii="Times New Roman" w:hAnsi="Times New Roman" w:cs="Times New Roman"/>
                      <w:color w:val="auto"/>
                      <w:sz w:val="21"/>
                      <w:szCs w:val="21"/>
                      <w:lang w:eastAsia="zh-CN"/>
                    </w:rPr>
                    <w:t>本项目为固体矿产地质勘查</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无生产废水</w:t>
                  </w:r>
                  <w:r>
                    <w:rPr>
                      <w:rFonts w:hint="eastAsia" w:ascii="Times New Roman" w:hAnsi="Times New Roman" w:eastAsia="宋体" w:cs="Times New Roman"/>
                      <w:color w:val="auto"/>
                      <w:sz w:val="21"/>
                      <w:szCs w:val="21"/>
                      <w:lang w:eastAsia="zh-CN"/>
                    </w:rPr>
                    <w:t>，生活污水进入一体化处理设施，处理后用于草地灌溉，</w:t>
                  </w:r>
                  <w:r>
                    <w:rPr>
                      <w:rFonts w:hint="eastAsia" w:ascii="Times New Roman" w:hAnsi="Times New Roman" w:cs="Times New Roman"/>
                      <w:color w:val="auto"/>
                      <w:sz w:val="21"/>
                      <w:szCs w:val="21"/>
                      <w:lang w:eastAsia="zh-CN"/>
                    </w:rPr>
                    <w:t>符合国家产业政策</w:t>
                  </w:r>
                </w:p>
              </w:tc>
              <w:tc>
                <w:tcPr>
                  <w:tcW w:w="226" w:type="pct"/>
                  <w:tcBorders>
                    <w:tl2br w:val="nil"/>
                    <w:tr2bl w:val="nil"/>
                  </w:tcBorders>
                  <w:noWrap w:val="0"/>
                  <w:vAlign w:val="center"/>
                  <w:tcPrChange w:id="6" w:author="哦" w:date="2026-03-29T11:22:00Z">
                    <w:tcPr>
                      <w:tcW w:w="226" w:type="pct"/>
                      <w:tcBorders>
                        <w:tl2br w:val="nil"/>
                        <w:tr2bl w:val="nil"/>
                      </w:tcBorders>
                      <w:noWrap w:val="0"/>
                      <w:vAlign w:val="center"/>
                    </w:tcPr>
                  </w:tcPrChange>
                </w:tcPr>
                <w:p w14:paraId="33693D6F">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eastAsia" w:ascii="Times New Roman" w:hAnsi="Times New Roman" w:cs="Times New Roman"/>
                      <w:color w:val="auto"/>
                      <w:spacing w:val="4"/>
                      <w:sz w:val="21"/>
                      <w:szCs w:val="21"/>
                      <w:lang w:eastAsia="zh-CN"/>
                    </w:rPr>
                    <w:t>符合</w:t>
                  </w:r>
                </w:p>
              </w:tc>
            </w:tr>
            <w:tr w14:paraId="731639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continue"/>
                  <w:tcBorders>
                    <w:tl2br w:val="nil"/>
                    <w:tr2bl w:val="nil"/>
                  </w:tcBorders>
                  <w:noWrap w:val="0"/>
                  <w:vAlign w:val="center"/>
                </w:tcPr>
                <w:p w14:paraId="48960EBE">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tcBorders>
                    <w:tl2br w:val="nil"/>
                    <w:tr2bl w:val="nil"/>
                  </w:tcBorders>
                  <w:noWrap w:val="0"/>
                  <w:vAlign w:val="center"/>
                </w:tcPr>
                <w:p w14:paraId="07ACDA42">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A1.4其它布局要求</w:t>
                  </w:r>
                </w:p>
              </w:tc>
              <w:tc>
                <w:tcPr>
                  <w:tcW w:w="2469" w:type="pct"/>
                  <w:tcBorders>
                    <w:tl2br w:val="nil"/>
                    <w:tr2bl w:val="nil"/>
                  </w:tcBorders>
                  <w:noWrap w:val="0"/>
                  <w:vAlign w:val="center"/>
                </w:tcPr>
                <w:p w14:paraId="316D0538">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3"/>
                      <w:sz w:val="21"/>
                      <w:szCs w:val="21"/>
                      <w:lang w:eastAsia="zh-CN"/>
                    </w:rPr>
                  </w:pPr>
                  <w:r>
                    <w:rPr>
                      <w:rFonts w:hint="default" w:ascii="Times New Roman" w:hAnsi="Times New Roman" w:cs="Times New Roman"/>
                      <w:color w:val="auto"/>
                      <w:spacing w:val="1"/>
                      <w:sz w:val="21"/>
                      <w:szCs w:val="21"/>
                      <w:lang w:eastAsia="zh-CN"/>
                    </w:rPr>
                    <w:t>〔A1.4-1〕一切开发建设活动应符合</w:t>
                  </w:r>
                  <w:r>
                    <w:rPr>
                      <w:rFonts w:hint="default" w:ascii="Times New Roman" w:hAnsi="Times New Roman" w:cs="Times New Roman"/>
                      <w:color w:val="auto"/>
                      <w:sz w:val="21"/>
                      <w:szCs w:val="21"/>
                      <w:lang w:eastAsia="zh-CN"/>
                    </w:rPr>
                    <w:t>国家、自治区主体功能区规划、</w:t>
                  </w:r>
                  <w:r>
                    <w:rPr>
                      <w:rFonts w:hint="default" w:ascii="Times New Roman" w:hAnsi="Times New Roman" w:cs="Times New Roman"/>
                      <w:color w:val="auto"/>
                      <w:spacing w:val="1"/>
                      <w:sz w:val="21"/>
                      <w:szCs w:val="21"/>
                      <w:lang w:eastAsia="zh-CN"/>
                    </w:rPr>
                    <w:t>自治区和各地颁布实施的生态环境功能区划、国民经</w:t>
                  </w:r>
                  <w:r>
                    <w:rPr>
                      <w:rFonts w:hint="default" w:ascii="Times New Roman" w:hAnsi="Times New Roman" w:cs="Times New Roman"/>
                      <w:color w:val="auto"/>
                      <w:sz w:val="21"/>
                      <w:szCs w:val="21"/>
                      <w:lang w:eastAsia="zh-CN"/>
                    </w:rPr>
                    <w:t>济发展规划、</w:t>
                  </w:r>
                  <w:r>
                    <w:rPr>
                      <w:rFonts w:hint="default" w:ascii="Times New Roman" w:hAnsi="Times New Roman" w:cs="Times New Roman"/>
                      <w:color w:val="auto"/>
                      <w:spacing w:val="-3"/>
                      <w:sz w:val="21"/>
                      <w:szCs w:val="21"/>
                      <w:lang w:eastAsia="zh-CN"/>
                    </w:rPr>
                    <w:t>产业发展规划、国土空间规划等相关规划及重点生态功能区负面清</w:t>
                  </w:r>
                  <w:r>
                    <w:rPr>
                      <w:rFonts w:hint="default" w:ascii="Times New Roman" w:hAnsi="Times New Roman" w:cs="Times New Roman"/>
                      <w:color w:val="auto"/>
                      <w:spacing w:val="-4"/>
                      <w:sz w:val="21"/>
                      <w:szCs w:val="21"/>
                      <w:lang w:eastAsia="zh-CN"/>
                    </w:rPr>
                    <w:t>单要求，符合区域或产业规划环评要求。</w:t>
                  </w:r>
                </w:p>
              </w:tc>
              <w:tc>
                <w:tcPr>
                  <w:tcW w:w="1537" w:type="pct"/>
                  <w:tcBorders>
                    <w:tl2br w:val="nil"/>
                    <w:tr2bl w:val="nil"/>
                  </w:tcBorders>
                  <w:noWrap w:val="0"/>
                  <w:vAlign w:val="center"/>
                </w:tcPr>
                <w:p w14:paraId="1A144845">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z w:val="21"/>
                      <w:szCs w:val="21"/>
                      <w:highlight w:val="none"/>
                      <w:lang w:eastAsia="zh-CN"/>
                    </w:rPr>
                    <w:t>本项目为固体矿产地质勘查，属于允许类项目，符合《新疆维吾尔自治区矿产资源总体规划（2021-2025）</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巴音郭楞蒙古自治州矿产资源总体规划（2021-2025）》</w:t>
                  </w:r>
                  <w:r>
                    <w:rPr>
                      <w:rFonts w:hint="eastAsia" w:ascii="Times New Roman" w:hAnsi="Times New Roman" w:cs="Times New Roman"/>
                      <w:color w:val="auto"/>
                      <w:sz w:val="21"/>
                      <w:szCs w:val="21"/>
                      <w:highlight w:val="none"/>
                      <w:lang w:val="en-US" w:eastAsia="zh-CN"/>
                    </w:rPr>
                    <w:t>和《新疆维吾尔自治区和静县矿产资源总体规划（2021—2025年）》</w:t>
                  </w:r>
                  <w:r>
                    <w:rPr>
                      <w:rFonts w:hint="default" w:ascii="Times New Roman" w:hAnsi="Times New Roman" w:cs="Times New Roman"/>
                      <w:color w:val="auto"/>
                      <w:sz w:val="21"/>
                      <w:szCs w:val="21"/>
                      <w:highlight w:val="none"/>
                      <w:lang w:eastAsia="zh-CN"/>
                    </w:rPr>
                    <w:t>的相关规划</w:t>
                  </w:r>
                </w:p>
              </w:tc>
              <w:tc>
                <w:tcPr>
                  <w:tcW w:w="226" w:type="pct"/>
                  <w:tcBorders>
                    <w:tl2br w:val="nil"/>
                    <w:tr2bl w:val="nil"/>
                  </w:tcBorders>
                  <w:noWrap w:val="0"/>
                  <w:vAlign w:val="center"/>
                </w:tcPr>
                <w:p w14:paraId="14A2D3C1">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1"/>
                      <w:sz w:val="21"/>
                      <w:szCs w:val="21"/>
                      <w:lang w:eastAsia="zh-CN"/>
                    </w:rPr>
                  </w:pPr>
                  <w:r>
                    <w:rPr>
                      <w:rFonts w:hint="eastAsia" w:ascii="Times New Roman" w:hAnsi="Times New Roman" w:cs="Times New Roman"/>
                      <w:color w:val="auto"/>
                      <w:spacing w:val="1"/>
                      <w:sz w:val="21"/>
                      <w:szCs w:val="21"/>
                      <w:lang w:eastAsia="zh-CN"/>
                    </w:rPr>
                    <w:t>符合</w:t>
                  </w:r>
                </w:p>
              </w:tc>
            </w:tr>
            <w:tr w14:paraId="7E5B7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323" w:type="pct"/>
                  <w:tcBorders>
                    <w:tl2br w:val="nil"/>
                    <w:tr2bl w:val="nil"/>
                  </w:tcBorders>
                  <w:noWrap w:val="0"/>
                  <w:vAlign w:val="center"/>
                </w:tcPr>
                <w:p w14:paraId="260A3DBB">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A2污染物排放管控</w:t>
                  </w:r>
                </w:p>
              </w:tc>
              <w:tc>
                <w:tcPr>
                  <w:tcW w:w="442" w:type="pct"/>
                  <w:tcBorders>
                    <w:tl2br w:val="nil"/>
                    <w:tr2bl w:val="nil"/>
                  </w:tcBorders>
                  <w:noWrap w:val="0"/>
                  <w:vAlign w:val="center"/>
                </w:tcPr>
                <w:p w14:paraId="3D1B6C19">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snapToGrid/>
                      <w:color w:val="auto"/>
                      <w:kern w:val="2"/>
                      <w:sz w:val="21"/>
                      <w:szCs w:val="21"/>
                      <w:lang w:eastAsia="zh-CN"/>
                    </w:rPr>
                  </w:pPr>
                  <w:r>
                    <w:rPr>
                      <w:rFonts w:hint="default" w:ascii="Times New Roman" w:hAnsi="Times New Roman" w:cs="Times New Roman"/>
                      <w:snapToGrid/>
                      <w:color w:val="auto"/>
                      <w:kern w:val="2"/>
                      <w:sz w:val="21"/>
                      <w:szCs w:val="21"/>
                      <w:lang w:eastAsia="zh-CN"/>
                    </w:rPr>
                    <w:t>A2.1污染物削减/替代要求</w:t>
                  </w:r>
                </w:p>
              </w:tc>
              <w:tc>
                <w:tcPr>
                  <w:tcW w:w="2469" w:type="pct"/>
                  <w:tcBorders>
                    <w:tl2br w:val="nil"/>
                    <w:tr2bl w:val="nil"/>
                  </w:tcBorders>
                  <w:noWrap w:val="0"/>
                  <w:vAlign w:val="center"/>
                </w:tcPr>
                <w:p w14:paraId="098959E2">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default" w:ascii="Times New Roman" w:hAnsi="Times New Roman" w:cs="Times New Roman"/>
                      <w:color w:val="auto"/>
                      <w:spacing w:val="4"/>
                      <w:sz w:val="21"/>
                      <w:szCs w:val="21"/>
                      <w:lang w:eastAsia="zh-CN"/>
                    </w:rPr>
                    <w:t>〔A2.1-1〕新、改、扩建重点行业建设项目应符合</w:t>
                  </w:r>
                  <w:r>
                    <w:rPr>
                      <w:rFonts w:hint="eastAsia"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lang w:eastAsia="zh-CN"/>
                    </w:rPr>
                    <w:t>三线一单</w:t>
                  </w:r>
                  <w:r>
                    <w:rPr>
                      <w:rFonts w:hint="eastAsia"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lang w:eastAsia="zh-CN"/>
                    </w:rPr>
                    <w:t>、产业政策、区域环评、规划环评和行业环境准入管控要求。重点区域的新、改、扩建重点行业建设项目应遵循重点重金属污染物排放</w:t>
                  </w:r>
                  <w:r>
                    <w:rPr>
                      <w:rFonts w:hint="eastAsia"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lang w:eastAsia="zh-CN"/>
                    </w:rPr>
                    <w:t>减量替代</w:t>
                  </w:r>
                  <w:r>
                    <w:rPr>
                      <w:rFonts w:hint="eastAsia"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lang w:eastAsia="zh-CN"/>
                    </w:rPr>
                    <w:t>原则。</w:t>
                  </w:r>
                </w:p>
              </w:tc>
              <w:tc>
                <w:tcPr>
                  <w:tcW w:w="1537" w:type="pct"/>
                  <w:tcBorders>
                    <w:tl2br w:val="nil"/>
                    <w:tr2bl w:val="nil"/>
                  </w:tcBorders>
                  <w:noWrap w:val="0"/>
                  <w:vAlign w:val="center"/>
                </w:tcPr>
                <w:p w14:paraId="6A221FCB">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default" w:ascii="Times New Roman" w:hAnsi="Times New Roman" w:cs="Times New Roman"/>
                      <w:color w:val="auto"/>
                      <w:sz w:val="21"/>
                      <w:szCs w:val="21"/>
                      <w:lang w:eastAsia="zh-CN"/>
                    </w:rPr>
                    <w:t>本项目为固体矿产地质勘查</w:t>
                  </w:r>
                  <w:r>
                    <w:rPr>
                      <w:rFonts w:hint="eastAsia" w:ascii="Times New Roman" w:hAnsi="Times New Roman" w:cs="Times New Roman"/>
                      <w:color w:val="auto"/>
                      <w:sz w:val="21"/>
                      <w:szCs w:val="21"/>
                      <w:lang w:eastAsia="zh-CN"/>
                    </w:rPr>
                    <w:t>，项目位于新疆维吾尔自治区巴音郭楞蒙古自治州和静县克尔古提乡，距离和静县城直线距离约</w:t>
                  </w:r>
                  <w:r>
                    <w:rPr>
                      <w:rFonts w:hint="eastAsia" w:ascii="Times New Roman" w:hAnsi="Times New Roman" w:cs="Times New Roman"/>
                      <w:color w:val="auto"/>
                      <w:sz w:val="21"/>
                      <w:szCs w:val="21"/>
                      <w:lang w:val="en-US" w:eastAsia="zh-CN"/>
                    </w:rPr>
                    <w:t>30</w:t>
                  </w:r>
                  <w:r>
                    <w:rPr>
                      <w:rFonts w:hint="eastAsia" w:ascii="Times New Roman" w:hAnsi="Times New Roman" w:cs="Times New Roman"/>
                      <w:color w:val="auto"/>
                      <w:sz w:val="21"/>
                      <w:szCs w:val="21"/>
                      <w:lang w:eastAsia="zh-CN"/>
                    </w:rPr>
                    <w:t>km</w:t>
                  </w:r>
                  <w:r>
                    <w:rPr>
                      <w:rFonts w:hint="eastAsia" w:ascii="Times New Roman" w:hAnsi="Times New Roman" w:eastAsia="宋体" w:cs="Times New Roman"/>
                      <w:color w:val="auto"/>
                      <w:sz w:val="21"/>
                      <w:szCs w:val="21"/>
                      <w:lang w:eastAsia="zh-CN"/>
                    </w:rPr>
                    <w:t>，不属于重点行业，</w:t>
                  </w:r>
                  <w:r>
                    <w:rPr>
                      <w:rFonts w:hint="eastAsia" w:ascii="Times New Roman" w:hAnsi="Times New Roman" w:cs="Times New Roman"/>
                      <w:color w:val="auto"/>
                      <w:sz w:val="21"/>
                      <w:szCs w:val="21"/>
                      <w:lang w:eastAsia="zh-CN"/>
                    </w:rPr>
                    <w:t>不在</w:t>
                  </w:r>
                  <w:r>
                    <w:rPr>
                      <w:rFonts w:hint="default" w:ascii="Times New Roman" w:hAnsi="Times New Roman" w:cs="Times New Roman"/>
                      <w:color w:val="auto"/>
                      <w:spacing w:val="4"/>
                      <w:sz w:val="21"/>
                      <w:szCs w:val="21"/>
                      <w:lang w:eastAsia="zh-CN"/>
                    </w:rPr>
                    <w:t>重点区域</w:t>
                  </w:r>
                </w:p>
              </w:tc>
              <w:tc>
                <w:tcPr>
                  <w:tcW w:w="226" w:type="pct"/>
                  <w:tcBorders>
                    <w:tl2br w:val="nil"/>
                    <w:tr2bl w:val="nil"/>
                  </w:tcBorders>
                  <w:noWrap w:val="0"/>
                  <w:vAlign w:val="center"/>
                </w:tcPr>
                <w:p w14:paraId="15996502">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eastAsia" w:ascii="Times New Roman" w:hAnsi="Times New Roman" w:cs="Times New Roman"/>
                      <w:color w:val="auto"/>
                      <w:spacing w:val="1"/>
                      <w:sz w:val="21"/>
                      <w:szCs w:val="21"/>
                      <w:lang w:eastAsia="zh-CN"/>
                    </w:rPr>
                    <w:t>符合</w:t>
                  </w:r>
                </w:p>
              </w:tc>
            </w:tr>
            <w:tr w14:paraId="7E4819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restart"/>
                  <w:tcBorders>
                    <w:tl2br w:val="nil"/>
                    <w:tr2bl w:val="nil"/>
                  </w:tcBorders>
                  <w:noWrap w:val="0"/>
                  <w:vAlign w:val="center"/>
                </w:tcPr>
                <w:p w14:paraId="1F96D90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A3环境风险防控</w:t>
                  </w:r>
                </w:p>
              </w:tc>
              <w:tc>
                <w:tcPr>
                  <w:tcW w:w="442" w:type="pct"/>
                  <w:vMerge w:val="restart"/>
                  <w:tcBorders>
                    <w:tl2br w:val="nil"/>
                    <w:tr2bl w:val="nil"/>
                  </w:tcBorders>
                  <w:noWrap w:val="0"/>
                  <w:vAlign w:val="center"/>
                </w:tcPr>
                <w:p w14:paraId="6111A58C">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snapToGrid/>
                      <w:color w:val="auto"/>
                      <w:kern w:val="2"/>
                      <w:sz w:val="21"/>
                      <w:szCs w:val="21"/>
                      <w:lang w:eastAsia="zh-CN"/>
                    </w:rPr>
                  </w:pPr>
                  <w:r>
                    <w:rPr>
                      <w:rFonts w:hint="default" w:ascii="Times New Roman" w:hAnsi="Times New Roman" w:cs="Times New Roman"/>
                      <w:snapToGrid/>
                      <w:color w:val="auto"/>
                      <w:kern w:val="2"/>
                      <w:sz w:val="21"/>
                      <w:szCs w:val="21"/>
                      <w:lang w:eastAsia="zh-CN"/>
                    </w:rPr>
                    <w:t>A3.1人居环境要求</w:t>
                  </w:r>
                </w:p>
              </w:tc>
              <w:tc>
                <w:tcPr>
                  <w:tcW w:w="2469" w:type="pct"/>
                  <w:tcBorders>
                    <w:tl2br w:val="nil"/>
                    <w:tr2bl w:val="nil"/>
                  </w:tcBorders>
                  <w:noWrap w:val="0"/>
                  <w:vAlign w:val="center"/>
                </w:tcPr>
                <w:p w14:paraId="323BFE44">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default" w:ascii="Times New Roman" w:hAnsi="Times New Roman" w:cs="Times New Roman"/>
                      <w:color w:val="auto"/>
                      <w:spacing w:val="4"/>
                      <w:sz w:val="21"/>
                      <w:szCs w:val="21"/>
                      <w:lang w:eastAsia="zh-CN"/>
                    </w:rPr>
                    <w:t>〔A3.1-1〕建立和完善重污染天气兵地联合应急预案、预报预警应急机制和会商联动机制。</w:t>
                  </w:r>
                  <w:r>
                    <w:rPr>
                      <w:rFonts w:hint="eastAsia"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lang w:eastAsia="zh-CN"/>
                    </w:rPr>
                    <w:t>乌一昌一石</w:t>
                  </w:r>
                  <w:r>
                    <w:rPr>
                      <w:rFonts w:hint="eastAsia"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lang w:eastAsia="zh-CN"/>
                    </w:rPr>
                    <w:t>区域内可能影响相邻行政区域大气环境的项目，兵地间、城市间必须相互征求意见。</w:t>
                  </w:r>
                </w:p>
              </w:tc>
              <w:tc>
                <w:tcPr>
                  <w:tcW w:w="1537" w:type="pct"/>
                  <w:vMerge w:val="restart"/>
                  <w:tcBorders>
                    <w:tl2br w:val="nil"/>
                    <w:tr2bl w:val="nil"/>
                  </w:tcBorders>
                  <w:noWrap w:val="0"/>
                  <w:vAlign w:val="center"/>
                </w:tcPr>
                <w:p w14:paraId="3C4B97E5">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eastAsia" w:ascii="Times New Roman" w:hAnsi="Times New Roman" w:cs="Times New Roman"/>
                      <w:color w:val="auto"/>
                      <w:spacing w:val="4"/>
                      <w:sz w:val="21"/>
                      <w:szCs w:val="21"/>
                      <w:lang w:eastAsia="zh-CN"/>
                    </w:rPr>
                    <w:t>本</w:t>
                  </w:r>
                  <w:r>
                    <w:rPr>
                      <w:rFonts w:hint="eastAsia" w:ascii="Times New Roman" w:hAnsi="Times New Roman" w:cs="Times New Roman"/>
                      <w:color w:val="auto"/>
                      <w:spacing w:val="4"/>
                      <w:sz w:val="21"/>
                      <w:szCs w:val="21"/>
                      <w:lang w:val="en-US" w:eastAsia="zh-CN"/>
                    </w:rPr>
                    <w:t>项目扬尘采取洒水降尘措施后能减少粉尘的排放</w:t>
                  </w:r>
                  <w:r>
                    <w:rPr>
                      <w:rFonts w:hint="eastAsia" w:ascii="Times New Roman" w:hAnsi="Times New Roman" w:cs="Times New Roman"/>
                      <w:color w:val="auto"/>
                      <w:spacing w:val="4"/>
                      <w:sz w:val="21"/>
                      <w:szCs w:val="21"/>
                      <w:lang w:eastAsia="zh-CN"/>
                    </w:rPr>
                    <w:t>。</w:t>
                  </w:r>
                  <w:r>
                    <w:rPr>
                      <w:rFonts w:hint="eastAsia" w:ascii="Times New Roman" w:hAnsi="Times New Roman" w:cs="Times New Roman"/>
                      <w:color w:val="auto"/>
                      <w:spacing w:val="4"/>
                      <w:sz w:val="21"/>
                      <w:szCs w:val="21"/>
                      <w:lang w:val="en-US" w:eastAsia="zh-CN"/>
                    </w:rPr>
                    <w:t>通过对柴油发电机及车辆定期维护保养，使用正品柴油，减少尾气排放</w:t>
                  </w:r>
                </w:p>
              </w:tc>
              <w:tc>
                <w:tcPr>
                  <w:tcW w:w="226" w:type="pct"/>
                  <w:vMerge w:val="restart"/>
                  <w:tcBorders>
                    <w:tl2br w:val="nil"/>
                    <w:tr2bl w:val="nil"/>
                  </w:tcBorders>
                  <w:noWrap w:val="0"/>
                  <w:vAlign w:val="center"/>
                </w:tcPr>
                <w:p w14:paraId="5F85CF0D">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eastAsia" w:ascii="Times New Roman" w:hAnsi="Times New Roman" w:cs="Times New Roman"/>
                      <w:color w:val="auto"/>
                      <w:spacing w:val="1"/>
                      <w:sz w:val="21"/>
                      <w:szCs w:val="21"/>
                      <w:lang w:eastAsia="zh-CN"/>
                    </w:rPr>
                    <w:t>符合</w:t>
                  </w:r>
                </w:p>
              </w:tc>
            </w:tr>
            <w:tr w14:paraId="65A290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vMerge w:val="continue"/>
                  <w:tcBorders>
                    <w:tl2br w:val="nil"/>
                    <w:tr2bl w:val="nil"/>
                  </w:tcBorders>
                  <w:noWrap w:val="0"/>
                  <w:vAlign w:val="center"/>
                </w:tcPr>
                <w:p w14:paraId="2B104928">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442" w:type="pct"/>
                  <w:vMerge w:val="continue"/>
                  <w:tcBorders>
                    <w:tl2br w:val="nil"/>
                    <w:tr2bl w:val="nil"/>
                  </w:tcBorders>
                  <w:noWrap w:val="0"/>
                  <w:vAlign w:val="center"/>
                </w:tcPr>
                <w:p w14:paraId="27C4AAE6">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snapToGrid/>
                      <w:color w:val="auto"/>
                      <w:kern w:val="2"/>
                      <w:sz w:val="21"/>
                      <w:szCs w:val="21"/>
                      <w:lang w:eastAsia="zh-CN"/>
                    </w:rPr>
                  </w:pPr>
                </w:p>
              </w:tc>
              <w:tc>
                <w:tcPr>
                  <w:tcW w:w="2469" w:type="pct"/>
                  <w:tcBorders>
                    <w:tl2br w:val="nil"/>
                    <w:tr2bl w:val="nil"/>
                  </w:tcBorders>
                  <w:noWrap w:val="0"/>
                  <w:vAlign w:val="center"/>
                </w:tcPr>
                <w:p w14:paraId="2A1BFAFA">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r>
                    <w:rPr>
                      <w:rFonts w:hint="default" w:ascii="Times New Roman" w:hAnsi="Times New Roman" w:cs="Times New Roman"/>
                      <w:color w:val="auto"/>
                      <w:spacing w:val="4"/>
                      <w:sz w:val="21"/>
                      <w:szCs w:val="21"/>
                      <w:lang w:eastAsia="zh-CN"/>
                    </w:rPr>
                    <w:t>〔A3.1-3〕强化重污染天气监测预报预警能力，建立和完善重污染天气兵地联合应急预案、预警应急机制和会商联动机制，加强轻、中度污染天气管控。</w:t>
                  </w:r>
                </w:p>
              </w:tc>
              <w:tc>
                <w:tcPr>
                  <w:tcW w:w="1537" w:type="pct"/>
                  <w:vMerge w:val="continue"/>
                  <w:tcBorders>
                    <w:tl2br w:val="nil"/>
                    <w:tr2bl w:val="nil"/>
                  </w:tcBorders>
                  <w:noWrap w:val="0"/>
                  <w:vAlign w:val="center"/>
                </w:tcPr>
                <w:p w14:paraId="1F677B00">
                  <w:pPr>
                    <w:pStyle w:val="55"/>
                    <w:keepNext w:val="0"/>
                    <w:keepLines w:val="0"/>
                    <w:pageBreakBefore w:val="0"/>
                    <w:suppressLineNumbers w:val="0"/>
                    <w:kinsoku/>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p>
              </w:tc>
              <w:tc>
                <w:tcPr>
                  <w:tcW w:w="226" w:type="pct"/>
                  <w:vMerge w:val="continue"/>
                  <w:tcBorders>
                    <w:tl2br w:val="nil"/>
                    <w:tr2bl w:val="nil"/>
                  </w:tcBorders>
                  <w:noWrap w:val="0"/>
                  <w:vAlign w:val="center"/>
                </w:tcPr>
                <w:p w14:paraId="12D79A81">
                  <w:pPr>
                    <w:pStyle w:val="55"/>
                    <w:keepNext w:val="0"/>
                    <w:keepLines w:val="0"/>
                    <w:pageBreakBefore w:val="0"/>
                    <w:suppressLineNumbers w:val="0"/>
                    <w:wordWrap/>
                    <w:overflowPunct/>
                    <w:bidi w:val="0"/>
                    <w:spacing w:before="0" w:beforeAutospacing="0" w:after="0" w:afterAutospacing="0"/>
                    <w:ind w:left="0" w:right="0"/>
                    <w:jc w:val="center"/>
                    <w:rPr>
                      <w:rFonts w:hint="default" w:ascii="Times New Roman" w:hAnsi="Times New Roman" w:cs="Times New Roman"/>
                      <w:color w:val="auto"/>
                      <w:spacing w:val="4"/>
                      <w:sz w:val="21"/>
                      <w:szCs w:val="21"/>
                      <w:lang w:eastAsia="zh-CN"/>
                    </w:rPr>
                  </w:pPr>
                </w:p>
              </w:tc>
            </w:tr>
            <w:tr w14:paraId="75D365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23" w:type="pct"/>
                  <w:tcBorders>
                    <w:tl2br w:val="nil"/>
                    <w:tr2bl w:val="nil"/>
                  </w:tcBorders>
                  <w:noWrap w:val="0"/>
                  <w:vAlign w:val="center"/>
                </w:tcPr>
                <w:p w14:paraId="49EBB493">
                  <w:pPr>
                    <w:keepNext w:val="0"/>
                    <w:keepLines w:val="0"/>
                    <w:pageBreakBefore w:val="0"/>
                    <w:suppressLineNumbers w:val="0"/>
                    <w:wordWrap/>
                    <w:overflowPunct/>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A4资源利用要求</w:t>
                  </w:r>
                </w:p>
              </w:tc>
              <w:tc>
                <w:tcPr>
                  <w:tcW w:w="442" w:type="pct"/>
                  <w:tcBorders>
                    <w:tl2br w:val="nil"/>
                    <w:tr2bl w:val="nil"/>
                  </w:tcBorders>
                  <w:noWrap w:val="0"/>
                  <w:vAlign w:val="center"/>
                </w:tcPr>
                <w:p w14:paraId="15768F7D">
                  <w:pPr>
                    <w:pStyle w:val="55"/>
                    <w:keepNext w:val="0"/>
                    <w:keepLines w:val="0"/>
                    <w:pageBreakBefore w:val="0"/>
                    <w:suppressLineNumbers w:val="0"/>
                    <w:kinsoku/>
                    <w:wordWrap/>
                    <w:overflowPunct/>
                    <w:bidi w:val="0"/>
                    <w:spacing w:before="0" w:beforeAutospacing="0" w:after="0" w:afterAutospacing="0"/>
                    <w:ind w:left="0" w:right="0" w:firstLine="0" w:firstLineChars="0"/>
                    <w:jc w:val="center"/>
                    <w:rPr>
                      <w:rFonts w:hint="default" w:ascii="Times New Roman" w:hAnsi="Times New Roman" w:cs="Times New Roman"/>
                      <w:snapToGrid w:val="0"/>
                      <w:color w:val="auto"/>
                      <w:spacing w:val="4"/>
                      <w:kern w:val="0"/>
                      <w:sz w:val="21"/>
                      <w:szCs w:val="21"/>
                      <w:lang w:val="en-US" w:eastAsia="zh-CN" w:bidi="ar-SA"/>
                    </w:rPr>
                  </w:pPr>
                  <w:r>
                    <w:rPr>
                      <w:rFonts w:hint="default" w:ascii="Times New Roman" w:hAnsi="Times New Roman" w:cs="Times New Roman"/>
                      <w:color w:val="auto"/>
                      <w:spacing w:val="4"/>
                      <w:sz w:val="21"/>
                      <w:szCs w:val="21"/>
                      <w:lang w:eastAsia="zh-CN"/>
                    </w:rPr>
                    <w:t>A4.1水资源</w:t>
                  </w:r>
                </w:p>
              </w:tc>
              <w:tc>
                <w:tcPr>
                  <w:tcW w:w="2469" w:type="pct"/>
                  <w:tcBorders>
                    <w:tl2br w:val="nil"/>
                    <w:tr2bl w:val="nil"/>
                  </w:tcBorders>
                  <w:noWrap w:val="0"/>
                  <w:vAlign w:val="center"/>
                </w:tcPr>
                <w:p w14:paraId="723510DD">
                  <w:pPr>
                    <w:pStyle w:val="55"/>
                    <w:keepNext w:val="0"/>
                    <w:keepLines w:val="0"/>
                    <w:pageBreakBefore w:val="0"/>
                    <w:suppressLineNumbers w:val="0"/>
                    <w:kinsoku/>
                    <w:wordWrap/>
                    <w:overflowPunct/>
                    <w:bidi w:val="0"/>
                    <w:spacing w:before="0" w:beforeAutospacing="0" w:after="0" w:afterAutospacing="0"/>
                    <w:ind w:left="0" w:right="0" w:firstLine="0" w:firstLineChars="0"/>
                    <w:jc w:val="center"/>
                    <w:rPr>
                      <w:rFonts w:hint="default" w:ascii="Times New Roman" w:hAnsi="Times New Roman" w:cs="Times New Roman"/>
                      <w:snapToGrid w:val="0"/>
                      <w:color w:val="auto"/>
                      <w:spacing w:val="4"/>
                      <w:kern w:val="0"/>
                      <w:sz w:val="21"/>
                      <w:szCs w:val="21"/>
                      <w:lang w:val="en-US" w:eastAsia="zh-CN" w:bidi="ar-SA"/>
                    </w:rPr>
                  </w:pPr>
                  <w:r>
                    <w:rPr>
                      <w:rFonts w:hint="default" w:ascii="Times New Roman" w:hAnsi="Times New Roman" w:cs="Times New Roman"/>
                      <w:snapToGrid w:val="0"/>
                      <w:color w:val="auto"/>
                      <w:spacing w:val="4"/>
                      <w:kern w:val="0"/>
                      <w:sz w:val="21"/>
                      <w:szCs w:val="21"/>
                      <w:lang w:val="en-US" w:eastAsia="zh-CN" w:bidi="ar-SA"/>
                    </w:rPr>
                    <w:t>〔A4.1-2</w:t>
                  </w:r>
                  <w:r>
                    <w:rPr>
                      <w:rFonts w:hint="default" w:ascii="Times New Roman" w:hAnsi="Times New Roman" w:cs="Times New Roman"/>
                      <w:color w:val="auto"/>
                      <w:spacing w:val="4"/>
                      <w:sz w:val="21"/>
                      <w:szCs w:val="21"/>
                      <w:lang w:eastAsia="zh-CN"/>
                    </w:rPr>
                    <w:t>〕</w:t>
                  </w:r>
                  <w:r>
                    <w:rPr>
                      <w:rFonts w:hint="default" w:ascii="Times New Roman" w:hAnsi="Times New Roman" w:cs="Times New Roman"/>
                      <w:snapToGrid w:val="0"/>
                      <w:color w:val="auto"/>
                      <w:spacing w:val="4"/>
                      <w:kern w:val="0"/>
                      <w:sz w:val="21"/>
                      <w:szCs w:val="21"/>
                      <w:lang w:val="en-US" w:eastAsia="zh-CN" w:bidi="ar-SA"/>
                    </w:rPr>
                    <w:t>加大城镇污水再生利用工程建设力度，推进区域再生水循环利用，到2025年，城市生活污水再生利用率力争达到60%。</w:t>
                  </w:r>
                </w:p>
                <w:p w14:paraId="524FB179">
                  <w:pPr>
                    <w:pStyle w:val="55"/>
                    <w:keepNext w:val="0"/>
                    <w:keepLines w:val="0"/>
                    <w:pageBreakBefore w:val="0"/>
                    <w:suppressLineNumbers w:val="0"/>
                    <w:kinsoku/>
                    <w:wordWrap/>
                    <w:overflowPunct/>
                    <w:bidi w:val="0"/>
                    <w:spacing w:before="0" w:beforeAutospacing="0" w:after="0" w:afterAutospacing="0"/>
                    <w:ind w:left="0" w:right="0" w:firstLine="0" w:firstLineChars="0"/>
                    <w:jc w:val="center"/>
                    <w:rPr>
                      <w:rFonts w:hint="default" w:ascii="Times New Roman" w:hAnsi="Times New Roman" w:cs="Times New Roman"/>
                      <w:snapToGrid w:val="0"/>
                      <w:color w:val="auto"/>
                      <w:spacing w:val="4"/>
                      <w:kern w:val="0"/>
                      <w:sz w:val="21"/>
                      <w:szCs w:val="21"/>
                      <w:lang w:val="en-US" w:eastAsia="zh-CN" w:bidi="ar-SA"/>
                    </w:rPr>
                  </w:pPr>
                  <w:r>
                    <w:rPr>
                      <w:rFonts w:hint="default" w:ascii="Times New Roman" w:hAnsi="Times New Roman" w:cs="Times New Roman"/>
                      <w:snapToGrid w:val="0"/>
                      <w:color w:val="auto"/>
                      <w:spacing w:val="4"/>
                      <w:kern w:val="0"/>
                      <w:sz w:val="21"/>
                      <w:szCs w:val="21"/>
                      <w:lang w:val="en-US" w:eastAsia="zh-CN" w:bidi="ar-SA"/>
                    </w:rPr>
                    <w:t>〔A4.1-3</w:t>
                  </w:r>
                  <w:r>
                    <w:rPr>
                      <w:rFonts w:hint="default" w:ascii="Times New Roman" w:hAnsi="Times New Roman" w:cs="Times New Roman"/>
                      <w:color w:val="auto"/>
                      <w:spacing w:val="4"/>
                      <w:sz w:val="21"/>
                      <w:szCs w:val="21"/>
                      <w:lang w:eastAsia="zh-CN"/>
                    </w:rPr>
                    <w:t>〕</w:t>
                  </w:r>
                  <w:r>
                    <w:rPr>
                      <w:rFonts w:hint="default" w:ascii="Times New Roman" w:hAnsi="Times New Roman" w:cs="Times New Roman"/>
                      <w:snapToGrid w:val="0"/>
                      <w:color w:val="auto"/>
                      <w:spacing w:val="4"/>
                      <w:kern w:val="0"/>
                      <w:sz w:val="21"/>
                      <w:szCs w:val="21"/>
                      <w:lang w:val="en-US" w:eastAsia="zh-CN" w:bidi="ar-SA"/>
                    </w:rPr>
                    <w:t>加强农村水利基础设施建设，推进农村供水保障工程，农村自来水普及率、集中供水率分别达到99.3%、99.7%。</w:t>
                  </w:r>
                </w:p>
              </w:tc>
              <w:tc>
                <w:tcPr>
                  <w:tcW w:w="1537" w:type="pct"/>
                  <w:tcBorders>
                    <w:tl2br w:val="nil"/>
                    <w:tr2bl w:val="nil"/>
                  </w:tcBorders>
                  <w:noWrap w:val="0"/>
                  <w:vAlign w:val="center"/>
                </w:tcPr>
                <w:p w14:paraId="3C295ACF">
                  <w:pPr>
                    <w:pStyle w:val="55"/>
                    <w:keepNext w:val="0"/>
                    <w:keepLines w:val="0"/>
                    <w:pageBreakBefore w:val="0"/>
                    <w:suppressLineNumbers w:val="0"/>
                    <w:kinsoku/>
                    <w:wordWrap/>
                    <w:overflowPunct/>
                    <w:bidi w:val="0"/>
                    <w:spacing w:before="0" w:beforeAutospacing="0" w:after="0" w:afterAutospacing="0"/>
                    <w:ind w:left="0" w:right="0" w:firstLine="0" w:firstLineChars="0"/>
                    <w:jc w:val="center"/>
                    <w:rPr>
                      <w:rFonts w:hint="default" w:ascii="Times New Roman" w:hAnsi="Times New Roman" w:cs="Times New Roman"/>
                      <w:snapToGrid w:val="0"/>
                      <w:color w:val="auto"/>
                      <w:spacing w:val="4"/>
                      <w:kern w:val="0"/>
                      <w:sz w:val="21"/>
                      <w:szCs w:val="21"/>
                      <w:lang w:val="en-US" w:eastAsia="zh-CN" w:bidi="ar-SA"/>
                    </w:rPr>
                  </w:pPr>
                  <w:r>
                    <w:rPr>
                      <w:rFonts w:hint="default" w:ascii="Times New Roman" w:hAnsi="Times New Roman" w:cs="Times New Roman"/>
                      <w:snapToGrid w:val="0"/>
                      <w:color w:val="auto"/>
                      <w:spacing w:val="4"/>
                      <w:kern w:val="0"/>
                      <w:sz w:val="21"/>
                      <w:szCs w:val="21"/>
                      <w:lang w:val="en-US" w:eastAsia="zh-CN" w:bidi="ar-SA"/>
                    </w:rPr>
                    <w:t>本项目生活污水进入一体化处理设施，处理后用于草地灌溉。无生产废水产生</w:t>
                  </w:r>
                </w:p>
              </w:tc>
              <w:tc>
                <w:tcPr>
                  <w:tcW w:w="226" w:type="pct"/>
                  <w:tcBorders>
                    <w:tl2br w:val="nil"/>
                    <w:tr2bl w:val="nil"/>
                  </w:tcBorders>
                  <w:noWrap w:val="0"/>
                  <w:vAlign w:val="center"/>
                </w:tcPr>
                <w:p w14:paraId="32538045">
                  <w:pPr>
                    <w:pStyle w:val="55"/>
                    <w:keepNext w:val="0"/>
                    <w:keepLines w:val="0"/>
                    <w:pageBreakBefore w:val="0"/>
                    <w:suppressLineNumbers w:val="0"/>
                    <w:kinsoku/>
                    <w:wordWrap/>
                    <w:overflowPunct/>
                    <w:bidi w:val="0"/>
                    <w:spacing w:before="0" w:beforeAutospacing="0" w:after="0" w:afterAutospacing="0"/>
                    <w:ind w:left="0" w:right="0" w:firstLine="0" w:firstLineChars="0"/>
                    <w:jc w:val="center"/>
                    <w:rPr>
                      <w:rFonts w:hint="default" w:ascii="Times New Roman" w:hAnsi="Times New Roman" w:cs="Times New Roman"/>
                      <w:snapToGrid w:val="0"/>
                      <w:color w:val="auto"/>
                      <w:spacing w:val="4"/>
                      <w:kern w:val="0"/>
                      <w:sz w:val="21"/>
                      <w:szCs w:val="21"/>
                      <w:lang w:val="en-US" w:eastAsia="zh-CN" w:bidi="ar-SA"/>
                    </w:rPr>
                  </w:pPr>
                  <w:r>
                    <w:rPr>
                      <w:rFonts w:hint="eastAsia" w:ascii="Times New Roman" w:hAnsi="Times New Roman" w:cs="Times New Roman"/>
                      <w:color w:val="auto"/>
                      <w:spacing w:val="1"/>
                      <w:sz w:val="21"/>
                      <w:szCs w:val="21"/>
                      <w:lang w:eastAsia="zh-CN"/>
                    </w:rPr>
                    <w:t>符合</w:t>
                  </w:r>
                </w:p>
              </w:tc>
            </w:tr>
          </w:tbl>
          <w:p w14:paraId="6A4C3C61">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cs="Times New Roman"/>
                <w:color w:val="auto"/>
              </w:rPr>
            </w:pPr>
            <w:r>
              <w:rPr>
                <w:rFonts w:hint="eastAsia" w:cs="Times New Roman"/>
                <w:color w:val="auto"/>
              </w:rPr>
              <w:t>表</w:t>
            </w:r>
            <w:r>
              <w:rPr>
                <w:rFonts w:hint="eastAsia" w:cs="Times New Roman"/>
                <w:color w:val="auto"/>
                <w:lang w:val="en-US" w:eastAsia="zh-CN"/>
              </w:rPr>
              <w:t>1-2</w:t>
            </w:r>
            <w:r>
              <w:rPr>
                <w:rFonts w:hint="default" w:cs="Times New Roman"/>
                <w:color w:val="auto"/>
              </w:rPr>
              <w:t xml:space="preserve">   </w:t>
            </w:r>
            <w:r>
              <w:rPr>
                <w:rFonts w:hint="eastAsia" w:cs="Times New Roman"/>
                <w:color w:val="auto"/>
              </w:rPr>
              <w:t>本项目与天山南坡片区总体管控要求符合性分析一览表</w:t>
            </w:r>
          </w:p>
          <w:tbl>
            <w:tblPr>
              <w:tblStyle w:val="28"/>
              <w:tblW w:w="5000"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4567"/>
              <w:gridCol w:w="2010"/>
              <w:gridCol w:w="755"/>
            </w:tblGrid>
            <w:tr w14:paraId="6978D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64" w:type="pct"/>
                  <w:vMerge w:val="restart"/>
                  <w:tcBorders>
                    <w:tl2br w:val="nil"/>
                    <w:tr2bl w:val="nil"/>
                  </w:tcBorders>
                  <w:noWrap w:val="0"/>
                  <w:vAlign w:val="center"/>
                </w:tcPr>
                <w:p w14:paraId="2D6FDC4A">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color w:val="auto"/>
                      <w:kern w:val="0"/>
                      <w:sz w:val="21"/>
                      <w:szCs w:val="21"/>
                    </w:rPr>
                    <w:t>天山南坡片区总体管控要求</w:t>
                  </w:r>
                </w:p>
              </w:tc>
              <w:tc>
                <w:tcPr>
                  <w:tcW w:w="2700" w:type="pct"/>
                  <w:tcBorders>
                    <w:tl2br w:val="nil"/>
                    <w:tr2bl w:val="nil"/>
                  </w:tcBorders>
                  <w:noWrap w:val="0"/>
                  <w:vAlign w:val="center"/>
                </w:tcPr>
                <w:p w14:paraId="5C835A08">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color w:val="auto"/>
                      <w:kern w:val="0"/>
                      <w:sz w:val="21"/>
                      <w:szCs w:val="21"/>
                    </w:rPr>
                    <w:t>管控要求</w:t>
                  </w:r>
                </w:p>
              </w:tc>
              <w:tc>
                <w:tcPr>
                  <w:tcW w:w="1189" w:type="pct"/>
                  <w:tcBorders>
                    <w:tl2br w:val="nil"/>
                    <w:tr2bl w:val="nil"/>
                  </w:tcBorders>
                  <w:noWrap w:val="0"/>
                  <w:vAlign w:val="center"/>
                </w:tcPr>
                <w:p w14:paraId="550D8F91">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color w:val="auto"/>
                      <w:kern w:val="0"/>
                      <w:sz w:val="21"/>
                      <w:szCs w:val="21"/>
                    </w:rPr>
                    <w:t>本项目</w:t>
                  </w:r>
                </w:p>
              </w:tc>
              <w:tc>
                <w:tcPr>
                  <w:tcW w:w="447" w:type="pct"/>
                  <w:tcBorders>
                    <w:tl2br w:val="nil"/>
                    <w:tr2bl w:val="nil"/>
                  </w:tcBorders>
                  <w:noWrap w:val="0"/>
                  <w:vAlign w:val="center"/>
                </w:tcPr>
                <w:p w14:paraId="250881BA">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color w:val="auto"/>
                      <w:kern w:val="0"/>
                      <w:sz w:val="21"/>
                      <w:szCs w:val="21"/>
                    </w:rPr>
                    <w:t>符合性</w:t>
                  </w:r>
                </w:p>
              </w:tc>
            </w:tr>
            <w:tr w14:paraId="39B515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19" w:type="dxa"/>
                  <w:vMerge w:val="continue"/>
                  <w:tcBorders>
                    <w:tl2br w:val="nil"/>
                    <w:tr2bl w:val="nil"/>
                  </w:tcBorders>
                  <w:noWrap w:val="0"/>
                  <w:vAlign w:val="center"/>
                </w:tcPr>
                <w:p w14:paraId="34578A47">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cs="Times New Roman"/>
                      <w:color w:val="auto"/>
                      <w:kern w:val="0"/>
                      <w:sz w:val="21"/>
                      <w:szCs w:val="21"/>
                    </w:rPr>
                  </w:pPr>
                </w:p>
              </w:tc>
              <w:tc>
                <w:tcPr>
                  <w:tcW w:w="2700" w:type="pct"/>
                  <w:tcBorders>
                    <w:tl2br w:val="nil"/>
                    <w:tr2bl w:val="nil"/>
                  </w:tcBorders>
                  <w:noWrap w:val="0"/>
                  <w:vAlign w:val="center"/>
                </w:tcPr>
                <w:p w14:paraId="32D6302B">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color w:val="auto"/>
                      <w:kern w:val="0"/>
                      <w:sz w:val="21"/>
                      <w:szCs w:val="21"/>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189" w:type="pct"/>
                  <w:tcBorders>
                    <w:tl2br w:val="nil"/>
                    <w:tr2bl w:val="nil"/>
                  </w:tcBorders>
                  <w:noWrap w:val="0"/>
                  <w:vAlign w:val="center"/>
                </w:tcPr>
                <w:p w14:paraId="5A38E956">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color w:val="auto"/>
                      <w:kern w:val="0"/>
                      <w:sz w:val="21"/>
                      <w:szCs w:val="21"/>
                    </w:rPr>
                    <w:t>本项目不在托木尔峰和天山南坡中段冰雪水源及生物多样性保护生态功能区</w:t>
                  </w:r>
                </w:p>
              </w:tc>
              <w:tc>
                <w:tcPr>
                  <w:tcW w:w="447" w:type="pct"/>
                  <w:tcBorders>
                    <w:tl2br w:val="nil"/>
                    <w:tr2bl w:val="nil"/>
                  </w:tcBorders>
                  <w:noWrap w:val="0"/>
                  <w:vAlign w:val="center"/>
                </w:tcPr>
                <w:p w14:paraId="3C70D09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Times New Roman"/>
                      <w:color w:val="auto"/>
                      <w:kern w:val="0"/>
                      <w:sz w:val="21"/>
                      <w:szCs w:val="21"/>
                      <w:lang w:val="en-US" w:eastAsia="zh-CN"/>
                    </w:rPr>
                  </w:pPr>
                  <w:r>
                    <w:rPr>
                      <w:rFonts w:hint="eastAsia" w:ascii="宋体" w:hAnsi="宋体" w:cs="Times New Roman"/>
                      <w:color w:val="auto"/>
                      <w:kern w:val="0"/>
                      <w:sz w:val="21"/>
                      <w:szCs w:val="21"/>
                      <w:lang w:val="en-US" w:eastAsia="zh-CN"/>
                    </w:rPr>
                    <w:t>/</w:t>
                  </w:r>
                </w:p>
              </w:tc>
            </w:tr>
            <w:tr w14:paraId="67220E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19" w:type="dxa"/>
                  <w:vMerge w:val="continue"/>
                  <w:tcBorders>
                    <w:tl2br w:val="nil"/>
                    <w:tr2bl w:val="nil"/>
                  </w:tcBorders>
                  <w:noWrap w:val="0"/>
                  <w:vAlign w:val="center"/>
                </w:tcPr>
                <w:p w14:paraId="348213AB">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cs="Times New Roman"/>
                      <w:color w:val="auto"/>
                      <w:kern w:val="0"/>
                      <w:sz w:val="21"/>
                      <w:szCs w:val="21"/>
                    </w:rPr>
                  </w:pPr>
                </w:p>
              </w:tc>
              <w:tc>
                <w:tcPr>
                  <w:tcW w:w="2700" w:type="pct"/>
                  <w:tcBorders>
                    <w:tl2br w:val="nil"/>
                    <w:tr2bl w:val="nil"/>
                  </w:tcBorders>
                  <w:noWrap w:val="0"/>
                  <w:vAlign w:val="center"/>
                </w:tcPr>
                <w:p w14:paraId="18F10BBE">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snapToGrid w:val="0"/>
                      <w:color w:val="auto"/>
                      <w:kern w:val="0"/>
                      <w:sz w:val="21"/>
                      <w:szCs w:val="21"/>
                    </w:rPr>
                    <w:t>重点做好塔里木盆地北缘荒漠化防治。加强荒漠植被及河岸荒漠林保护，规范油气勘探开发作业，建立油田和公路扰动区域工程与生物相结合的防风固沙体系，逐步形成生态屏障</w:t>
                  </w:r>
                </w:p>
              </w:tc>
              <w:tc>
                <w:tcPr>
                  <w:tcW w:w="1189" w:type="pct"/>
                  <w:tcBorders>
                    <w:tl2br w:val="nil"/>
                    <w:tr2bl w:val="nil"/>
                  </w:tcBorders>
                  <w:noWrap w:val="0"/>
                  <w:vAlign w:val="center"/>
                </w:tcPr>
                <w:p w14:paraId="20F44561">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color w:val="auto"/>
                      <w:kern w:val="0"/>
                      <w:sz w:val="21"/>
                      <w:szCs w:val="21"/>
                    </w:rPr>
                  </w:pPr>
                  <w:r>
                    <w:rPr>
                      <w:rFonts w:hint="eastAsia" w:ascii="宋体" w:hAnsi="宋体" w:cs="Times New Roman"/>
                      <w:snapToGrid w:val="0"/>
                      <w:color w:val="auto"/>
                      <w:kern w:val="0"/>
                      <w:sz w:val="21"/>
                      <w:szCs w:val="21"/>
                    </w:rPr>
                    <w:t>本项目不涉及油气勘探开发</w:t>
                  </w:r>
                </w:p>
              </w:tc>
              <w:tc>
                <w:tcPr>
                  <w:tcW w:w="447" w:type="pct"/>
                  <w:tcBorders>
                    <w:tl2br w:val="nil"/>
                    <w:tr2bl w:val="nil"/>
                  </w:tcBorders>
                  <w:noWrap w:val="0"/>
                  <w:vAlign w:val="center"/>
                </w:tcPr>
                <w:p w14:paraId="3CB40E1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Times New Roman"/>
                      <w:color w:val="auto"/>
                      <w:kern w:val="0"/>
                      <w:sz w:val="21"/>
                      <w:szCs w:val="21"/>
                      <w:lang w:val="en-US" w:eastAsia="zh-CN"/>
                    </w:rPr>
                  </w:pPr>
                  <w:r>
                    <w:rPr>
                      <w:rFonts w:hint="eastAsia" w:ascii="宋体" w:hAnsi="宋体" w:cs="Times New Roman"/>
                      <w:color w:val="auto"/>
                      <w:kern w:val="0"/>
                      <w:sz w:val="21"/>
                      <w:szCs w:val="21"/>
                      <w:lang w:val="en-US" w:eastAsia="zh-CN"/>
                    </w:rPr>
                    <w:t>/</w:t>
                  </w:r>
                </w:p>
              </w:tc>
            </w:tr>
            <w:tr w14:paraId="7EF3A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19" w:type="dxa"/>
                  <w:vMerge w:val="continue"/>
                  <w:tcBorders>
                    <w:tl2br w:val="nil"/>
                    <w:tr2bl w:val="nil"/>
                  </w:tcBorders>
                  <w:noWrap w:val="0"/>
                  <w:vAlign w:val="center"/>
                </w:tcPr>
                <w:p w14:paraId="3CB2CB07">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cs="Times New Roman"/>
                      <w:color w:val="auto"/>
                      <w:kern w:val="0"/>
                      <w:sz w:val="21"/>
                      <w:szCs w:val="21"/>
                    </w:rPr>
                  </w:pPr>
                </w:p>
              </w:tc>
              <w:tc>
                <w:tcPr>
                  <w:tcW w:w="2700" w:type="pct"/>
                  <w:tcBorders>
                    <w:tl2br w:val="nil"/>
                    <w:tr2bl w:val="nil"/>
                  </w:tcBorders>
                  <w:noWrap w:val="0"/>
                  <w:vAlign w:val="center"/>
                </w:tcPr>
                <w:p w14:paraId="41AED4A6">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snapToGrid w:val="0"/>
                      <w:color w:val="auto"/>
                      <w:kern w:val="0"/>
                      <w:sz w:val="21"/>
                      <w:szCs w:val="21"/>
                    </w:rPr>
                  </w:pPr>
                  <w:r>
                    <w:rPr>
                      <w:rFonts w:hint="eastAsia" w:ascii="宋体" w:hAnsi="宋体" w:cs="Times New Roman"/>
                      <w:snapToGrid w:val="0"/>
                      <w:color w:val="auto"/>
                      <w:kern w:val="0"/>
                      <w:sz w:val="21"/>
                      <w:szCs w:val="21"/>
                    </w:rPr>
                    <w:t>推进塔里木河流域用水结构调整，维护塔里木河、博斯腾湖基本生态用水</w:t>
                  </w:r>
                </w:p>
              </w:tc>
              <w:tc>
                <w:tcPr>
                  <w:tcW w:w="1189" w:type="pct"/>
                  <w:tcBorders>
                    <w:tl2br w:val="nil"/>
                    <w:tr2bl w:val="nil"/>
                  </w:tcBorders>
                  <w:noWrap w:val="0"/>
                  <w:vAlign w:val="center"/>
                </w:tcPr>
                <w:p w14:paraId="156BC292">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snapToGrid w:val="0"/>
                      <w:color w:val="auto"/>
                      <w:kern w:val="0"/>
                      <w:sz w:val="21"/>
                      <w:szCs w:val="21"/>
                    </w:rPr>
                  </w:pPr>
                  <w:r>
                    <w:rPr>
                      <w:rFonts w:hint="eastAsia" w:ascii="宋体" w:hAnsi="宋体" w:cs="Times New Roman"/>
                      <w:snapToGrid w:val="0"/>
                      <w:color w:val="auto"/>
                      <w:kern w:val="0"/>
                      <w:sz w:val="21"/>
                      <w:szCs w:val="21"/>
                    </w:rPr>
                    <w:t>本项目不涉及塔里木河、博斯腾湖生态用水</w:t>
                  </w:r>
                </w:p>
              </w:tc>
              <w:tc>
                <w:tcPr>
                  <w:tcW w:w="447" w:type="pct"/>
                  <w:tcBorders>
                    <w:tl2br w:val="nil"/>
                    <w:tr2bl w:val="nil"/>
                  </w:tcBorders>
                  <w:noWrap w:val="0"/>
                  <w:vAlign w:val="center"/>
                </w:tcPr>
                <w:p w14:paraId="08F2A52F">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Times New Roman"/>
                      <w:color w:val="auto"/>
                      <w:kern w:val="0"/>
                      <w:sz w:val="21"/>
                      <w:szCs w:val="21"/>
                      <w:lang w:val="en-US" w:eastAsia="zh-CN"/>
                    </w:rPr>
                  </w:pPr>
                  <w:r>
                    <w:rPr>
                      <w:rFonts w:hint="eastAsia" w:ascii="宋体" w:hAnsi="宋体" w:cs="Times New Roman"/>
                      <w:color w:val="auto"/>
                      <w:kern w:val="0"/>
                      <w:sz w:val="21"/>
                      <w:szCs w:val="21"/>
                      <w:lang w:val="en-US" w:eastAsia="zh-CN"/>
                    </w:rPr>
                    <w:t>/</w:t>
                  </w:r>
                </w:p>
              </w:tc>
            </w:tr>
            <w:tr w14:paraId="02C8B1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19" w:type="dxa"/>
                  <w:vMerge w:val="continue"/>
                  <w:tcBorders>
                    <w:tl2br w:val="nil"/>
                    <w:tr2bl w:val="nil"/>
                  </w:tcBorders>
                  <w:noWrap w:val="0"/>
                  <w:vAlign w:val="center"/>
                </w:tcPr>
                <w:p w14:paraId="56454F07">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cs="Times New Roman"/>
                      <w:color w:val="auto"/>
                      <w:kern w:val="0"/>
                      <w:sz w:val="21"/>
                      <w:szCs w:val="21"/>
                    </w:rPr>
                  </w:pPr>
                </w:p>
              </w:tc>
              <w:tc>
                <w:tcPr>
                  <w:tcW w:w="2700" w:type="pct"/>
                  <w:tcBorders>
                    <w:tl2br w:val="nil"/>
                    <w:tr2bl w:val="nil"/>
                  </w:tcBorders>
                  <w:noWrap w:val="0"/>
                  <w:vAlign w:val="center"/>
                </w:tcPr>
                <w:p w14:paraId="60777311">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snapToGrid w:val="0"/>
                      <w:color w:val="auto"/>
                      <w:kern w:val="0"/>
                      <w:sz w:val="21"/>
                      <w:szCs w:val="21"/>
                    </w:rPr>
                  </w:pPr>
                  <w:r>
                    <w:rPr>
                      <w:rFonts w:hint="eastAsia" w:ascii="宋体" w:hAnsi="宋体" w:cs="Times New Roman"/>
                      <w:snapToGrid w:val="0"/>
                      <w:color w:val="auto"/>
                      <w:kern w:val="0"/>
                      <w:sz w:val="21"/>
                      <w:szCs w:val="21"/>
                    </w:rPr>
                    <w:t>加强塔里木河流域水环境风险管控。加大博斯腾湖污染源头达标排放治理和监督力度，实施博斯腾湖综合治理</w:t>
                  </w:r>
                </w:p>
              </w:tc>
              <w:tc>
                <w:tcPr>
                  <w:tcW w:w="1189" w:type="pct"/>
                  <w:tcBorders>
                    <w:tl2br w:val="nil"/>
                    <w:tr2bl w:val="nil"/>
                  </w:tcBorders>
                  <w:noWrap w:val="0"/>
                  <w:vAlign w:val="center"/>
                </w:tcPr>
                <w:p w14:paraId="1A38D0C2">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snapToGrid w:val="0"/>
                      <w:color w:val="auto"/>
                      <w:kern w:val="0"/>
                      <w:sz w:val="21"/>
                      <w:szCs w:val="21"/>
                    </w:rPr>
                  </w:pPr>
                  <w:r>
                    <w:rPr>
                      <w:rFonts w:hint="eastAsia" w:ascii="宋体" w:hAnsi="宋体" w:cs="Times New Roman"/>
                      <w:snapToGrid w:val="0"/>
                      <w:color w:val="auto"/>
                      <w:kern w:val="0"/>
                      <w:sz w:val="21"/>
                      <w:szCs w:val="21"/>
                    </w:rPr>
                    <w:t>本项目不涉及</w:t>
                  </w:r>
                </w:p>
              </w:tc>
              <w:tc>
                <w:tcPr>
                  <w:tcW w:w="447" w:type="pct"/>
                  <w:tcBorders>
                    <w:tl2br w:val="nil"/>
                    <w:tr2bl w:val="nil"/>
                  </w:tcBorders>
                  <w:noWrap w:val="0"/>
                  <w:vAlign w:val="center"/>
                </w:tcPr>
                <w:p w14:paraId="3E5402A4">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Times New Roman"/>
                      <w:color w:val="auto"/>
                      <w:kern w:val="0"/>
                      <w:sz w:val="21"/>
                      <w:szCs w:val="21"/>
                      <w:lang w:val="en-US" w:eastAsia="zh-CN"/>
                    </w:rPr>
                  </w:pPr>
                  <w:r>
                    <w:rPr>
                      <w:rFonts w:hint="eastAsia" w:ascii="宋体" w:hAnsi="宋体" w:cs="Times New Roman"/>
                      <w:color w:val="auto"/>
                      <w:kern w:val="0"/>
                      <w:sz w:val="21"/>
                      <w:szCs w:val="21"/>
                      <w:lang w:val="en-US" w:eastAsia="zh-CN"/>
                    </w:rPr>
                    <w:t>/</w:t>
                  </w:r>
                </w:p>
              </w:tc>
            </w:tr>
            <w:tr w14:paraId="16BDB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19" w:type="dxa"/>
                  <w:vMerge w:val="continue"/>
                  <w:tcBorders>
                    <w:tl2br w:val="nil"/>
                    <w:tr2bl w:val="nil"/>
                  </w:tcBorders>
                  <w:noWrap w:val="0"/>
                  <w:vAlign w:val="center"/>
                </w:tcPr>
                <w:p w14:paraId="537483A8">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cs="Times New Roman"/>
                      <w:color w:val="auto"/>
                      <w:kern w:val="0"/>
                      <w:sz w:val="21"/>
                      <w:szCs w:val="21"/>
                    </w:rPr>
                  </w:pPr>
                </w:p>
              </w:tc>
              <w:tc>
                <w:tcPr>
                  <w:tcW w:w="2700" w:type="pct"/>
                  <w:tcBorders>
                    <w:tl2br w:val="nil"/>
                    <w:tr2bl w:val="nil"/>
                  </w:tcBorders>
                  <w:noWrap w:val="0"/>
                  <w:vAlign w:val="center"/>
                </w:tcPr>
                <w:p w14:paraId="2EDA5074">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snapToGrid w:val="0"/>
                      <w:color w:val="auto"/>
                      <w:kern w:val="0"/>
                      <w:sz w:val="21"/>
                      <w:szCs w:val="21"/>
                    </w:rPr>
                  </w:pPr>
                  <w:r>
                    <w:rPr>
                      <w:rFonts w:hint="eastAsia" w:ascii="宋体" w:hAnsi="宋体" w:cs="Times New Roman"/>
                      <w:snapToGrid w:val="0"/>
                      <w:color w:val="auto"/>
                      <w:kern w:val="0"/>
                      <w:sz w:val="21"/>
                      <w:szCs w:val="21"/>
                    </w:rPr>
                    <w:t>加强油</w:t>
                  </w:r>
                  <w:r>
                    <w:rPr>
                      <w:rFonts w:hint="eastAsia" w:ascii="宋体" w:hAnsi="宋体" w:cs="Times New Roman"/>
                      <w:snapToGrid w:val="0"/>
                      <w:color w:val="auto"/>
                      <w:kern w:val="0"/>
                      <w:sz w:val="21"/>
                      <w:szCs w:val="21"/>
                      <w:lang w:eastAsia="zh-CN"/>
                    </w:rPr>
                    <w:t>（</w:t>
                  </w:r>
                  <w:r>
                    <w:rPr>
                      <w:rFonts w:hint="eastAsia" w:ascii="宋体" w:hAnsi="宋体" w:cs="Times New Roman"/>
                      <w:snapToGrid w:val="0"/>
                      <w:color w:val="auto"/>
                      <w:kern w:val="0"/>
                      <w:sz w:val="21"/>
                      <w:szCs w:val="21"/>
                    </w:rPr>
                    <w:t>气</w:t>
                  </w:r>
                  <w:r>
                    <w:rPr>
                      <w:rFonts w:hint="eastAsia" w:ascii="宋体" w:hAnsi="宋体" w:cs="Times New Roman"/>
                      <w:snapToGrid w:val="0"/>
                      <w:color w:val="auto"/>
                      <w:kern w:val="0"/>
                      <w:sz w:val="21"/>
                      <w:szCs w:val="21"/>
                      <w:lang w:eastAsia="zh-CN"/>
                    </w:rPr>
                    <w:t>）</w:t>
                  </w:r>
                  <w:r>
                    <w:rPr>
                      <w:rFonts w:hint="eastAsia" w:ascii="宋体" w:hAnsi="宋体" w:cs="Times New Roman"/>
                      <w:snapToGrid w:val="0"/>
                      <w:color w:val="auto"/>
                      <w:kern w:val="0"/>
                      <w:sz w:val="21"/>
                      <w:szCs w:val="21"/>
                    </w:rPr>
                    <w:t>资源开发区土壤环境污染综合整治。强化涉重金属行业污染防控与工业废物处理处置</w:t>
                  </w:r>
                </w:p>
              </w:tc>
              <w:tc>
                <w:tcPr>
                  <w:tcW w:w="1189" w:type="pct"/>
                  <w:tcBorders>
                    <w:tl2br w:val="nil"/>
                    <w:tr2bl w:val="nil"/>
                  </w:tcBorders>
                  <w:noWrap w:val="0"/>
                  <w:vAlign w:val="center"/>
                </w:tcPr>
                <w:p w14:paraId="3A3A9E6D">
                  <w:pPr>
                    <w:keepNext w:val="0"/>
                    <w:keepLines w:val="0"/>
                    <w:suppressLineNumbers w:val="0"/>
                    <w:spacing w:before="0" w:beforeAutospacing="0" w:after="0" w:afterAutospacing="0" w:line="240" w:lineRule="auto"/>
                    <w:ind w:left="0" w:right="0" w:firstLine="0" w:firstLineChars="0"/>
                    <w:jc w:val="center"/>
                    <w:rPr>
                      <w:rFonts w:hint="default" w:ascii="宋体" w:hAnsi="宋体" w:cs="Times New Roman"/>
                      <w:snapToGrid w:val="0"/>
                      <w:color w:val="auto"/>
                      <w:kern w:val="0"/>
                      <w:sz w:val="21"/>
                      <w:szCs w:val="21"/>
                    </w:rPr>
                  </w:pPr>
                  <w:r>
                    <w:rPr>
                      <w:rFonts w:hint="eastAsia" w:ascii="宋体" w:hAnsi="宋体" w:cs="Times New Roman"/>
                      <w:snapToGrid w:val="0"/>
                      <w:color w:val="auto"/>
                      <w:kern w:val="0"/>
                      <w:sz w:val="21"/>
                      <w:szCs w:val="21"/>
                    </w:rPr>
                    <w:t>本项目不涉及油气开发，不涉及重金属排放</w:t>
                  </w:r>
                </w:p>
              </w:tc>
              <w:tc>
                <w:tcPr>
                  <w:tcW w:w="447" w:type="pct"/>
                  <w:tcBorders>
                    <w:tl2br w:val="nil"/>
                    <w:tr2bl w:val="nil"/>
                  </w:tcBorders>
                  <w:noWrap w:val="0"/>
                  <w:vAlign w:val="center"/>
                </w:tcPr>
                <w:p w14:paraId="5E45DED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Times New Roman"/>
                      <w:color w:val="auto"/>
                      <w:kern w:val="0"/>
                      <w:sz w:val="21"/>
                      <w:szCs w:val="21"/>
                      <w:lang w:val="en-US" w:eastAsia="zh-CN"/>
                    </w:rPr>
                  </w:pPr>
                  <w:r>
                    <w:rPr>
                      <w:rFonts w:hint="eastAsia" w:ascii="宋体" w:hAnsi="宋体" w:cs="Times New Roman"/>
                      <w:color w:val="auto"/>
                      <w:kern w:val="0"/>
                      <w:sz w:val="21"/>
                      <w:szCs w:val="21"/>
                      <w:lang w:val="en-US" w:eastAsia="zh-CN"/>
                    </w:rPr>
                    <w:t>/</w:t>
                  </w:r>
                </w:p>
              </w:tc>
            </w:tr>
          </w:tbl>
          <w:p w14:paraId="3A02530C">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2</w:t>
            </w:r>
            <w:r>
              <w:rPr>
                <w:rFonts w:hint="default"/>
                <w:color w:val="auto"/>
              </w:rPr>
              <w:t>.2</w:t>
            </w:r>
            <w:r>
              <w:rPr>
                <w:rFonts w:hint="eastAsia"/>
                <w:color w:val="auto"/>
              </w:rPr>
              <w:t>与巴州生态环境分区管控符合性分析</w:t>
            </w:r>
          </w:p>
          <w:p w14:paraId="76A4EB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lang w:val="en-US" w:eastAsia="zh-CN"/>
              </w:rPr>
            </w:pPr>
            <w:r>
              <w:rPr>
                <w:rFonts w:hint="default" w:ascii="Times New Roman" w:hAnsi="Times New Roman" w:cs="Times New Roman"/>
                <w:color w:val="auto"/>
              </w:rPr>
              <w:t>根据《</w:t>
            </w:r>
            <w:r>
              <w:rPr>
                <w:rFonts w:hint="eastAsia" w:ascii="Times New Roman" w:hAnsi="Times New Roman" w:cs="Times New Roman"/>
                <w:color w:val="auto"/>
              </w:rPr>
              <w:t>关于印发巴音郭楞蒙古自治州</w:t>
            </w:r>
            <w:r>
              <w:rPr>
                <w:rFonts w:hint="eastAsia" w:ascii="Times New Roman" w:hAnsi="Times New Roman" w:cs="Times New Roman"/>
                <w:color w:val="auto"/>
                <w:lang w:eastAsia="zh-CN"/>
              </w:rPr>
              <w:t>“</w:t>
            </w:r>
            <w:r>
              <w:rPr>
                <w:rFonts w:hint="eastAsia" w:ascii="Times New Roman" w:hAnsi="Times New Roman" w:cs="Times New Roman"/>
                <w:color w:val="auto"/>
              </w:rPr>
              <w:t>三线一单</w:t>
            </w:r>
            <w:r>
              <w:rPr>
                <w:rFonts w:hint="eastAsia" w:ascii="Times New Roman" w:hAnsi="Times New Roman" w:cs="Times New Roman"/>
                <w:color w:val="auto"/>
                <w:lang w:eastAsia="zh-CN"/>
              </w:rPr>
              <w:t>”</w:t>
            </w:r>
            <w:r>
              <w:rPr>
                <w:rFonts w:hint="eastAsia" w:ascii="Times New Roman" w:hAnsi="Times New Roman" w:cs="Times New Roman"/>
                <w:color w:val="auto"/>
              </w:rPr>
              <w:t>生态环境分区管控动态更新成果</w:t>
            </w:r>
            <w:r>
              <w:rPr>
                <w:rFonts w:hint="eastAsia" w:ascii="Times New Roman" w:hAnsi="Times New Roman" w:cs="Times New Roman"/>
                <w:color w:val="auto"/>
                <w:lang w:eastAsia="zh-CN"/>
              </w:rPr>
              <w:t>（</w:t>
            </w:r>
            <w:r>
              <w:rPr>
                <w:rFonts w:hint="eastAsia" w:ascii="Times New Roman" w:hAnsi="Times New Roman" w:cs="Times New Roman"/>
                <w:color w:val="auto"/>
              </w:rPr>
              <w:t>2023年</w:t>
            </w:r>
            <w:r>
              <w:rPr>
                <w:rFonts w:hint="eastAsia" w:ascii="Times New Roman" w:hAnsi="Times New Roman" w:cs="Times New Roman"/>
                <w:color w:val="auto"/>
                <w:lang w:eastAsia="zh-CN"/>
              </w:rPr>
              <w:t>）</w:t>
            </w:r>
            <w:r>
              <w:rPr>
                <w:rFonts w:hint="eastAsia" w:ascii="Times New Roman" w:hAnsi="Times New Roman" w:cs="Times New Roman"/>
                <w:color w:val="auto"/>
              </w:rPr>
              <w:t>的通知</w:t>
            </w:r>
            <w:r>
              <w:rPr>
                <w:rFonts w:hint="default" w:ascii="Times New Roman" w:hAnsi="Times New Roman" w:cs="Times New Roman"/>
                <w:bCs/>
                <w:color w:val="auto"/>
              </w:rPr>
              <w:t>》</w:t>
            </w:r>
            <w:r>
              <w:rPr>
                <w:rFonts w:hint="eastAsia" w:ascii="Times New Roman" w:hAnsi="Times New Roman" w:cs="Times New Roman"/>
                <w:color w:val="auto"/>
                <w:lang w:eastAsia="zh-CN"/>
              </w:rPr>
              <w:t>（</w:t>
            </w:r>
            <w:r>
              <w:rPr>
                <w:rFonts w:hint="eastAsia" w:ascii="Times New Roman" w:hAnsi="Times New Roman" w:cs="Times New Roman"/>
                <w:color w:val="auto"/>
              </w:rPr>
              <w:t>巴政办发</w:t>
            </w:r>
            <w:r>
              <w:rPr>
                <w:rFonts w:hint="eastAsia" w:ascii="宋体" w:hAnsi="宋体" w:eastAsia="宋体" w:cs="宋体"/>
                <w:color w:val="auto"/>
              </w:rPr>
              <w:t>〔</w:t>
            </w:r>
            <w:r>
              <w:rPr>
                <w:rFonts w:hint="default" w:ascii="Times New Roman" w:hAnsi="Times New Roman" w:cs="Times New Roman"/>
                <w:color w:val="auto"/>
              </w:rPr>
              <w:t>202</w:t>
            </w:r>
            <w:r>
              <w:rPr>
                <w:rFonts w:hint="eastAsia" w:ascii="Times New Roman" w:hAnsi="Times New Roman" w:cs="Times New Roman"/>
                <w:color w:val="auto"/>
                <w:lang w:val="en-US" w:eastAsia="zh-CN"/>
              </w:rPr>
              <w:t>4</w:t>
            </w:r>
            <w:r>
              <w:rPr>
                <w:rFonts w:hint="eastAsia" w:ascii="宋体" w:hAnsi="宋体" w:eastAsia="宋体" w:cs="宋体"/>
                <w:color w:val="auto"/>
                <w:lang w:val="en-US" w:eastAsia="zh-CN"/>
              </w:rPr>
              <w:t>〕</w:t>
            </w:r>
            <w:r>
              <w:rPr>
                <w:rFonts w:hint="default" w:ascii="Times New Roman" w:hAnsi="Times New Roman" w:cs="Times New Roman"/>
                <w:color w:val="auto"/>
              </w:rPr>
              <w:t>32号</w:t>
            </w:r>
            <w:r>
              <w:rPr>
                <w:rFonts w:hint="eastAsia" w:ascii="Times New Roman" w:hAnsi="Times New Roman" w:cs="Times New Roman"/>
                <w:color w:val="auto"/>
                <w:lang w:eastAsia="zh-CN"/>
              </w:rPr>
              <w:t>）</w:t>
            </w:r>
            <w:r>
              <w:rPr>
                <w:rFonts w:hint="eastAsia" w:ascii="Times New Roman" w:hAnsi="Times New Roman" w:cs="Times New Roman"/>
                <w:color w:val="auto"/>
              </w:rPr>
              <w:t>分析本项目与生态环境分区管控</w:t>
            </w:r>
            <w:r>
              <w:rPr>
                <w:rFonts w:hint="eastAsia" w:ascii="Times New Roman" w:hAnsi="Times New Roman" w:cs="Times New Roman"/>
                <w:bCs/>
                <w:color w:val="auto"/>
              </w:rPr>
              <w:t>符合性分析见表</w:t>
            </w:r>
            <w:r>
              <w:rPr>
                <w:rFonts w:hint="eastAsia" w:ascii="Times New Roman" w:hAnsi="Times New Roman" w:cs="Times New Roman"/>
                <w:bCs/>
                <w:color w:val="auto"/>
                <w:lang w:val="en-US" w:eastAsia="zh-CN"/>
              </w:rPr>
              <w:t>1-3</w:t>
            </w:r>
            <w:r>
              <w:rPr>
                <w:rFonts w:hint="eastAsia" w:ascii="Times New Roman" w:hAnsi="Times New Roman" w:cs="Times New Roman"/>
                <w:bCs/>
                <w:color w:val="auto"/>
              </w:rPr>
              <w:t>。</w:t>
            </w:r>
          </w:p>
          <w:p w14:paraId="0E21BCED">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500" w:lineRule="exact"/>
              <w:ind w:left="0" w:right="0" w:firstLine="422" w:firstLineChars="200"/>
              <w:jc w:val="center"/>
              <w:textAlignment w:val="baseline"/>
              <w:outlineLvl w:val="9"/>
              <w:rPr>
                <w:rFonts w:hint="default" w:cs="Times New Roman"/>
                <w:color w:val="auto"/>
              </w:rPr>
            </w:pPr>
            <w:r>
              <w:rPr>
                <w:rFonts w:hint="default" w:cs="Times New Roman"/>
                <w:color w:val="auto"/>
              </w:rPr>
              <w:t>表</w:t>
            </w:r>
            <w:r>
              <w:rPr>
                <w:rFonts w:hint="eastAsia" w:cs="Times New Roman"/>
                <w:color w:val="auto"/>
                <w:lang w:val="en-US" w:eastAsia="zh-CN"/>
              </w:rPr>
              <w:t>1-3</w:t>
            </w:r>
            <w:r>
              <w:rPr>
                <w:rFonts w:hint="default" w:cs="Times New Roman"/>
                <w:color w:val="auto"/>
              </w:rPr>
              <w:t xml:space="preserve">   </w:t>
            </w:r>
            <w:r>
              <w:rPr>
                <w:rFonts w:hint="eastAsia" w:cs="Times New Roman"/>
                <w:color w:val="auto"/>
              </w:rPr>
              <w:t>巴州生态环境分区管控</w:t>
            </w:r>
            <w:r>
              <w:rPr>
                <w:rFonts w:hint="default" w:cs="Times New Roman"/>
                <w:color w:val="auto"/>
              </w:rPr>
              <w:t>符合性分析一览表</w:t>
            </w:r>
          </w:p>
          <w:tbl>
            <w:tblPr>
              <w:tblStyle w:val="28"/>
              <w:tblW w:w="85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
              <w:gridCol w:w="561"/>
              <w:gridCol w:w="822"/>
              <w:gridCol w:w="2"/>
              <w:gridCol w:w="2"/>
              <w:gridCol w:w="3743"/>
              <w:gridCol w:w="2"/>
              <w:gridCol w:w="4"/>
              <w:gridCol w:w="2755"/>
              <w:gridCol w:w="2"/>
              <w:gridCol w:w="4"/>
              <w:gridCol w:w="603"/>
              <w:gridCol w:w="3"/>
              <w:gridCol w:w="27"/>
            </w:tblGrid>
            <w:tr w14:paraId="461D2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gridSpan w:val="5"/>
                  <w:tcBorders>
                    <w:tl2br w:val="nil"/>
                    <w:tr2bl w:val="nil"/>
                  </w:tcBorders>
                  <w:noWrap w:val="0"/>
                  <w:vAlign w:val="center"/>
                </w:tcPr>
                <w:p w14:paraId="3CA22660">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名称</w:t>
                  </w:r>
                </w:p>
              </w:tc>
              <w:tc>
                <w:tcPr>
                  <w:tcW w:w="2196" w:type="pct"/>
                  <w:gridSpan w:val="3"/>
                  <w:tcBorders>
                    <w:tl2br w:val="nil"/>
                    <w:tr2bl w:val="nil"/>
                  </w:tcBorders>
                  <w:noWrap w:val="0"/>
                  <w:vAlign w:val="center"/>
                </w:tcPr>
                <w:p w14:paraId="185E4887">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总体管控要求</w:t>
                  </w:r>
                </w:p>
              </w:tc>
              <w:tc>
                <w:tcPr>
                  <w:tcW w:w="1617" w:type="pct"/>
                  <w:gridSpan w:val="3"/>
                  <w:tcBorders>
                    <w:tl2br w:val="nil"/>
                    <w:tr2bl w:val="nil"/>
                  </w:tcBorders>
                  <w:noWrap w:val="0"/>
                  <w:vAlign w:val="center"/>
                </w:tcPr>
                <w:p w14:paraId="62ADC5FA">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符合性分析</w:t>
                  </w:r>
                </w:p>
              </w:tc>
              <w:tc>
                <w:tcPr>
                  <w:tcW w:w="370" w:type="pct"/>
                  <w:gridSpan w:val="3"/>
                  <w:tcBorders>
                    <w:tl2br w:val="nil"/>
                    <w:tr2bl w:val="nil"/>
                  </w:tcBorders>
                  <w:noWrap w:val="0"/>
                  <w:vAlign w:val="center"/>
                </w:tcPr>
                <w:p w14:paraId="7D331ECC">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符合性</w:t>
                  </w:r>
                </w:p>
              </w:tc>
            </w:tr>
            <w:tr w14:paraId="57F653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gridSpan w:val="5"/>
                  <w:tcBorders>
                    <w:tl2br w:val="nil"/>
                    <w:tr2bl w:val="nil"/>
                  </w:tcBorders>
                  <w:noWrap w:val="0"/>
                  <w:vAlign w:val="center"/>
                </w:tcPr>
                <w:p w14:paraId="534BB54E">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生态保护红线</w:t>
                  </w:r>
                </w:p>
              </w:tc>
              <w:tc>
                <w:tcPr>
                  <w:tcW w:w="2196" w:type="pct"/>
                  <w:gridSpan w:val="3"/>
                  <w:tcBorders>
                    <w:tl2br w:val="nil"/>
                    <w:tr2bl w:val="nil"/>
                  </w:tcBorders>
                  <w:noWrap w:val="0"/>
                  <w:vAlign w:val="center"/>
                </w:tcPr>
                <w:p w14:paraId="0EEFFDCB">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按照</w:t>
                  </w:r>
                  <w:r>
                    <w:rPr>
                      <w:rFonts w:hint="eastAsia" w:ascii="Times New Roman" w:hAnsi="Times New Roman" w:cs="Times New Roman"/>
                      <w:color w:val="auto"/>
                      <w:lang w:eastAsia="zh-CN"/>
                    </w:rPr>
                    <w:t>“</w:t>
                  </w:r>
                  <w:r>
                    <w:rPr>
                      <w:rFonts w:hint="eastAsia" w:ascii="Times New Roman" w:hAnsi="Times New Roman" w:cs="Times New Roman"/>
                      <w:color w:val="auto"/>
                    </w:rPr>
                    <w:t>生态功能不降低、面积不减少性质不改变</w:t>
                  </w:r>
                  <w:r>
                    <w:rPr>
                      <w:rFonts w:hint="eastAsia" w:ascii="Times New Roman" w:hAnsi="Times New Roman" w:cs="Times New Roman"/>
                      <w:color w:val="auto"/>
                      <w:lang w:eastAsia="zh-CN"/>
                    </w:rPr>
                    <w:t>”</w:t>
                  </w:r>
                  <w:r>
                    <w:rPr>
                      <w:rFonts w:hint="eastAsia" w:ascii="Times New Roman" w:hAnsi="Times New Roman" w:cs="Times New Roman"/>
                      <w:color w:val="auto"/>
                    </w:rPr>
                    <w:t>的基本要求，对划定的生态保护红线实施严格管控保障和维护国家生态安全的底线和生命线。</w:t>
                  </w:r>
                </w:p>
              </w:tc>
              <w:tc>
                <w:tcPr>
                  <w:tcW w:w="1617" w:type="pct"/>
                  <w:gridSpan w:val="3"/>
                  <w:tcBorders>
                    <w:tl2br w:val="nil"/>
                    <w:tr2bl w:val="nil"/>
                  </w:tcBorders>
                  <w:noWrap w:val="0"/>
                  <w:vAlign w:val="center"/>
                </w:tcPr>
                <w:p w14:paraId="14789646">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本项目选址位于</w:t>
                  </w:r>
                  <w:r>
                    <w:rPr>
                      <w:rFonts w:hint="eastAsia" w:ascii="Times New Roman" w:hAnsi="Times New Roman" w:cs="Times New Roman"/>
                      <w:color w:val="auto"/>
                      <w:sz w:val="21"/>
                      <w:szCs w:val="21"/>
                    </w:rPr>
                    <w:t>新疆维吾尔自治区巴音郭楞蒙古自治州和静县克尔古提乡</w:t>
                  </w:r>
                  <w:r>
                    <w:rPr>
                      <w:rFonts w:hint="eastAsia" w:cs="Times New Roman"/>
                      <w:color w:val="auto"/>
                      <w:sz w:val="21"/>
                      <w:szCs w:val="21"/>
                      <w:lang w:eastAsia="zh-CN"/>
                    </w:rPr>
                    <w:t>，</w:t>
                  </w:r>
                  <w:r>
                    <w:rPr>
                      <w:rFonts w:hint="eastAsia" w:ascii="Times New Roman" w:hAnsi="Times New Roman" w:cs="Times New Roman"/>
                      <w:color w:val="auto"/>
                      <w:sz w:val="21"/>
                      <w:szCs w:val="21"/>
                    </w:rPr>
                    <w:t>距离和静县城直线距离约</w:t>
                  </w:r>
                  <w:r>
                    <w:rPr>
                      <w:rFonts w:hint="eastAsia" w:cs="Times New Roman"/>
                      <w:color w:val="auto"/>
                      <w:sz w:val="21"/>
                      <w:szCs w:val="21"/>
                      <w:lang w:val="en-US" w:eastAsia="zh-CN"/>
                    </w:rPr>
                    <w:t>30</w:t>
                  </w:r>
                  <w:r>
                    <w:rPr>
                      <w:rFonts w:hint="eastAsia" w:ascii="Times New Roman" w:hAnsi="Times New Roman" w:cs="Times New Roman"/>
                      <w:color w:val="auto"/>
                      <w:sz w:val="21"/>
                      <w:szCs w:val="21"/>
                    </w:rPr>
                    <w:t>km</w:t>
                  </w:r>
                  <w:r>
                    <w:rPr>
                      <w:rFonts w:hint="default" w:ascii="Times New Roman" w:hAnsi="Times New Roman" w:cs="Times New Roman"/>
                      <w:color w:val="auto"/>
                    </w:rPr>
                    <w:t>。</w:t>
                  </w:r>
                  <w:r>
                    <w:rPr>
                      <w:rFonts w:hint="eastAsia" w:ascii="Times New Roman" w:hAnsi="Times New Roman" w:cs="Times New Roman"/>
                      <w:color w:val="auto"/>
                      <w:lang w:val="en-US" w:eastAsia="zh-CN"/>
                    </w:rPr>
                    <w:t>位于</w:t>
                  </w:r>
                  <w:r>
                    <w:rPr>
                      <w:rFonts w:hint="eastAsia" w:ascii="Times New Roman" w:hAnsi="Times New Roman" w:cs="Times New Roman"/>
                      <w:color w:val="auto"/>
                    </w:rPr>
                    <w:t>和静县一般管控单元</w:t>
                  </w:r>
                  <w:r>
                    <w:rPr>
                      <w:rFonts w:hint="eastAsia" w:ascii="Times New Roman" w:hAnsi="Times New Roman" w:cs="Times New Roman"/>
                      <w:color w:val="auto"/>
                      <w:lang w:eastAsia="zh-CN"/>
                    </w:rPr>
                    <w:t>（</w:t>
                  </w:r>
                  <w:r>
                    <w:rPr>
                      <w:rFonts w:hint="eastAsia" w:ascii="Times New Roman" w:hAnsi="Times New Roman" w:cs="Times New Roman"/>
                      <w:color w:val="auto"/>
                    </w:rPr>
                    <w:t>ZH65282730001</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和和静县大气弱扩散区（ZH65282720002）</w:t>
                  </w:r>
                  <w:r>
                    <w:rPr>
                      <w:rFonts w:hint="default" w:ascii="Times New Roman" w:hAnsi="Times New Roman" w:cs="Times New Roman"/>
                      <w:color w:val="auto"/>
                    </w:rPr>
                    <w:t>，项目不涉及生态保护红线区域，不会影响所在区域内生态服务功能。</w:t>
                  </w:r>
                </w:p>
              </w:tc>
              <w:tc>
                <w:tcPr>
                  <w:tcW w:w="370" w:type="pct"/>
                  <w:gridSpan w:val="3"/>
                  <w:tcBorders>
                    <w:tl2br w:val="nil"/>
                    <w:tr2bl w:val="nil"/>
                  </w:tcBorders>
                  <w:noWrap w:val="0"/>
                  <w:vAlign w:val="center"/>
                </w:tcPr>
                <w:p w14:paraId="23E7BA2C">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符合</w:t>
                  </w:r>
                </w:p>
              </w:tc>
            </w:tr>
            <w:tr w14:paraId="213E9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14" w:type="pct"/>
                  <w:gridSpan w:val="5"/>
                  <w:tcBorders>
                    <w:tl2br w:val="nil"/>
                    <w:tr2bl w:val="nil"/>
                  </w:tcBorders>
                  <w:noWrap w:val="0"/>
                  <w:vAlign w:val="center"/>
                </w:tcPr>
                <w:p w14:paraId="24D8C67D">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环境质量底线</w:t>
                  </w:r>
                </w:p>
              </w:tc>
              <w:tc>
                <w:tcPr>
                  <w:tcW w:w="2196" w:type="pct"/>
                  <w:gridSpan w:val="3"/>
                  <w:tcBorders>
                    <w:tl2br w:val="nil"/>
                    <w:tr2bl w:val="nil"/>
                  </w:tcBorders>
                  <w:noWrap w:val="0"/>
                  <w:vAlign w:val="center"/>
                </w:tcPr>
                <w:p w14:paraId="1CED2039">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全州水环境质量持续改善，开都河、塔里</w:t>
                  </w:r>
                  <w:r>
                    <w:rPr>
                      <w:rFonts w:hint="eastAsia" w:ascii="Times New Roman" w:hAnsi="Times New Roman" w:cs="Times New Roman"/>
                      <w:color w:val="auto"/>
                      <w:lang w:val="en-US" w:eastAsia="zh-CN"/>
                    </w:rPr>
                    <w:t>木</w:t>
                  </w:r>
                  <w:r>
                    <w:rPr>
                      <w:rFonts w:hint="eastAsia" w:ascii="Times New Roman" w:hAnsi="Times New Roman" w:cs="Times New Roman"/>
                      <w:color w:val="auto"/>
                    </w:rPr>
                    <w:t>河、迪那河、车尔臣河、黄水沟5条河流13个监测断面稳定达到II类水</w:t>
                  </w:r>
                  <w:r>
                    <w:rPr>
                      <w:rFonts w:hint="eastAsia" w:ascii="Times New Roman" w:hAnsi="Times New Roman" w:cs="Times New Roman"/>
                      <w:color w:val="auto"/>
                      <w:lang w:eastAsia="zh-CN"/>
                    </w:rPr>
                    <w:t>（</w:t>
                  </w:r>
                  <w:r>
                    <w:rPr>
                      <w:rFonts w:hint="eastAsia" w:ascii="Times New Roman" w:hAnsi="Times New Roman" w:cs="Times New Roman"/>
                      <w:color w:val="auto"/>
                    </w:rPr>
                    <w:t>塔里木河氟化物不参与考核，其他指标均为</w:t>
                  </w:r>
                  <w:r>
                    <w:rPr>
                      <w:rFonts w:hint="eastAsia" w:ascii="Times New Roman" w:hAnsi="Times New Roman" w:cs="Times New Roman"/>
                      <w:color w:val="auto"/>
                      <w:lang w:eastAsia="zh-CN"/>
                    </w:rPr>
                    <w:t>Ⅱ类）</w:t>
                  </w:r>
                  <w:r>
                    <w:rPr>
                      <w:rFonts w:hint="eastAsia" w:ascii="Times New Roman" w:hAnsi="Times New Roman" w:cs="Times New Roman"/>
                      <w:color w:val="auto"/>
                    </w:rPr>
                    <w:t>，孔雀河4个监测断面达到</w:t>
                  </w:r>
                  <w:r>
                    <w:rPr>
                      <w:rFonts w:hint="eastAsia" w:ascii="Times New Roman" w:hAnsi="Times New Roman" w:cs="Times New Roman"/>
                      <w:color w:val="auto"/>
                      <w:lang w:eastAsia="zh-CN"/>
                    </w:rPr>
                    <w:t>Ⅲ</w:t>
                  </w:r>
                  <w:r>
                    <w:rPr>
                      <w:rFonts w:hint="eastAsia" w:ascii="Times New Roman" w:hAnsi="Times New Roman" w:cs="Times New Roman"/>
                      <w:color w:val="auto"/>
                    </w:rPr>
                    <w:t>类水，博斯腾湖17个重点点位中1、7、14监测点均值</w:t>
                  </w:r>
                  <w:r>
                    <w:rPr>
                      <w:rFonts w:hint="eastAsia" w:ascii="Times New Roman" w:hAnsi="Times New Roman" w:cs="Times New Roman"/>
                      <w:color w:val="auto"/>
                      <w:lang w:eastAsia="zh-CN"/>
                    </w:rPr>
                    <w:t>Ⅲ</w:t>
                  </w:r>
                  <w:r>
                    <w:rPr>
                      <w:rFonts w:hint="eastAsia" w:ascii="Times New Roman" w:hAnsi="Times New Roman" w:cs="Times New Roman"/>
                      <w:color w:val="auto"/>
                    </w:rPr>
                    <w:t>类，其余监测点均值Ⅳ类；受污染地表水体得到有效治理，饮用水安全保障水平持续提升，地下水超采得到严格控制，地下水水质保持稳定。全州环境空气质量有所提升，SO</w:t>
                  </w:r>
                  <w:r>
                    <w:rPr>
                      <w:rFonts w:hint="eastAsia" w:ascii="Times New Roman" w:hAnsi="Times New Roman" w:cs="Times New Roman"/>
                      <w:color w:val="auto"/>
                      <w:vertAlign w:val="subscript"/>
                    </w:rPr>
                    <w:t>2</w:t>
                  </w:r>
                  <w:r>
                    <w:rPr>
                      <w:rFonts w:hint="eastAsia" w:ascii="Times New Roman" w:hAnsi="Times New Roman" w:cs="Times New Roman"/>
                      <w:color w:val="auto"/>
                    </w:rPr>
                    <w:t>、NO</w:t>
                  </w:r>
                  <w:r>
                    <w:rPr>
                      <w:rFonts w:hint="eastAsia" w:ascii="Times New Roman" w:hAnsi="Times New Roman" w:cs="Times New Roman"/>
                      <w:color w:val="auto"/>
                      <w:vertAlign w:val="subscript"/>
                    </w:rPr>
                    <w:t>2</w:t>
                  </w:r>
                  <w:r>
                    <w:rPr>
                      <w:rFonts w:hint="eastAsia" w:ascii="Times New Roman" w:hAnsi="Times New Roman" w:cs="Times New Roman"/>
                      <w:color w:val="auto"/>
                    </w:rPr>
                    <w:t>浓度长期维持在较低水平，达到环境空气质量一级标准；逐步减少颗粒物排放，PM</w:t>
                  </w:r>
                  <w:r>
                    <w:rPr>
                      <w:rFonts w:hint="eastAsia" w:ascii="Times New Roman" w:hAnsi="Times New Roman" w:cs="Times New Roman"/>
                      <w:color w:val="auto"/>
                      <w:vertAlign w:val="subscript"/>
                    </w:rPr>
                    <w:t>10</w:t>
                  </w:r>
                  <w:r>
                    <w:rPr>
                      <w:rFonts w:hint="eastAsia" w:ascii="Times New Roman" w:hAnsi="Times New Roman" w:cs="Times New Roman"/>
                      <w:color w:val="auto"/>
                    </w:rPr>
                    <w:t>、PM</w:t>
                  </w:r>
                  <w:r>
                    <w:rPr>
                      <w:rFonts w:hint="eastAsia" w:ascii="Times New Roman" w:hAnsi="Times New Roman" w:cs="Times New Roman"/>
                      <w:color w:val="auto"/>
                      <w:vertAlign w:val="subscript"/>
                    </w:rPr>
                    <w:t>2.5</w:t>
                  </w:r>
                  <w:r>
                    <w:rPr>
                      <w:rFonts w:hint="eastAsia" w:ascii="Times New Roman" w:hAnsi="Times New Roman" w:cs="Times New Roman"/>
                      <w:color w:val="auto"/>
                    </w:rPr>
                    <w:t>平均浓度分别低于81</w:t>
                  </w:r>
                  <w:r>
                    <w:rPr>
                      <w:rFonts w:hint="default" w:ascii="Times New Roman" w:hAnsi="Times New Roman" w:cs="Times New Roman"/>
                      <w:color w:val="auto"/>
                    </w:rPr>
                    <w:t>μ</w:t>
                  </w:r>
                  <w:r>
                    <w:rPr>
                      <w:rFonts w:hint="eastAsia" w:ascii="Times New Roman" w:hAnsi="Times New Roman" w:cs="Times New Roman"/>
                      <w:color w:val="auto"/>
                    </w:rPr>
                    <w:t>g/m</w:t>
                  </w:r>
                  <w:r>
                    <w:rPr>
                      <w:rFonts w:hint="eastAsia" w:ascii="Times New Roman" w:hAnsi="Times New Roman" w:cs="Times New Roman"/>
                      <w:color w:val="auto"/>
                      <w:vertAlign w:val="superscript"/>
                    </w:rPr>
                    <w:t>3</w:t>
                  </w:r>
                  <w:r>
                    <w:rPr>
                      <w:rFonts w:hint="eastAsia" w:ascii="Times New Roman" w:hAnsi="Times New Roman" w:cs="Times New Roman"/>
                      <w:color w:val="auto"/>
                    </w:rPr>
                    <w:t>、31.5</w:t>
                  </w:r>
                  <w:r>
                    <w:rPr>
                      <w:rFonts w:hint="default" w:ascii="Times New Roman" w:hAnsi="Times New Roman" w:cs="Times New Roman"/>
                      <w:color w:val="auto"/>
                    </w:rPr>
                    <w:t>μ</w:t>
                  </w:r>
                  <w:r>
                    <w:rPr>
                      <w:rFonts w:hint="eastAsia" w:ascii="Times New Roman" w:hAnsi="Times New Roman" w:cs="Times New Roman"/>
                      <w:color w:val="auto"/>
                    </w:rPr>
                    <w:t>g/m</w:t>
                  </w:r>
                  <w:r>
                    <w:rPr>
                      <w:rFonts w:hint="eastAsia" w:ascii="Times New Roman" w:hAnsi="Times New Roman" w:cs="Times New Roman"/>
                      <w:color w:val="auto"/>
                      <w:vertAlign w:val="superscript"/>
                    </w:rPr>
                    <w:t>3</w:t>
                  </w:r>
                  <w:r>
                    <w:rPr>
                      <w:rFonts w:hint="eastAsia" w:ascii="Times New Roman" w:hAnsi="Times New Roman" w:cs="Times New Roman"/>
                      <w:color w:val="auto"/>
                      <w:lang w:eastAsia="zh-CN"/>
                    </w:rPr>
                    <w:t>（</w:t>
                  </w:r>
                  <w:r>
                    <w:rPr>
                      <w:rFonts w:hint="eastAsia" w:ascii="Times New Roman" w:hAnsi="Times New Roman" w:cs="Times New Roman"/>
                      <w:color w:val="auto"/>
                    </w:rPr>
                    <w:t>库尔勒市，扣除沙尘天气影响</w:t>
                  </w:r>
                  <w:r>
                    <w:rPr>
                      <w:rFonts w:hint="eastAsia" w:ascii="Times New Roman" w:hAnsi="Times New Roman" w:cs="Times New Roman"/>
                      <w:color w:val="auto"/>
                      <w:lang w:eastAsia="zh-CN"/>
                    </w:rPr>
                    <w:t>）</w:t>
                  </w:r>
                  <w:r>
                    <w:rPr>
                      <w:rFonts w:hint="eastAsia" w:ascii="Times New Roman" w:hAnsi="Times New Roman" w:cs="Times New Roman"/>
                      <w:color w:val="auto"/>
                    </w:rPr>
                    <w:t>，空气优良天数比例大于75.2%</w:t>
                  </w:r>
                  <w:r>
                    <w:rPr>
                      <w:rFonts w:hint="eastAsia" w:ascii="Times New Roman" w:hAnsi="Times New Roman" w:cs="Times New Roman"/>
                      <w:color w:val="auto"/>
                      <w:lang w:eastAsia="zh-CN"/>
                    </w:rPr>
                    <w:t>（</w:t>
                  </w:r>
                  <w:r>
                    <w:rPr>
                      <w:rFonts w:hint="eastAsia" w:ascii="Times New Roman" w:hAnsi="Times New Roman" w:cs="Times New Roman"/>
                      <w:color w:val="auto"/>
                    </w:rPr>
                    <w:t>库尔勒市</w:t>
                  </w:r>
                  <w:r>
                    <w:rPr>
                      <w:rFonts w:hint="eastAsia" w:ascii="Times New Roman" w:hAnsi="Times New Roman" w:cs="Times New Roman"/>
                      <w:color w:val="auto"/>
                      <w:lang w:eastAsia="zh-CN"/>
                    </w:rPr>
                    <w:t>）</w:t>
                  </w:r>
                  <w:r>
                    <w:rPr>
                      <w:rFonts w:hint="eastAsia" w:ascii="Times New Roman" w:hAnsi="Times New Roman" w:cs="Times New Roman"/>
                      <w:color w:val="auto"/>
                    </w:rPr>
                    <w:t>，重污染天数持续减少，沙尘影响严重地区做好防风固沙、生态环境保护修复等工作；全州土壤环境质量保持稳定，受污染耕地安全利用率达到98%以上，污染地块安全利用率不低于93%，土壤环境风险得到进一步管控。</w:t>
                  </w:r>
                </w:p>
              </w:tc>
              <w:tc>
                <w:tcPr>
                  <w:tcW w:w="1617" w:type="pct"/>
                  <w:gridSpan w:val="3"/>
                  <w:tcBorders>
                    <w:tl2br w:val="nil"/>
                    <w:tr2bl w:val="nil"/>
                  </w:tcBorders>
                  <w:noWrap w:val="0"/>
                  <w:vAlign w:val="center"/>
                </w:tcPr>
                <w:p w14:paraId="2F0F63EB">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项目区属于环境空气质量不达标区，地表水、声环境质量良好；对于环境空气质量不达标区域需提交《大气环境不达标区域削减方案》，根据生态环境部办公厅出具的《关于将巴音郭楞蒙古自治州 吐鲁番市 哈密市纳入</w:t>
                  </w:r>
                  <w:r>
                    <w:rPr>
                      <w:rFonts w:hint="eastAsia" w:ascii="Times New Roman" w:hAnsi="Times New Roman" w:cs="Times New Roman"/>
                      <w:color w:val="auto"/>
                      <w:lang w:eastAsia="zh-CN"/>
                    </w:rPr>
                    <w:t>〈</w:t>
                  </w:r>
                  <w:r>
                    <w:rPr>
                      <w:rFonts w:hint="default" w:ascii="Times New Roman" w:hAnsi="Times New Roman" w:cs="Times New Roman"/>
                      <w:color w:val="auto"/>
                    </w:rPr>
                    <w:t>环境影响评价技术导则大气环境</w:t>
                  </w:r>
                  <w:r>
                    <w:rPr>
                      <w:rFonts w:hint="eastAsia" w:ascii="Times New Roman" w:hAnsi="Times New Roman" w:cs="Times New Roman"/>
                      <w:color w:val="auto"/>
                      <w:lang w:eastAsia="zh-CN"/>
                    </w:rPr>
                    <w:t>（</w:t>
                  </w:r>
                  <w:r>
                    <w:rPr>
                      <w:rFonts w:hint="default" w:ascii="Times New Roman" w:hAnsi="Times New Roman" w:cs="Times New Roman"/>
                      <w:color w:val="auto"/>
                    </w:rPr>
                    <w:t>HJ2.2-2018</w:t>
                  </w:r>
                  <w:r>
                    <w:rPr>
                      <w:rFonts w:hint="eastAsia" w:ascii="Times New Roman" w:hAnsi="Times New Roman" w:cs="Times New Roman"/>
                      <w:color w:val="auto"/>
                      <w:lang w:eastAsia="zh-CN"/>
                    </w:rPr>
                    <w:t>）〉</w:t>
                  </w:r>
                  <w:r>
                    <w:rPr>
                      <w:rFonts w:hint="default" w:ascii="Times New Roman" w:hAnsi="Times New Roman" w:cs="Times New Roman"/>
                      <w:color w:val="auto"/>
                    </w:rPr>
                    <w:t>差别化政策范围的复函》</w:t>
                  </w:r>
                  <w:r>
                    <w:rPr>
                      <w:rFonts w:hint="eastAsia" w:ascii="Times New Roman" w:hAnsi="Times New Roman" w:cs="Times New Roman"/>
                      <w:color w:val="auto"/>
                      <w:lang w:eastAsia="zh-CN"/>
                    </w:rPr>
                    <w:t>（</w:t>
                  </w:r>
                  <w:r>
                    <w:rPr>
                      <w:rFonts w:hint="default" w:ascii="Times New Roman" w:hAnsi="Times New Roman" w:cs="Times New Roman"/>
                      <w:color w:val="auto"/>
                    </w:rPr>
                    <w:t>环办环评函</w:t>
                  </w:r>
                  <w:r>
                    <w:rPr>
                      <w:rFonts w:hint="eastAsia" w:ascii="宋体" w:hAnsi="宋体" w:eastAsia="宋体" w:cs="宋体"/>
                      <w:color w:val="auto"/>
                    </w:rPr>
                    <w:t>〔</w:t>
                  </w:r>
                  <w:r>
                    <w:rPr>
                      <w:rFonts w:hint="default" w:ascii="Times New Roman" w:hAnsi="Times New Roman" w:cs="Times New Roman"/>
                      <w:color w:val="auto"/>
                    </w:rPr>
                    <w:t>2020</w:t>
                  </w:r>
                  <w:r>
                    <w:rPr>
                      <w:rFonts w:hint="eastAsia" w:ascii="宋体" w:hAnsi="宋体" w:eastAsia="宋体" w:cs="宋体"/>
                      <w:color w:val="auto"/>
                    </w:rPr>
                    <w:t>〕</w:t>
                  </w:r>
                  <w:r>
                    <w:rPr>
                      <w:rFonts w:hint="default" w:ascii="Times New Roman" w:hAnsi="Times New Roman" w:cs="Times New Roman"/>
                      <w:color w:val="auto"/>
                    </w:rPr>
                    <w:t>341号</w:t>
                  </w:r>
                  <w:r>
                    <w:rPr>
                      <w:rFonts w:hint="eastAsia" w:ascii="Times New Roman" w:hAnsi="Times New Roman" w:cs="Times New Roman"/>
                      <w:color w:val="auto"/>
                      <w:lang w:eastAsia="zh-CN"/>
                    </w:rPr>
                    <w:t>）</w:t>
                  </w:r>
                  <w:r>
                    <w:rPr>
                      <w:rFonts w:hint="default" w:ascii="Times New Roman" w:hAnsi="Times New Roman" w:cs="Times New Roman"/>
                      <w:color w:val="auto"/>
                    </w:rPr>
                    <w:t>，同意对巴音郭楞蒙古自治州实施环境影响评价差别化政策，新建项目可不提供颗粒物区域削减方案。</w:t>
                  </w:r>
                </w:p>
              </w:tc>
              <w:tc>
                <w:tcPr>
                  <w:tcW w:w="370" w:type="pct"/>
                  <w:gridSpan w:val="3"/>
                  <w:tcBorders>
                    <w:tl2br w:val="nil"/>
                    <w:tr2bl w:val="nil"/>
                  </w:tcBorders>
                  <w:noWrap w:val="0"/>
                  <w:vAlign w:val="center"/>
                </w:tcPr>
                <w:p w14:paraId="2E0D0F4F">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符合</w:t>
                  </w:r>
                </w:p>
              </w:tc>
            </w:tr>
            <w:tr w14:paraId="5BDA8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4" w:hRule="atLeast"/>
                <w:jc w:val="center"/>
              </w:trPr>
              <w:tc>
                <w:tcPr>
                  <w:tcW w:w="814" w:type="pct"/>
                  <w:gridSpan w:val="5"/>
                  <w:tcBorders>
                    <w:tl2br w:val="nil"/>
                    <w:tr2bl w:val="nil"/>
                  </w:tcBorders>
                  <w:noWrap w:val="0"/>
                  <w:vAlign w:val="center"/>
                </w:tcPr>
                <w:p w14:paraId="213ECFDA">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资源利用上线</w:t>
                  </w:r>
                </w:p>
              </w:tc>
              <w:tc>
                <w:tcPr>
                  <w:tcW w:w="2196" w:type="pct"/>
                  <w:gridSpan w:val="3"/>
                  <w:tcBorders>
                    <w:tl2br w:val="nil"/>
                    <w:tr2bl w:val="nil"/>
                  </w:tcBorders>
                  <w:noWrap w:val="0"/>
                  <w:vAlign w:val="center"/>
                </w:tcPr>
                <w:p w14:paraId="47A885CB">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强化节约集约利用，持续提升资源能源利用效率，水资源、土地资源、能源消耗等达到国家、自治区下达的总量和强度控制目标。加快低碳发展，提升碳汇能力，做好</w:t>
                  </w:r>
                  <w:r>
                    <w:rPr>
                      <w:rFonts w:hint="eastAsia" w:cs="Times New Roman"/>
                      <w:color w:val="auto"/>
                      <w:lang w:eastAsia="zh-CN"/>
                    </w:rPr>
                    <w:t>碳达峰碳中和</w:t>
                  </w:r>
                  <w:r>
                    <w:rPr>
                      <w:rFonts w:hint="eastAsia" w:ascii="Times New Roman" w:hAnsi="Times New Roman" w:cs="Times New Roman"/>
                      <w:color w:val="auto"/>
                    </w:rPr>
                    <w:t>工作。</w:t>
                  </w:r>
                </w:p>
              </w:tc>
              <w:tc>
                <w:tcPr>
                  <w:tcW w:w="1617" w:type="pct"/>
                  <w:gridSpan w:val="3"/>
                  <w:tcBorders>
                    <w:tl2br w:val="nil"/>
                    <w:tr2bl w:val="nil"/>
                  </w:tcBorders>
                  <w:noWrap w:val="0"/>
                  <w:vAlign w:val="center"/>
                </w:tcPr>
                <w:p w14:paraId="36434F10">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本项目为固体矿产地质</w:t>
                  </w:r>
                  <w:r>
                    <w:rPr>
                      <w:rFonts w:hint="eastAsia"/>
                      <w:lang w:val="en-US" w:eastAsia="zh-CN"/>
                    </w:rPr>
                    <w:t>勘查</w:t>
                  </w:r>
                  <w:r>
                    <w:rPr>
                      <w:rFonts w:hint="eastAsia" w:ascii="Times New Roman" w:hAnsi="Times New Roman" w:cs="Times New Roman"/>
                      <w:color w:val="auto"/>
                    </w:rPr>
                    <w:t>，消耗水资源、土地资源、能源</w:t>
                  </w:r>
                  <w:r>
                    <w:rPr>
                      <w:rFonts w:hint="eastAsia" w:cs="Times New Roman"/>
                      <w:color w:val="auto"/>
                      <w:lang w:eastAsia="zh-CN"/>
                    </w:rPr>
                    <w:t>很少</w:t>
                  </w:r>
                  <w:r>
                    <w:rPr>
                      <w:rFonts w:hint="eastAsia" w:ascii="Times New Roman" w:hAnsi="Times New Roman" w:cs="Times New Roman"/>
                      <w:color w:val="auto"/>
                    </w:rPr>
                    <w:t>，且</w:t>
                  </w:r>
                  <w:r>
                    <w:rPr>
                      <w:rFonts w:hint="eastAsia" w:cs="Times New Roman"/>
                      <w:color w:val="auto"/>
                      <w:lang w:val="en-US" w:eastAsia="zh-CN"/>
                    </w:rPr>
                    <w:t>勘查</w:t>
                  </w:r>
                  <w:r>
                    <w:rPr>
                      <w:rFonts w:hint="eastAsia" w:ascii="Times New Roman" w:hAnsi="Times New Roman" w:cs="Times New Roman"/>
                      <w:color w:val="auto"/>
                    </w:rPr>
                    <w:t>期较短。</w:t>
                  </w:r>
                  <w:r>
                    <w:rPr>
                      <w:rFonts w:hint="default" w:ascii="Times New Roman" w:hAnsi="Times New Roman" w:cs="Times New Roman"/>
                      <w:color w:val="auto"/>
                    </w:rPr>
                    <w:t>项目不属于</w:t>
                  </w:r>
                  <w:r>
                    <w:rPr>
                      <w:rFonts w:hint="eastAsia" w:ascii="Times New Roman" w:hAnsi="Times New Roman" w:cs="Times New Roman"/>
                      <w:color w:val="auto"/>
                      <w:lang w:eastAsia="zh-CN"/>
                    </w:rPr>
                    <w:t>“</w:t>
                  </w:r>
                  <w:r>
                    <w:rPr>
                      <w:rFonts w:hint="default" w:ascii="Times New Roman" w:hAnsi="Times New Roman" w:cs="Times New Roman"/>
                      <w:color w:val="auto"/>
                    </w:rPr>
                    <w:t>三高</w:t>
                  </w:r>
                  <w:r>
                    <w:rPr>
                      <w:rFonts w:hint="eastAsia" w:ascii="Times New Roman" w:hAnsi="Times New Roman" w:cs="Times New Roman"/>
                      <w:color w:val="auto"/>
                      <w:lang w:eastAsia="zh-CN"/>
                    </w:rPr>
                    <w:t>”</w:t>
                  </w:r>
                  <w:r>
                    <w:rPr>
                      <w:rFonts w:hint="default" w:ascii="Times New Roman" w:hAnsi="Times New Roman" w:cs="Times New Roman"/>
                      <w:color w:val="auto"/>
                    </w:rPr>
                    <w:t>项目，不触及资源利用上线。</w:t>
                  </w:r>
                </w:p>
              </w:tc>
              <w:tc>
                <w:tcPr>
                  <w:tcW w:w="370" w:type="pct"/>
                  <w:gridSpan w:val="3"/>
                  <w:tcBorders>
                    <w:tl2br w:val="nil"/>
                    <w:tr2bl w:val="nil"/>
                  </w:tcBorders>
                  <w:noWrap w:val="0"/>
                  <w:vAlign w:val="center"/>
                </w:tcPr>
                <w:p w14:paraId="034F543F">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符合</w:t>
                  </w:r>
                </w:p>
              </w:tc>
            </w:tr>
            <w:tr w14:paraId="1CD309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 w:type="pct"/>
                <w:wAfter w:w="11" w:type="pct"/>
                <w:jc w:val="center"/>
              </w:trPr>
              <w:tc>
                <w:tcPr>
                  <w:tcW w:w="812" w:type="pct"/>
                  <w:gridSpan w:val="3"/>
                  <w:tcBorders>
                    <w:tl2br w:val="nil"/>
                    <w:tr2bl w:val="nil"/>
                  </w:tcBorders>
                  <w:noWrap w:val="0"/>
                  <w:vAlign w:val="center"/>
                </w:tcPr>
                <w:p w14:paraId="2A7F089C">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管控类型</w:t>
                  </w:r>
                </w:p>
              </w:tc>
              <w:tc>
                <w:tcPr>
                  <w:tcW w:w="2196" w:type="pct"/>
                  <w:gridSpan w:val="3"/>
                  <w:tcBorders>
                    <w:tl2br w:val="nil"/>
                    <w:tr2bl w:val="nil"/>
                  </w:tcBorders>
                  <w:noWrap w:val="0"/>
                  <w:vAlign w:val="center"/>
                </w:tcPr>
                <w:p w14:paraId="4D02C782">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管控要求</w:t>
                  </w:r>
                </w:p>
              </w:tc>
              <w:tc>
                <w:tcPr>
                  <w:tcW w:w="1618" w:type="pct"/>
                  <w:gridSpan w:val="3"/>
                  <w:tcBorders>
                    <w:tl2br w:val="nil"/>
                    <w:tr2bl w:val="nil"/>
                  </w:tcBorders>
                  <w:noWrap w:val="0"/>
                  <w:vAlign w:val="center"/>
                </w:tcPr>
                <w:p w14:paraId="0653DCD3">
                  <w:pPr>
                    <w:pStyle w:val="68"/>
                    <w:keepNext w:val="0"/>
                    <w:keepLines w:val="0"/>
                    <w:suppressLineNumbers w:val="0"/>
                    <w:bidi w:val="0"/>
                    <w:spacing w:before="0" w:beforeAutospacing="0" w:after="0" w:afterAutospacing="0"/>
                    <w:ind w:right="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本项目</w:t>
                  </w:r>
                </w:p>
              </w:tc>
              <w:tc>
                <w:tcPr>
                  <w:tcW w:w="358" w:type="pct"/>
                  <w:gridSpan w:val="3"/>
                  <w:tcBorders>
                    <w:tl2br w:val="nil"/>
                    <w:tr2bl w:val="nil"/>
                  </w:tcBorders>
                  <w:noWrap w:val="0"/>
                  <w:vAlign w:val="center"/>
                </w:tcPr>
                <w:p w14:paraId="1EAA8951">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符合性</w:t>
                  </w:r>
                </w:p>
              </w:tc>
            </w:tr>
            <w:tr w14:paraId="6D0CE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restart"/>
                  <w:tcBorders>
                    <w:tl2br w:val="nil"/>
                    <w:tr2bl w:val="nil"/>
                  </w:tcBorders>
                  <w:noWrap w:val="0"/>
                  <w:vAlign w:val="center"/>
                </w:tcPr>
                <w:p w14:paraId="1C1FCE6C">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lang w:val="en-US" w:eastAsia="zh-CN"/>
                    </w:rPr>
                    <w:t>和静</w:t>
                  </w:r>
                  <w:r>
                    <w:rPr>
                      <w:rFonts w:hint="eastAsia" w:ascii="Times New Roman" w:hAnsi="Times New Roman" w:cs="Times New Roman"/>
                      <w:color w:val="auto"/>
                    </w:rPr>
                    <w:t>县一般管控单元ZH65282730001</w:t>
                  </w:r>
                </w:p>
              </w:tc>
              <w:tc>
                <w:tcPr>
                  <w:tcW w:w="482" w:type="pct"/>
                  <w:tcBorders>
                    <w:tl2br w:val="nil"/>
                    <w:tr2bl w:val="nil"/>
                  </w:tcBorders>
                  <w:noWrap w:val="0"/>
                  <w:vAlign w:val="center"/>
                </w:tcPr>
                <w:p w14:paraId="6B3E8215">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空间布局约束</w:t>
                  </w:r>
                </w:p>
              </w:tc>
              <w:tc>
                <w:tcPr>
                  <w:tcW w:w="2196" w:type="pct"/>
                  <w:gridSpan w:val="3"/>
                  <w:tcBorders>
                    <w:tl2br w:val="nil"/>
                    <w:tr2bl w:val="nil"/>
                  </w:tcBorders>
                  <w:noWrap w:val="0"/>
                  <w:vAlign w:val="center"/>
                </w:tcPr>
                <w:p w14:paraId="455CD30C">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2.严格控制林地、草地、园地农药使用量，禁止使用高毒、高残留农药。</w:t>
                  </w:r>
                </w:p>
                <w:p w14:paraId="3B61DF71">
                  <w:pPr>
                    <w:pStyle w:val="68"/>
                    <w:keepNext w:val="0"/>
                    <w:keepLines w:val="0"/>
                    <w:suppressLineNumbers w:val="0"/>
                    <w:bidi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5.严控土壤重金属污染，加强油（气）田开发土壤污染防治，以历史遗留工业企业污染场地为重点，开展土壤污染风险管控与修复工程。</w:t>
                  </w:r>
                </w:p>
              </w:tc>
              <w:tc>
                <w:tcPr>
                  <w:tcW w:w="1618" w:type="pct"/>
                  <w:gridSpan w:val="3"/>
                  <w:tcBorders>
                    <w:tl2br w:val="nil"/>
                    <w:tr2bl w:val="nil"/>
                  </w:tcBorders>
                  <w:noWrap w:val="0"/>
                  <w:vAlign w:val="center"/>
                </w:tcPr>
                <w:p w14:paraId="0370613D">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本项目为固体矿产地质</w:t>
                  </w:r>
                  <w:r>
                    <w:rPr>
                      <w:rFonts w:hint="eastAsia"/>
                      <w:lang w:val="en-US" w:eastAsia="zh-CN"/>
                    </w:rPr>
                    <w:t>勘查</w:t>
                  </w:r>
                  <w:r>
                    <w:rPr>
                      <w:rFonts w:hint="eastAsia" w:ascii="Times New Roman" w:hAnsi="Times New Roman" w:cs="Times New Roman"/>
                      <w:color w:val="auto"/>
                    </w:rPr>
                    <w:t>，</w:t>
                  </w:r>
                  <w:r>
                    <w:rPr>
                      <w:rFonts w:hint="eastAsia" w:ascii="Times New Roman" w:hAnsi="Times New Roman" w:cs="Times New Roman"/>
                      <w:color w:val="auto"/>
                      <w:lang w:val="en-US" w:eastAsia="zh-CN"/>
                    </w:rPr>
                    <w:t>不</w:t>
                  </w:r>
                  <w:r>
                    <w:rPr>
                      <w:rFonts w:hint="eastAsia" w:ascii="Times New Roman" w:hAnsi="Times New Roman" w:cs="Times New Roman"/>
                      <w:color w:val="auto"/>
                    </w:rPr>
                    <w:t>使用高毒、高残留农药</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工程仅涉及普通地质勘查，不会对土壤造成污染</w:t>
                  </w:r>
                </w:p>
              </w:tc>
              <w:tc>
                <w:tcPr>
                  <w:tcW w:w="357" w:type="pct"/>
                  <w:gridSpan w:val="3"/>
                  <w:tcBorders>
                    <w:tl2br w:val="nil"/>
                    <w:tr2bl w:val="nil"/>
                  </w:tcBorders>
                  <w:noWrap w:val="0"/>
                  <w:vAlign w:val="center"/>
                </w:tcPr>
                <w:p w14:paraId="12537410">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default" w:ascii="Times New Roman" w:hAnsi="Times New Roman" w:cs="Times New Roman"/>
                      <w:color w:val="auto"/>
                    </w:rPr>
                  </w:pPr>
                  <w:r>
                    <w:rPr>
                      <w:rFonts w:hint="eastAsia" w:ascii="Times New Roman" w:hAnsi="Times New Roman" w:cs="Times New Roman"/>
                      <w:color w:val="auto"/>
                    </w:rPr>
                    <w:t>符合</w:t>
                  </w:r>
                </w:p>
              </w:tc>
            </w:tr>
            <w:tr w14:paraId="1E81C0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trHeight w:val="90" w:hRule="atLeast"/>
                <w:jc w:val="center"/>
              </w:trPr>
              <w:tc>
                <w:tcPr>
                  <w:tcW w:w="329" w:type="pct"/>
                  <w:vMerge w:val="continue"/>
                  <w:tcBorders>
                    <w:tl2br w:val="nil"/>
                    <w:tr2bl w:val="nil"/>
                  </w:tcBorders>
                  <w:noWrap w:val="0"/>
                  <w:vAlign w:val="center"/>
                </w:tcPr>
                <w:p w14:paraId="61C55B5D">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482" w:type="pct"/>
                  <w:tcBorders>
                    <w:tl2br w:val="nil"/>
                    <w:tr2bl w:val="nil"/>
                  </w:tcBorders>
                  <w:noWrap w:val="0"/>
                  <w:vAlign w:val="center"/>
                </w:tcPr>
                <w:p w14:paraId="76A8E1FE">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污染物排放管控</w:t>
                  </w:r>
                </w:p>
              </w:tc>
              <w:tc>
                <w:tcPr>
                  <w:tcW w:w="2196" w:type="pct"/>
                  <w:gridSpan w:val="3"/>
                  <w:tcBorders>
                    <w:tl2br w:val="nil"/>
                    <w:tr2bl w:val="nil"/>
                  </w:tcBorders>
                  <w:noWrap w:val="0"/>
                  <w:vAlign w:val="center"/>
                </w:tcPr>
                <w:p w14:paraId="3AFFF11E">
                  <w:pPr>
                    <w:pStyle w:val="68"/>
                    <w:keepNext w:val="0"/>
                    <w:keepLines w:val="0"/>
                    <w:suppressLineNumbers w:val="0"/>
                    <w:bidi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1.加强对矿山、油田等矿产资源开采影响区域内未利用地的环境监管，发现土壤污染问题的，要坚决查处，并及时督促有关单位采取有效防治措施消除或减轻污染。</w:t>
                  </w:r>
                </w:p>
              </w:tc>
              <w:tc>
                <w:tcPr>
                  <w:tcW w:w="1618" w:type="pct"/>
                  <w:gridSpan w:val="3"/>
                  <w:tcBorders>
                    <w:tl2br w:val="nil"/>
                    <w:tr2bl w:val="nil"/>
                  </w:tcBorders>
                  <w:noWrap w:val="0"/>
                  <w:vAlign w:val="center"/>
                </w:tcPr>
                <w:p w14:paraId="400E8664">
                  <w:pPr>
                    <w:pStyle w:val="68"/>
                    <w:keepNext w:val="0"/>
                    <w:keepLines w:val="0"/>
                    <w:suppressLineNumbers w:val="0"/>
                    <w:bidi w:val="0"/>
                    <w:spacing w:before="0" w:beforeAutospacing="0" w:after="0" w:afterAutospacing="0"/>
                    <w:ind w:right="0"/>
                    <w:jc w:val="both"/>
                    <w:rPr>
                      <w:rFonts w:hint="default" w:ascii="Times New Roman" w:hAnsi="Times New Roman" w:cs="Times New Roman"/>
                      <w:color w:val="auto"/>
                      <w:lang w:val="en-US"/>
                    </w:rPr>
                  </w:pPr>
                  <w:r>
                    <w:rPr>
                      <w:rFonts w:hint="eastAsia" w:ascii="Times New Roman" w:hAnsi="Times New Roman" w:cs="Times New Roman"/>
                      <w:color w:val="auto"/>
                    </w:rPr>
                    <w:t>本项目</w:t>
                  </w:r>
                  <w:r>
                    <w:rPr>
                      <w:rFonts w:hint="eastAsia" w:ascii="Times New Roman" w:hAnsi="Times New Roman" w:cs="Times New Roman"/>
                      <w:color w:val="auto"/>
                      <w:lang w:val="en-US" w:eastAsia="zh-CN"/>
                    </w:rPr>
                    <w:t>大气污染物为槽探产生的少量粉尘，经洒水降尘后对周边环境影响较小；项目</w:t>
                  </w:r>
                  <w:r>
                    <w:rPr>
                      <w:rFonts w:hint="eastAsia"/>
                      <w:lang w:val="en-US" w:eastAsia="zh-CN"/>
                    </w:rPr>
                    <w:t>勘查</w:t>
                  </w:r>
                  <w:r>
                    <w:rPr>
                      <w:rFonts w:hint="eastAsia" w:ascii="Times New Roman" w:hAnsi="Times New Roman" w:cs="Times New Roman"/>
                      <w:color w:val="auto"/>
                      <w:lang w:val="en-US" w:eastAsia="zh-CN"/>
                    </w:rPr>
                    <w:t>产生的污染物较少，对周边环境影响较小</w:t>
                  </w:r>
                </w:p>
              </w:tc>
              <w:tc>
                <w:tcPr>
                  <w:tcW w:w="357" w:type="pct"/>
                  <w:gridSpan w:val="3"/>
                  <w:tcBorders>
                    <w:tl2br w:val="nil"/>
                    <w:tr2bl w:val="nil"/>
                  </w:tcBorders>
                  <w:noWrap w:val="0"/>
                  <w:vAlign w:val="center"/>
                </w:tcPr>
                <w:p w14:paraId="5B0C8504">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default" w:ascii="Times New Roman" w:hAnsi="Times New Roman" w:cs="Times New Roman"/>
                      <w:color w:val="auto"/>
                    </w:rPr>
                  </w:pPr>
                  <w:r>
                    <w:rPr>
                      <w:rFonts w:hint="eastAsia" w:ascii="Times New Roman" w:hAnsi="Times New Roman" w:cs="Times New Roman"/>
                      <w:color w:val="auto"/>
                    </w:rPr>
                    <w:t>符合</w:t>
                  </w:r>
                </w:p>
              </w:tc>
            </w:tr>
            <w:tr w14:paraId="032F20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continue"/>
                  <w:tcBorders>
                    <w:tl2br w:val="nil"/>
                    <w:tr2bl w:val="nil"/>
                  </w:tcBorders>
                  <w:noWrap w:val="0"/>
                  <w:vAlign w:val="center"/>
                </w:tcPr>
                <w:p w14:paraId="0B6E811A">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482" w:type="pct"/>
                  <w:tcBorders>
                    <w:tl2br w:val="nil"/>
                    <w:tr2bl w:val="nil"/>
                  </w:tcBorders>
                  <w:noWrap w:val="0"/>
                  <w:vAlign w:val="center"/>
                </w:tcPr>
                <w:p w14:paraId="0789A02C">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环境风险防控</w:t>
                  </w:r>
                </w:p>
              </w:tc>
              <w:tc>
                <w:tcPr>
                  <w:tcW w:w="2196" w:type="pct"/>
                  <w:gridSpan w:val="3"/>
                  <w:tcBorders>
                    <w:tl2br w:val="nil"/>
                    <w:tr2bl w:val="nil"/>
                  </w:tcBorders>
                  <w:noWrap w:val="0"/>
                  <w:vAlign w:val="center"/>
                </w:tcPr>
                <w:p w14:paraId="5B6BF6B6">
                  <w:pPr>
                    <w:pStyle w:val="68"/>
                    <w:keepNext w:val="0"/>
                    <w:keepLines w:val="0"/>
                    <w:suppressLineNumbers w:val="0"/>
                    <w:bidi w:val="0"/>
                    <w:spacing w:before="0" w:beforeAutospacing="0" w:after="0" w:afterAutospacing="0"/>
                    <w:ind w:right="0"/>
                    <w:jc w:val="both"/>
                    <w:rPr>
                      <w:rFonts w:hint="default" w:ascii="Times New Roman" w:hAnsi="Times New Roman" w:cs="Times New Roman"/>
                      <w:color w:val="auto"/>
                    </w:rPr>
                  </w:pPr>
                  <w:r>
                    <w:rPr>
                      <w:rFonts w:hint="eastAsia" w:ascii="Times New Roman" w:hAnsi="Times New Roman" w:cs="Times New Roman"/>
                      <w:color w:val="auto"/>
                    </w:rPr>
                    <w:t>1.推广渠道防渗、管道输水、喷灌、微灌等节水灌溉技术，完善灌溉用水计量设施。推进规模化高效节水灌溉，推广农作物节水抗旱技术。建立灌区墒情测报网络，提高农业用水效率，降低农业用水比重。</w:t>
                  </w:r>
                </w:p>
              </w:tc>
              <w:tc>
                <w:tcPr>
                  <w:tcW w:w="1618" w:type="pct"/>
                  <w:gridSpan w:val="3"/>
                  <w:tcBorders>
                    <w:tl2br w:val="nil"/>
                    <w:tr2bl w:val="nil"/>
                  </w:tcBorders>
                  <w:noWrap w:val="0"/>
                  <w:vAlign w:val="center"/>
                </w:tcPr>
                <w:p w14:paraId="24FC94E6">
                  <w:pPr>
                    <w:pStyle w:val="68"/>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rPr>
                    <w:t>本项目</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r>
                    <w:rPr>
                      <w:rFonts w:hint="eastAsia" w:ascii="Times New Roman" w:hAnsi="Times New Roman" w:cs="Times New Roman"/>
                      <w:color w:val="auto"/>
                    </w:rPr>
                    <w:t>。</w:t>
                  </w:r>
                  <w:r>
                    <w:rPr>
                      <w:rFonts w:hint="eastAsia" w:ascii="Times New Roman" w:hAnsi="Times New Roman" w:cs="Times New Roman"/>
                      <w:color w:val="auto"/>
                      <w:lang w:val="en-US" w:eastAsia="zh-CN"/>
                    </w:rPr>
                    <w:t>无生产废水产生</w:t>
                  </w:r>
                </w:p>
              </w:tc>
              <w:tc>
                <w:tcPr>
                  <w:tcW w:w="357" w:type="pct"/>
                  <w:gridSpan w:val="3"/>
                  <w:tcBorders>
                    <w:tl2br w:val="nil"/>
                    <w:tr2bl w:val="nil"/>
                  </w:tcBorders>
                  <w:noWrap w:val="0"/>
                  <w:vAlign w:val="center"/>
                </w:tcPr>
                <w:p w14:paraId="497795A8">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default" w:ascii="Times New Roman" w:hAnsi="Times New Roman" w:cs="Times New Roman"/>
                      <w:color w:val="auto"/>
                    </w:rPr>
                  </w:pPr>
                  <w:r>
                    <w:rPr>
                      <w:rFonts w:hint="eastAsia" w:ascii="Times New Roman" w:hAnsi="Times New Roman" w:cs="Times New Roman"/>
                      <w:color w:val="auto"/>
                    </w:rPr>
                    <w:t>符合</w:t>
                  </w:r>
                </w:p>
              </w:tc>
            </w:tr>
            <w:tr w14:paraId="3C2412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continue"/>
                  <w:tcBorders>
                    <w:tl2br w:val="nil"/>
                    <w:tr2bl w:val="nil"/>
                  </w:tcBorders>
                  <w:noWrap w:val="0"/>
                  <w:vAlign w:val="center"/>
                </w:tcPr>
                <w:p w14:paraId="09280C73">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482" w:type="pct"/>
                  <w:tcBorders>
                    <w:tl2br w:val="nil"/>
                    <w:tr2bl w:val="nil"/>
                  </w:tcBorders>
                  <w:noWrap w:val="0"/>
                  <w:vAlign w:val="center"/>
                </w:tcPr>
                <w:p w14:paraId="398E2718">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资源利用效率</w:t>
                  </w:r>
                </w:p>
              </w:tc>
              <w:tc>
                <w:tcPr>
                  <w:tcW w:w="2196" w:type="pct"/>
                  <w:gridSpan w:val="3"/>
                  <w:tcBorders>
                    <w:tl2br w:val="nil"/>
                    <w:tr2bl w:val="nil"/>
                  </w:tcBorders>
                  <w:noWrap w:val="0"/>
                  <w:vAlign w:val="center"/>
                </w:tcPr>
                <w:p w14:paraId="14339A2B">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2.严格控制林地、草地、园地农药使用量，禁止使用高毒、高残留农药。</w:t>
                  </w:r>
                </w:p>
                <w:p w14:paraId="2E5CF110">
                  <w:pPr>
                    <w:pStyle w:val="68"/>
                    <w:keepNext w:val="0"/>
                    <w:keepLines w:val="0"/>
                    <w:suppressLineNumbers w:val="0"/>
                    <w:bidi w:val="0"/>
                    <w:spacing w:before="0" w:beforeAutospacing="0" w:after="0" w:afterAutospacing="0"/>
                    <w:ind w:right="0"/>
                    <w:jc w:val="both"/>
                    <w:rPr>
                      <w:rFonts w:hint="default" w:ascii="Times New Roman" w:hAnsi="Times New Roman" w:cs="Times New Roman"/>
                    </w:rPr>
                  </w:pPr>
                  <w:r>
                    <w:rPr>
                      <w:rFonts w:hint="eastAsia" w:ascii="Times New Roman" w:hAnsi="Times New Roman" w:cs="Times New Roman"/>
                      <w:color w:val="auto"/>
                    </w:rPr>
                    <w:t>4.严控土壤重金属污染，加强油（气）田开发土壤污染防治，以历史遗留工业企业污染场地为重点，开展土壤污染风险管控与修复工程。</w:t>
                  </w:r>
                </w:p>
              </w:tc>
              <w:tc>
                <w:tcPr>
                  <w:tcW w:w="1618" w:type="pct"/>
                  <w:gridSpan w:val="3"/>
                  <w:tcBorders>
                    <w:tl2br w:val="nil"/>
                    <w:tr2bl w:val="nil"/>
                  </w:tcBorders>
                  <w:noWrap w:val="0"/>
                  <w:vAlign w:val="center"/>
                </w:tcPr>
                <w:p w14:paraId="0C14EBA7">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本项目为固体矿产地质</w:t>
                  </w:r>
                  <w:r>
                    <w:rPr>
                      <w:rFonts w:hint="eastAsia"/>
                      <w:lang w:val="en-US" w:eastAsia="zh-CN"/>
                    </w:rPr>
                    <w:t>勘查</w:t>
                  </w:r>
                  <w:r>
                    <w:rPr>
                      <w:rFonts w:hint="eastAsia" w:ascii="Times New Roman" w:hAnsi="Times New Roman" w:cs="Times New Roman"/>
                      <w:color w:val="auto"/>
                    </w:rPr>
                    <w:t>，</w:t>
                  </w:r>
                  <w:r>
                    <w:rPr>
                      <w:rFonts w:hint="eastAsia" w:ascii="Times New Roman" w:hAnsi="Times New Roman" w:cs="Times New Roman"/>
                      <w:color w:val="auto"/>
                      <w:lang w:val="en-US" w:eastAsia="zh-CN"/>
                    </w:rPr>
                    <w:t>不</w:t>
                  </w:r>
                  <w:r>
                    <w:rPr>
                      <w:rFonts w:hint="eastAsia" w:ascii="Times New Roman" w:hAnsi="Times New Roman" w:cs="Times New Roman"/>
                      <w:color w:val="auto"/>
                    </w:rPr>
                    <w:t>使用高毒、高残留农药</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工程仅涉及普通地质勘查，不会对土壤造成污染</w:t>
                  </w:r>
                </w:p>
              </w:tc>
              <w:tc>
                <w:tcPr>
                  <w:tcW w:w="357" w:type="pct"/>
                  <w:gridSpan w:val="3"/>
                  <w:tcBorders>
                    <w:tl2br w:val="nil"/>
                    <w:tr2bl w:val="nil"/>
                  </w:tcBorders>
                  <w:noWrap w:val="0"/>
                  <w:vAlign w:val="center"/>
                </w:tcPr>
                <w:p w14:paraId="18468ED6">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default" w:ascii="Times New Roman" w:hAnsi="Times New Roman" w:cs="Times New Roman"/>
                      <w:color w:val="auto"/>
                    </w:rPr>
                  </w:pPr>
                  <w:r>
                    <w:rPr>
                      <w:rFonts w:hint="eastAsia" w:ascii="Times New Roman" w:hAnsi="Times New Roman" w:cs="Times New Roman"/>
                      <w:color w:val="auto"/>
                    </w:rPr>
                    <w:t>符合</w:t>
                  </w:r>
                </w:p>
              </w:tc>
            </w:tr>
            <w:tr w14:paraId="1DBDC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restart"/>
                  <w:tcBorders>
                    <w:tl2br w:val="nil"/>
                    <w:tr2bl w:val="nil"/>
                  </w:tcBorders>
                  <w:noWrap w:val="0"/>
                  <w:vAlign w:val="center"/>
                </w:tcPr>
                <w:p w14:paraId="755425AE">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lang w:val="en-US" w:eastAsia="zh-CN"/>
                    </w:rPr>
                    <w:t>和静县大气弱扩散区ZH65282720002</w:t>
                  </w:r>
                </w:p>
              </w:tc>
              <w:tc>
                <w:tcPr>
                  <w:tcW w:w="482" w:type="pct"/>
                  <w:tcBorders>
                    <w:tl2br w:val="nil"/>
                    <w:tr2bl w:val="nil"/>
                  </w:tcBorders>
                  <w:noWrap w:val="0"/>
                  <w:vAlign w:val="center"/>
                </w:tcPr>
                <w:p w14:paraId="7AFCB546">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空间布局</w:t>
                  </w:r>
                </w:p>
                <w:p w14:paraId="289F12A9">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约束</w:t>
                  </w:r>
                </w:p>
              </w:tc>
              <w:tc>
                <w:tcPr>
                  <w:tcW w:w="2196" w:type="pct"/>
                  <w:gridSpan w:val="3"/>
                  <w:tcBorders>
                    <w:tl2br w:val="nil"/>
                    <w:tr2bl w:val="nil"/>
                  </w:tcBorders>
                  <w:noWrap w:val="0"/>
                  <w:vAlign w:val="center"/>
                </w:tcPr>
                <w:p w14:paraId="475859B5">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严格建设项目节能环保准入，涉及大气污染物排放的，执行国家大气污染物排放限值，待地方大气污染物排放标准出台后一并执行。</w:t>
                  </w:r>
                </w:p>
              </w:tc>
              <w:tc>
                <w:tcPr>
                  <w:tcW w:w="1618" w:type="pct"/>
                  <w:gridSpan w:val="3"/>
                  <w:tcBorders>
                    <w:tl2br w:val="nil"/>
                    <w:tr2bl w:val="nil"/>
                  </w:tcBorders>
                  <w:noWrap w:val="0"/>
                  <w:vAlign w:val="center"/>
                </w:tcPr>
                <w:p w14:paraId="2BE4B7F0">
                  <w:pPr>
                    <w:pStyle w:val="68"/>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本项目大气污染物为槽探产生的少量粉尘，经洒水降尘后对周边环境影响较小，严格执行《大气污染物综合排放标准》（GB16297-1996）</w:t>
                  </w:r>
                </w:p>
              </w:tc>
              <w:tc>
                <w:tcPr>
                  <w:tcW w:w="357" w:type="pct"/>
                  <w:gridSpan w:val="3"/>
                  <w:tcBorders>
                    <w:tl2br w:val="nil"/>
                    <w:tr2bl w:val="nil"/>
                  </w:tcBorders>
                  <w:noWrap w:val="0"/>
                  <w:vAlign w:val="center"/>
                </w:tcPr>
                <w:p w14:paraId="7167D96F">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eastAsia" w:ascii="Times New Roman" w:hAnsi="Times New Roman" w:cs="Times New Roman"/>
                      <w:color w:val="auto"/>
                    </w:rPr>
                  </w:pPr>
                  <w:r>
                    <w:rPr>
                      <w:rFonts w:hint="eastAsia" w:ascii="Times New Roman" w:hAnsi="Times New Roman" w:cs="Times New Roman"/>
                      <w:color w:val="auto"/>
                    </w:rPr>
                    <w:t>符合</w:t>
                  </w:r>
                </w:p>
              </w:tc>
            </w:tr>
            <w:tr w14:paraId="6B3B1C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continue"/>
                  <w:tcBorders>
                    <w:tl2br w:val="nil"/>
                    <w:tr2bl w:val="nil"/>
                  </w:tcBorders>
                  <w:noWrap w:val="0"/>
                  <w:vAlign w:val="center"/>
                </w:tcPr>
                <w:p w14:paraId="2422315D">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482" w:type="pct"/>
                  <w:tcBorders>
                    <w:tl2br w:val="nil"/>
                    <w:tr2bl w:val="nil"/>
                  </w:tcBorders>
                  <w:noWrap w:val="0"/>
                  <w:vAlign w:val="center"/>
                </w:tcPr>
                <w:p w14:paraId="0F41C652">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污染物排</w:t>
                  </w:r>
                </w:p>
                <w:p w14:paraId="350F5A78">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放管控</w:t>
                  </w:r>
                </w:p>
              </w:tc>
              <w:tc>
                <w:tcPr>
                  <w:tcW w:w="2196" w:type="pct"/>
                  <w:gridSpan w:val="3"/>
                  <w:tcBorders>
                    <w:tl2br w:val="nil"/>
                    <w:tr2bl w:val="nil"/>
                  </w:tcBorders>
                  <w:noWrap w:val="0"/>
                  <w:vAlign w:val="center"/>
                </w:tcPr>
                <w:p w14:paraId="30838B7C">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执行环境空气质量二级标准。</w:t>
                  </w:r>
                </w:p>
              </w:tc>
              <w:tc>
                <w:tcPr>
                  <w:tcW w:w="1618" w:type="pct"/>
                  <w:gridSpan w:val="3"/>
                  <w:tcBorders>
                    <w:tl2br w:val="nil"/>
                    <w:tr2bl w:val="nil"/>
                  </w:tcBorders>
                  <w:noWrap w:val="0"/>
                  <w:vAlign w:val="center"/>
                </w:tcPr>
                <w:p w14:paraId="0E74A923">
                  <w:pPr>
                    <w:pStyle w:val="68"/>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本项目环境空气质量执行</w:t>
                  </w:r>
                  <w:r>
                    <w:rPr>
                      <w:rFonts w:hint="eastAsia" w:ascii="Times New Roman" w:hAnsi="Times New Roman" w:cs="Times New Roman"/>
                      <w:color w:val="auto"/>
                    </w:rPr>
                    <w:t>环境空气质量二级标准</w:t>
                  </w:r>
                </w:p>
              </w:tc>
              <w:tc>
                <w:tcPr>
                  <w:tcW w:w="357" w:type="pct"/>
                  <w:gridSpan w:val="3"/>
                  <w:tcBorders>
                    <w:tl2br w:val="nil"/>
                    <w:tr2bl w:val="nil"/>
                  </w:tcBorders>
                  <w:noWrap w:val="0"/>
                  <w:vAlign w:val="center"/>
                </w:tcPr>
                <w:p w14:paraId="7FBE3619">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eastAsia" w:ascii="Times New Roman" w:hAnsi="Times New Roman" w:cs="Times New Roman"/>
                      <w:color w:val="auto"/>
                    </w:rPr>
                  </w:pPr>
                  <w:r>
                    <w:rPr>
                      <w:rFonts w:hint="eastAsia" w:ascii="Times New Roman" w:hAnsi="Times New Roman" w:cs="Times New Roman"/>
                      <w:color w:val="auto"/>
                    </w:rPr>
                    <w:t>符合</w:t>
                  </w:r>
                </w:p>
              </w:tc>
            </w:tr>
            <w:tr w14:paraId="4BD3AC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continue"/>
                  <w:tcBorders>
                    <w:tl2br w:val="nil"/>
                    <w:tr2bl w:val="nil"/>
                  </w:tcBorders>
                  <w:noWrap w:val="0"/>
                  <w:vAlign w:val="center"/>
                </w:tcPr>
                <w:p w14:paraId="6978B2BD">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482" w:type="pct"/>
                  <w:tcBorders>
                    <w:tl2br w:val="nil"/>
                    <w:tr2bl w:val="nil"/>
                  </w:tcBorders>
                  <w:noWrap w:val="0"/>
                  <w:vAlign w:val="center"/>
                </w:tcPr>
                <w:p w14:paraId="7E5BCC9B">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环境风险</w:t>
                  </w:r>
                </w:p>
                <w:p w14:paraId="07863B66">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防控</w:t>
                  </w:r>
                </w:p>
              </w:tc>
              <w:tc>
                <w:tcPr>
                  <w:tcW w:w="2196" w:type="pct"/>
                  <w:gridSpan w:val="3"/>
                  <w:tcBorders>
                    <w:tl2br w:val="nil"/>
                    <w:tr2bl w:val="nil"/>
                  </w:tcBorders>
                  <w:noWrap w:val="0"/>
                  <w:vAlign w:val="center"/>
                </w:tcPr>
                <w:p w14:paraId="6C91A6C2">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1.生态环境主管部门应当会同气象部门建立重污染天气监测预警、会商和信息通报等机制，进行大气环境质量预报。</w:t>
                  </w:r>
                </w:p>
                <w:p w14:paraId="13058ED9">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2.政府应当根据重污染天气的预警等级，及时启动重污染天气应急预案，并采取与预警等级对应的响应措施，相关单位和个人应当配合。</w:t>
                  </w:r>
                </w:p>
              </w:tc>
              <w:tc>
                <w:tcPr>
                  <w:tcW w:w="1618" w:type="pct"/>
                  <w:gridSpan w:val="3"/>
                  <w:tcBorders>
                    <w:tl2br w:val="nil"/>
                    <w:tr2bl w:val="nil"/>
                  </w:tcBorders>
                  <w:noWrap w:val="0"/>
                  <w:vAlign w:val="center"/>
                </w:tcPr>
                <w:p w14:paraId="6566B3EC">
                  <w:pPr>
                    <w:pStyle w:val="68"/>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本项目在重污染的天气下应当及时停工，防止造成污染扩大</w:t>
                  </w:r>
                </w:p>
              </w:tc>
              <w:tc>
                <w:tcPr>
                  <w:tcW w:w="357" w:type="pct"/>
                  <w:gridSpan w:val="3"/>
                  <w:tcBorders>
                    <w:tl2br w:val="nil"/>
                    <w:tr2bl w:val="nil"/>
                  </w:tcBorders>
                  <w:noWrap w:val="0"/>
                  <w:vAlign w:val="center"/>
                </w:tcPr>
                <w:p w14:paraId="674868EA">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eastAsia" w:ascii="Times New Roman" w:hAnsi="Times New Roman" w:cs="Times New Roman"/>
                      <w:color w:val="auto"/>
                    </w:rPr>
                  </w:pPr>
                  <w:r>
                    <w:rPr>
                      <w:rFonts w:hint="eastAsia" w:ascii="Times New Roman" w:hAnsi="Times New Roman" w:cs="Times New Roman"/>
                      <w:color w:val="auto"/>
                    </w:rPr>
                    <w:t>符合</w:t>
                  </w:r>
                </w:p>
              </w:tc>
            </w:tr>
            <w:tr w14:paraId="36BF6C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2"/>
                <w:wBefore w:w="1" w:type="pct"/>
                <w:wAfter w:w="12" w:type="pct"/>
                <w:jc w:val="center"/>
              </w:trPr>
              <w:tc>
                <w:tcPr>
                  <w:tcW w:w="329" w:type="pct"/>
                  <w:vMerge w:val="continue"/>
                  <w:tcBorders>
                    <w:tl2br w:val="nil"/>
                    <w:tr2bl w:val="nil"/>
                  </w:tcBorders>
                  <w:noWrap w:val="0"/>
                  <w:vAlign w:val="center"/>
                </w:tcPr>
                <w:p w14:paraId="4AE000F6">
                  <w:pPr>
                    <w:pStyle w:val="68"/>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482" w:type="pct"/>
                  <w:tcBorders>
                    <w:tl2br w:val="nil"/>
                    <w:tr2bl w:val="nil"/>
                  </w:tcBorders>
                  <w:noWrap w:val="0"/>
                  <w:vAlign w:val="center"/>
                </w:tcPr>
                <w:p w14:paraId="73A3B07A">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资源利用</w:t>
                  </w:r>
                </w:p>
                <w:p w14:paraId="16FEA6F5">
                  <w:pPr>
                    <w:pStyle w:val="68"/>
                    <w:keepNext w:val="0"/>
                    <w:keepLines w:val="0"/>
                    <w:suppressLineNumbers w:val="0"/>
                    <w:bidi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效率</w:t>
                  </w:r>
                </w:p>
              </w:tc>
              <w:tc>
                <w:tcPr>
                  <w:tcW w:w="2196" w:type="pct"/>
                  <w:gridSpan w:val="3"/>
                  <w:tcBorders>
                    <w:tl2br w:val="nil"/>
                    <w:tr2bl w:val="nil"/>
                  </w:tcBorders>
                  <w:noWrap w:val="0"/>
                  <w:vAlign w:val="center"/>
                </w:tcPr>
                <w:p w14:paraId="1F22CD4D">
                  <w:pPr>
                    <w:pStyle w:val="68"/>
                    <w:keepNext w:val="0"/>
                    <w:keepLines w:val="0"/>
                    <w:suppressLineNumbers w:val="0"/>
                    <w:bidi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在集中供热未覆盖的区域，鼓励使用清洁能源替代，推广使用高效节能环保型锅炉。</w:t>
                  </w:r>
                </w:p>
              </w:tc>
              <w:tc>
                <w:tcPr>
                  <w:tcW w:w="1618" w:type="pct"/>
                  <w:gridSpan w:val="3"/>
                  <w:tcBorders>
                    <w:tl2br w:val="nil"/>
                    <w:tr2bl w:val="nil"/>
                  </w:tcBorders>
                  <w:noWrap w:val="0"/>
                  <w:vAlign w:val="center"/>
                </w:tcPr>
                <w:p w14:paraId="2CC9FF05">
                  <w:pPr>
                    <w:pStyle w:val="68"/>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本项目无需供热，不使用锅炉</w:t>
                  </w:r>
                </w:p>
              </w:tc>
              <w:tc>
                <w:tcPr>
                  <w:tcW w:w="357" w:type="pct"/>
                  <w:gridSpan w:val="3"/>
                  <w:tcBorders>
                    <w:tl2br w:val="nil"/>
                    <w:tr2bl w:val="nil"/>
                  </w:tcBorders>
                  <w:noWrap w:val="0"/>
                  <w:vAlign w:val="center"/>
                </w:tcPr>
                <w:p w14:paraId="4B7ADCFE">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right="0"/>
                    <w:jc w:val="center"/>
                    <w:textAlignment w:val="center"/>
                    <w:rPr>
                      <w:rFonts w:hint="eastAsia" w:ascii="Times New Roman" w:hAnsi="Times New Roman" w:cs="Times New Roman"/>
                      <w:color w:val="auto"/>
                    </w:rPr>
                  </w:pPr>
                  <w:r>
                    <w:rPr>
                      <w:rFonts w:hint="eastAsia" w:ascii="Times New Roman" w:hAnsi="Times New Roman" w:cs="Times New Roman"/>
                      <w:color w:val="auto"/>
                    </w:rPr>
                    <w:t>符合</w:t>
                  </w:r>
                </w:p>
              </w:tc>
            </w:tr>
          </w:tbl>
          <w:p w14:paraId="1B7C785B">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2</w:t>
            </w:r>
            <w:r>
              <w:rPr>
                <w:rFonts w:hint="eastAsia"/>
                <w:color w:val="auto"/>
              </w:rPr>
              <w:t>.</w:t>
            </w:r>
            <w:r>
              <w:rPr>
                <w:rFonts w:hint="eastAsia"/>
                <w:color w:val="auto"/>
                <w:lang w:val="en-US" w:eastAsia="zh-CN"/>
              </w:rPr>
              <w:t>3</w:t>
            </w:r>
            <w:r>
              <w:rPr>
                <w:rFonts w:hint="eastAsia"/>
                <w:color w:val="auto"/>
              </w:rPr>
              <w:t>与环境管理政策分析的符合性分析</w:t>
            </w:r>
          </w:p>
          <w:p w14:paraId="4C299FF6">
            <w:pPr>
              <w:pStyle w:val="66"/>
              <w:keepNext w:val="0"/>
              <w:keepLines w:val="0"/>
              <w:suppressLineNumbers w:val="0"/>
              <w:bidi w:val="0"/>
              <w:spacing w:before="0" w:beforeAutospacing="0" w:after="0" w:afterAutospacing="0"/>
              <w:ind w:left="0" w:right="0"/>
              <w:rPr>
                <w:rFonts w:hint="default" w:cs="Times New Roman"/>
                <w:color w:val="auto"/>
              </w:rPr>
            </w:pPr>
            <w:r>
              <w:rPr>
                <w:rFonts w:hint="eastAsia" w:cs="Times New Roman"/>
                <w:color w:val="auto"/>
              </w:rPr>
              <w:t>表</w:t>
            </w:r>
            <w:r>
              <w:rPr>
                <w:rFonts w:hint="eastAsia" w:cs="Times New Roman"/>
                <w:color w:val="auto"/>
                <w:lang w:val="en-US" w:eastAsia="zh-CN"/>
              </w:rPr>
              <w:t>1-4</w:t>
            </w:r>
            <w:r>
              <w:rPr>
                <w:rFonts w:hint="default" w:cs="Times New Roman"/>
                <w:color w:val="auto"/>
              </w:rPr>
              <w:t xml:space="preserve">  </w:t>
            </w:r>
            <w:r>
              <w:rPr>
                <w:rFonts w:hint="eastAsia" w:cs="Times New Roman"/>
                <w:color w:val="auto"/>
                <w:lang w:val="en-US" w:eastAsia="zh-CN"/>
              </w:rPr>
              <w:t xml:space="preserve"> </w:t>
            </w:r>
            <w:r>
              <w:rPr>
                <w:rFonts w:hint="eastAsia" w:cs="Times New Roman"/>
                <w:color w:val="auto"/>
              </w:rPr>
              <w:t>环境管理政策符合性分析</w:t>
            </w:r>
          </w:p>
          <w:tbl>
            <w:tblPr>
              <w:tblStyle w:val="28"/>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24"/>
              <w:gridCol w:w="3167"/>
              <w:gridCol w:w="2297"/>
              <w:gridCol w:w="967"/>
            </w:tblGrid>
            <w:tr w14:paraId="598C36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1F13C77A">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规划</w:t>
                  </w:r>
                </w:p>
              </w:tc>
              <w:tc>
                <w:tcPr>
                  <w:tcW w:w="1872" w:type="pct"/>
                  <w:tcBorders>
                    <w:tl2br w:val="nil"/>
                    <w:tr2bl w:val="nil"/>
                  </w:tcBorders>
                  <w:noWrap w:val="0"/>
                  <w:vAlign w:val="center"/>
                </w:tcPr>
                <w:p w14:paraId="13B5CA4B">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规划要求</w:t>
                  </w:r>
                </w:p>
              </w:tc>
              <w:tc>
                <w:tcPr>
                  <w:tcW w:w="1358" w:type="pct"/>
                  <w:tcBorders>
                    <w:tl2br w:val="nil"/>
                    <w:tr2bl w:val="nil"/>
                  </w:tcBorders>
                  <w:noWrap w:val="0"/>
                  <w:vAlign w:val="center"/>
                </w:tcPr>
                <w:p w14:paraId="5F9DA0E3">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本项目情况</w:t>
                  </w:r>
                </w:p>
              </w:tc>
              <w:tc>
                <w:tcPr>
                  <w:tcW w:w="571" w:type="pct"/>
                  <w:tcBorders>
                    <w:tl2br w:val="nil"/>
                    <w:tr2bl w:val="nil"/>
                  </w:tcBorders>
                  <w:noWrap w:val="0"/>
                  <w:vAlign w:val="center"/>
                </w:tcPr>
                <w:p w14:paraId="5CF1BD18">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符合性</w:t>
                  </w:r>
                </w:p>
              </w:tc>
            </w:tr>
            <w:tr w14:paraId="6E9255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3B05F169">
                  <w:pPr>
                    <w:keepNext w:val="0"/>
                    <w:keepLines w:val="0"/>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lang w:eastAsia="zh-CN"/>
                    </w:rPr>
                    <w:t>《新疆维吾尔自治区国民经济和社会发展第十五个五年规划纲要》（2026年1月31日新疆维吾尔自治区第十四届人民代表大会第四次会议通过）</w:t>
                  </w:r>
                </w:p>
              </w:tc>
              <w:tc>
                <w:tcPr>
                  <w:tcW w:w="1872" w:type="pct"/>
                  <w:tcBorders>
                    <w:tl2br w:val="nil"/>
                    <w:tr2bl w:val="nil"/>
                  </w:tcBorders>
                  <w:noWrap w:val="0"/>
                  <w:vAlign w:val="center"/>
                </w:tcPr>
                <w:p w14:paraId="5EA55903">
                  <w:pPr>
                    <w:keepNext w:val="0"/>
                    <w:keepLines w:val="0"/>
                    <w:suppressLineNumbers w:val="0"/>
                    <w:spacing w:before="0" w:beforeAutospacing="0" w:after="0" w:afterAutospacing="0" w:line="240" w:lineRule="auto"/>
                    <w:ind w:left="0" w:right="0" w:firstLine="0" w:firstLineChars="0"/>
                    <w:jc w:val="both"/>
                    <w:textAlignment w:val="center"/>
                    <w:rPr>
                      <w:rFonts w:hint="default" w:ascii="Times New Roman" w:hAnsi="Times New Roman" w:cs="Times New Roman"/>
                      <w:color w:val="auto"/>
                      <w:sz w:val="21"/>
                      <w:szCs w:val="22"/>
                    </w:rPr>
                  </w:pPr>
                  <w:r>
                    <w:rPr>
                      <w:rFonts w:hint="eastAsia" w:ascii="Times New Roman" w:hAnsi="Times New Roman" w:cs="Times New Roman"/>
                      <w:color w:val="000000"/>
                      <w:sz w:val="21"/>
                      <w:szCs w:val="22"/>
                    </w:rPr>
                    <w:t>按照“深化北疆东疆，加快南疆勘查”的总体思路，开展重点成矿区带地质调查和矿产勘查，做好矿产资源开发利用储备。贯彻新发展理念，建设绿色矿山，实现可持续发展。</w:t>
                  </w:r>
                </w:p>
              </w:tc>
              <w:tc>
                <w:tcPr>
                  <w:tcW w:w="1358" w:type="pct"/>
                  <w:tcBorders>
                    <w:tl2br w:val="nil"/>
                    <w:tr2bl w:val="nil"/>
                  </w:tcBorders>
                  <w:noWrap w:val="0"/>
                  <w:vAlign w:val="center"/>
                </w:tcPr>
                <w:p w14:paraId="18F445AD">
                  <w:pPr>
                    <w:keepNext w:val="0"/>
                    <w:keepLines w:val="0"/>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2"/>
                      <w:lang w:eastAsia="zh-CN"/>
                    </w:rPr>
                  </w:pPr>
                  <w:r>
                    <w:rPr>
                      <w:rFonts w:hint="eastAsia" w:ascii="Times New Roman" w:hAnsi="Times New Roman" w:eastAsia="宋体" w:cs="Times New Roman"/>
                      <w:color w:val="auto"/>
                      <w:sz w:val="21"/>
                      <w:szCs w:val="22"/>
                      <w:lang w:eastAsia="zh-CN"/>
                    </w:rPr>
                    <w:t>本项目为固体矿产地质勘查，</w:t>
                  </w:r>
                  <w:r>
                    <w:rPr>
                      <w:rFonts w:hint="eastAsia" w:ascii="Times New Roman" w:hAnsi="Times New Roman" w:eastAsia="宋体" w:cs="Times New Roman"/>
                      <w:color w:val="auto"/>
                      <w:sz w:val="21"/>
                      <w:szCs w:val="22"/>
                      <w:lang w:val="en-US" w:eastAsia="zh-CN"/>
                    </w:rPr>
                    <w:t>推动</w:t>
                  </w:r>
                  <w:r>
                    <w:rPr>
                      <w:rFonts w:hint="eastAsia" w:ascii="Times New Roman" w:hAnsi="Times New Roman" w:cs="Times New Roman"/>
                      <w:color w:val="000000"/>
                      <w:sz w:val="21"/>
                      <w:szCs w:val="22"/>
                    </w:rPr>
                    <w:t>矿产资源开发利用</w:t>
                  </w:r>
                  <w:r>
                    <w:rPr>
                      <w:rFonts w:hint="eastAsia" w:ascii="Times New Roman" w:hAnsi="Times New Roman" w:cs="Times New Roman"/>
                      <w:color w:val="000000"/>
                      <w:sz w:val="21"/>
                      <w:szCs w:val="22"/>
                      <w:lang w:eastAsia="zh-CN"/>
                    </w:rPr>
                    <w:t>，</w:t>
                  </w:r>
                  <w:r>
                    <w:rPr>
                      <w:rFonts w:hint="eastAsia" w:ascii="Times New Roman" w:hAnsi="Times New Roman" w:eastAsia="宋体" w:cs="Times New Roman"/>
                      <w:color w:val="auto"/>
                      <w:sz w:val="21"/>
                      <w:szCs w:val="22"/>
                      <w:lang w:eastAsia="zh-CN"/>
                    </w:rPr>
                    <w:t>在严格落实各项污染防治措施的前提下，项目建设对环境影响较小</w:t>
                  </w:r>
                </w:p>
              </w:tc>
              <w:tc>
                <w:tcPr>
                  <w:tcW w:w="571" w:type="pct"/>
                  <w:tcBorders>
                    <w:tl2br w:val="nil"/>
                    <w:tr2bl w:val="nil"/>
                  </w:tcBorders>
                  <w:noWrap w:val="0"/>
                  <w:vAlign w:val="center"/>
                </w:tcPr>
                <w:p w14:paraId="09E58C01">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符合</w:t>
                  </w:r>
                </w:p>
              </w:tc>
            </w:tr>
            <w:tr w14:paraId="6FE20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024" w:type="dxa"/>
                  <w:tcBorders>
                    <w:tl2br w:val="nil"/>
                    <w:tr2bl w:val="nil"/>
                  </w:tcBorders>
                  <w:noWrap w:val="0"/>
                  <w:vAlign w:val="center"/>
                </w:tcPr>
                <w:p w14:paraId="05C0DBE5">
                  <w:pPr>
                    <w:keepNext w:val="0"/>
                    <w:keepLines w:val="0"/>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sz w:val="21"/>
                      <w:szCs w:val="22"/>
                      <w:lang w:eastAsia="zh-CN"/>
                    </w:rPr>
                  </w:pPr>
                  <w:r>
                    <w:rPr>
                      <w:rFonts w:hint="eastAsia" w:ascii="Times New Roman" w:hAnsi="Times New Roman" w:eastAsia="宋体" w:cs="Times New Roman"/>
                      <w:color w:val="auto"/>
                      <w:sz w:val="21"/>
                      <w:szCs w:val="22"/>
                      <w:highlight w:val="none"/>
                      <w:lang w:eastAsia="zh-CN"/>
                    </w:rPr>
                    <w:t>《巴音郭楞蒙古自治州国民经济和社会发展第十五个五年规划纲要》（州发展和改革委员会2026年7月22日）</w:t>
                  </w:r>
                </w:p>
              </w:tc>
              <w:tc>
                <w:tcPr>
                  <w:tcW w:w="3167" w:type="dxa"/>
                  <w:tcBorders>
                    <w:tl2br w:val="nil"/>
                    <w:tr2bl w:val="nil"/>
                  </w:tcBorders>
                  <w:noWrap w:val="0"/>
                  <w:vAlign w:val="center"/>
                </w:tcPr>
                <w:p w14:paraId="0C785710">
                  <w:pPr>
                    <w:keepNext w:val="0"/>
                    <w:keepLines w:val="0"/>
                    <w:suppressLineNumbers w:val="0"/>
                    <w:spacing w:before="0" w:beforeAutospacing="0" w:after="0" w:afterAutospacing="0" w:line="240" w:lineRule="auto"/>
                    <w:ind w:left="0" w:leftChars="0" w:right="0" w:rightChars="0" w:firstLine="0" w:firstLineChars="0"/>
                    <w:jc w:val="both"/>
                    <w:textAlignment w:val="center"/>
                    <w:rPr>
                      <w:rFonts w:hint="default" w:ascii="Times New Roman" w:hAnsi="Times New Roman" w:cs="Times New Roman"/>
                      <w:color w:val="auto"/>
                      <w:sz w:val="21"/>
                      <w:szCs w:val="22"/>
                    </w:rPr>
                  </w:pPr>
                  <w:r>
                    <w:rPr>
                      <w:rFonts w:hint="default" w:ascii="Times New Roman" w:hAnsi="Times New Roman" w:cs="Times New Roman"/>
                      <w:color w:val="auto"/>
                      <w:sz w:val="21"/>
                      <w:szCs w:val="22"/>
                      <w:highlight w:val="none"/>
                    </w:rPr>
                    <w:t>推动矿产资源开发和精深加工。加大锂、金、铜、铁、萤石、钨锡、铅锌、镍钴等战略性矿产资源勘查开发和综合利用，持续整治</w:t>
                  </w:r>
                  <w:r>
                    <w:rPr>
                      <w:rFonts w:hint="eastAsia" w:cs="Times New Roman"/>
                      <w:color w:val="auto"/>
                      <w:sz w:val="21"/>
                      <w:szCs w:val="22"/>
                      <w:highlight w:val="none"/>
                      <w:lang w:eastAsia="zh-CN"/>
                    </w:rPr>
                    <w:t>“</w:t>
                  </w:r>
                  <w:r>
                    <w:rPr>
                      <w:rFonts w:hint="default" w:ascii="Times New Roman" w:hAnsi="Times New Roman" w:cs="Times New Roman"/>
                      <w:color w:val="auto"/>
                      <w:sz w:val="21"/>
                      <w:szCs w:val="22"/>
                      <w:highlight w:val="none"/>
                    </w:rPr>
                    <w:t>圈而不探</w:t>
                  </w:r>
                  <w:r>
                    <w:rPr>
                      <w:rFonts w:hint="eastAsia" w:cs="Times New Roman"/>
                      <w:color w:val="auto"/>
                      <w:sz w:val="21"/>
                      <w:szCs w:val="22"/>
                      <w:highlight w:val="none"/>
                      <w:lang w:eastAsia="zh-CN"/>
                    </w:rPr>
                    <w:t>”“</w:t>
                  </w:r>
                  <w:r>
                    <w:rPr>
                      <w:rFonts w:hint="default" w:ascii="Times New Roman" w:hAnsi="Times New Roman" w:cs="Times New Roman"/>
                      <w:color w:val="auto"/>
                      <w:sz w:val="21"/>
                      <w:szCs w:val="22"/>
                      <w:highlight w:val="none"/>
                    </w:rPr>
                    <w:t>探而不采</w:t>
                  </w:r>
                  <w:r>
                    <w:rPr>
                      <w:rFonts w:hint="eastAsia" w:cs="Times New Roman"/>
                      <w:color w:val="auto"/>
                      <w:sz w:val="21"/>
                      <w:szCs w:val="22"/>
                      <w:highlight w:val="none"/>
                      <w:lang w:eastAsia="zh-CN"/>
                    </w:rPr>
                    <w:t>”</w:t>
                  </w:r>
                  <w:r>
                    <w:rPr>
                      <w:rFonts w:hint="default" w:ascii="Times New Roman" w:hAnsi="Times New Roman" w:cs="Times New Roman"/>
                      <w:color w:val="auto"/>
                      <w:sz w:val="21"/>
                      <w:szCs w:val="22"/>
                      <w:highlight w:val="none"/>
                    </w:rPr>
                    <w:t>行为，加快矿产资源</w:t>
                  </w:r>
                  <w:r>
                    <w:rPr>
                      <w:rFonts w:hint="eastAsia" w:cs="Times New Roman"/>
                      <w:color w:val="auto"/>
                      <w:sz w:val="21"/>
                      <w:szCs w:val="22"/>
                      <w:highlight w:val="none"/>
                      <w:lang w:eastAsia="zh-CN"/>
                    </w:rPr>
                    <w:t>“</w:t>
                  </w:r>
                  <w:r>
                    <w:rPr>
                      <w:rFonts w:hint="default" w:ascii="Times New Roman" w:hAnsi="Times New Roman" w:cs="Times New Roman"/>
                      <w:color w:val="auto"/>
                      <w:sz w:val="21"/>
                      <w:szCs w:val="22"/>
                      <w:highlight w:val="none"/>
                    </w:rPr>
                    <w:t>探转采</w:t>
                  </w:r>
                  <w:r>
                    <w:rPr>
                      <w:rFonts w:hint="eastAsia" w:cs="Times New Roman"/>
                      <w:color w:val="auto"/>
                      <w:sz w:val="21"/>
                      <w:szCs w:val="22"/>
                      <w:highlight w:val="none"/>
                      <w:lang w:eastAsia="zh-CN"/>
                    </w:rPr>
                    <w:t>”</w:t>
                  </w:r>
                  <w:r>
                    <w:rPr>
                      <w:rFonts w:hint="default" w:ascii="Times New Roman" w:hAnsi="Times New Roman" w:cs="Times New Roman"/>
                      <w:color w:val="auto"/>
                      <w:sz w:val="21"/>
                      <w:szCs w:val="22"/>
                      <w:highlight w:val="none"/>
                    </w:rPr>
                    <w:t>步伐。加大若羌、且末、和静、和硕等区域矿产开发力度，加快推进金矿、锂矿、钨锡矿、铅锌矿、铜矿等重点矿山建设。</w:t>
                  </w:r>
                </w:p>
              </w:tc>
              <w:tc>
                <w:tcPr>
                  <w:tcW w:w="2297" w:type="dxa"/>
                  <w:tcBorders>
                    <w:tl2br w:val="nil"/>
                    <w:tr2bl w:val="nil"/>
                  </w:tcBorders>
                  <w:noWrap w:val="0"/>
                  <w:vAlign w:val="center"/>
                </w:tcPr>
                <w:p w14:paraId="2DAB47FD">
                  <w:pPr>
                    <w:keepNext w:val="0"/>
                    <w:keepLines w:val="0"/>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auto"/>
                      <w:sz w:val="21"/>
                      <w:szCs w:val="22"/>
                      <w:lang w:eastAsia="zh-CN"/>
                    </w:rPr>
                  </w:pPr>
                  <w:r>
                    <w:rPr>
                      <w:rFonts w:hint="eastAsia" w:ascii="Times New Roman" w:hAnsi="Times New Roman" w:eastAsia="宋体" w:cs="Times New Roman"/>
                      <w:color w:val="auto"/>
                      <w:sz w:val="21"/>
                      <w:szCs w:val="22"/>
                      <w:highlight w:val="none"/>
                      <w:lang w:eastAsia="zh-CN"/>
                    </w:rPr>
                    <w:t>本项目为固体矿产地质勘查，勘查矿种为镍，项目建设能够推动矿产资源开发利用，</w:t>
                  </w:r>
                  <w:r>
                    <w:rPr>
                      <w:rFonts w:hint="eastAsia"/>
                      <w:color w:val="000000"/>
                      <w:sz w:val="21"/>
                      <w:szCs w:val="22"/>
                      <w:lang w:eastAsia="zh-CN"/>
                    </w:rPr>
                    <w:t>采取洒水降尘措施后能减少粉尘的排放；对柴油发电机及运输车辆定期维护保养，使用</w:t>
                  </w:r>
                  <w:r>
                    <w:rPr>
                      <w:rFonts w:hint="eastAsia"/>
                      <w:color w:val="000000"/>
                      <w:sz w:val="21"/>
                      <w:szCs w:val="22"/>
                      <w:lang w:val="en-US" w:eastAsia="zh-CN"/>
                    </w:rPr>
                    <w:t>合格</w:t>
                  </w:r>
                  <w:r>
                    <w:rPr>
                      <w:rFonts w:hint="eastAsia"/>
                      <w:color w:val="000000"/>
                      <w:sz w:val="21"/>
                      <w:szCs w:val="22"/>
                      <w:lang w:eastAsia="zh-CN"/>
                    </w:rPr>
                    <w:t>燃油，减少尾气排放；</w:t>
                  </w:r>
                  <w:r>
                    <w:rPr>
                      <w:rFonts w:hint="eastAsia" w:ascii="Times New Roman" w:hAnsi="Times New Roman" w:eastAsia="宋体" w:cs="Times New Roman"/>
                      <w:color w:val="auto"/>
                      <w:sz w:val="21"/>
                      <w:szCs w:val="21"/>
                      <w:highlight w:val="none"/>
                      <w:lang w:eastAsia="zh-CN"/>
                    </w:rPr>
                    <w:t>生活污水进入一体化处理设施，处理后用于草地灌溉</w:t>
                  </w:r>
                  <w:r>
                    <w:rPr>
                      <w:rFonts w:hint="eastAsia"/>
                      <w:color w:val="000000"/>
                      <w:sz w:val="21"/>
                      <w:szCs w:val="22"/>
                      <w:lang w:eastAsia="zh-CN"/>
                    </w:rPr>
                    <w:t>；</w:t>
                  </w:r>
                  <w:r>
                    <w:rPr>
                      <w:rFonts w:hint="eastAsia"/>
                      <w:color w:val="000000"/>
                      <w:sz w:val="21"/>
                      <w:szCs w:val="22"/>
                      <w:lang w:val="en-US" w:eastAsia="zh-CN"/>
                    </w:rPr>
                    <w:t>采取措施后</w:t>
                  </w:r>
                  <w:r>
                    <w:rPr>
                      <w:rFonts w:hint="eastAsia" w:eastAsia="宋体"/>
                      <w:color w:val="auto"/>
                      <w:sz w:val="21"/>
                      <w:szCs w:val="22"/>
                      <w:lang w:eastAsia="zh-CN"/>
                    </w:rPr>
                    <w:t>项目建设对环境影响较小</w:t>
                  </w:r>
                </w:p>
              </w:tc>
              <w:tc>
                <w:tcPr>
                  <w:tcW w:w="967" w:type="dxa"/>
                  <w:tcBorders>
                    <w:tl2br w:val="nil"/>
                    <w:tr2bl w:val="nil"/>
                  </w:tcBorders>
                  <w:noWrap w:val="0"/>
                  <w:vAlign w:val="center"/>
                </w:tcPr>
                <w:p w14:paraId="381DEAB0">
                  <w:pPr>
                    <w:keepNext w:val="0"/>
                    <w:keepLines w:val="0"/>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highlight w:val="none"/>
                    </w:rPr>
                    <w:t>符合</w:t>
                  </w:r>
                </w:p>
              </w:tc>
            </w:tr>
            <w:tr w14:paraId="69A49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4D02F909">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highlight w:val="none"/>
                      <w:lang w:eastAsia="zh-CN"/>
                    </w:rPr>
                  </w:pPr>
                  <w:r>
                    <w:rPr>
                      <w:rFonts w:hint="eastAsia" w:ascii="Times New Roman" w:hAnsi="Times New Roman" w:cs="Times New Roman"/>
                      <w:color w:val="auto"/>
                      <w:sz w:val="21"/>
                      <w:szCs w:val="22"/>
                      <w:highlight w:val="none"/>
                      <w:lang w:val="en-US" w:eastAsia="zh-CN"/>
                    </w:rPr>
                    <w:t>《和静</w:t>
                  </w:r>
                  <w:r>
                    <w:rPr>
                      <w:rFonts w:hint="eastAsia" w:ascii="Times New Roman" w:hAnsi="Times New Roman" w:cs="Times New Roman"/>
                      <w:color w:val="auto"/>
                      <w:sz w:val="21"/>
                      <w:szCs w:val="22"/>
                      <w:highlight w:val="none"/>
                    </w:rPr>
                    <w:t>县国民经济和社会发展第十四个五年规划和</w:t>
                  </w:r>
                  <w:r>
                    <w:rPr>
                      <w:rFonts w:hint="default" w:ascii="Times New Roman" w:hAnsi="Times New Roman" w:cs="Times New Roman"/>
                      <w:color w:val="auto"/>
                      <w:sz w:val="21"/>
                      <w:szCs w:val="22"/>
                      <w:highlight w:val="none"/>
                    </w:rPr>
                    <w:t>2035</w:t>
                  </w:r>
                  <w:r>
                    <w:rPr>
                      <w:rFonts w:hint="eastAsia" w:ascii="Times New Roman" w:hAnsi="Times New Roman" w:cs="Times New Roman"/>
                      <w:color w:val="auto"/>
                      <w:sz w:val="21"/>
                      <w:szCs w:val="22"/>
                      <w:highlight w:val="none"/>
                    </w:rPr>
                    <w:t>年远景目标</w:t>
                  </w:r>
                  <w:r>
                    <w:rPr>
                      <w:rFonts w:hint="eastAsia" w:ascii="Times New Roman" w:hAnsi="Times New Roman" w:cs="Times New Roman"/>
                      <w:color w:val="auto"/>
                      <w:sz w:val="21"/>
                      <w:szCs w:val="22"/>
                      <w:highlight w:val="none"/>
                      <w:lang w:eastAsia="zh-CN"/>
                    </w:rPr>
                    <w:t>》</w:t>
                  </w:r>
                </w:p>
              </w:tc>
              <w:tc>
                <w:tcPr>
                  <w:tcW w:w="1872" w:type="pct"/>
                  <w:tcBorders>
                    <w:tl2br w:val="nil"/>
                    <w:tr2bl w:val="nil"/>
                  </w:tcBorders>
                  <w:noWrap w:val="0"/>
                  <w:vAlign w:val="center"/>
                </w:tcPr>
                <w:p w14:paraId="618EACD0">
                  <w:pPr>
                    <w:keepNext w:val="0"/>
                    <w:keepLines w:val="0"/>
                    <w:suppressLineNumbers w:val="0"/>
                    <w:spacing w:before="0" w:beforeAutospacing="0" w:after="0" w:afterAutospacing="0" w:line="240" w:lineRule="auto"/>
                    <w:ind w:left="0" w:right="0" w:firstLine="0" w:firstLineChars="0"/>
                    <w:jc w:val="both"/>
                    <w:textAlignment w:val="center"/>
                    <w:rPr>
                      <w:rFonts w:hint="default" w:ascii="Times New Roman" w:hAnsi="Times New Roman" w:cs="Times New Roman"/>
                      <w:color w:val="auto"/>
                      <w:sz w:val="21"/>
                      <w:szCs w:val="22"/>
                      <w:highlight w:val="none"/>
                    </w:rPr>
                  </w:pPr>
                  <w:r>
                    <w:rPr>
                      <w:rFonts w:hint="eastAsia" w:ascii="Times New Roman" w:hAnsi="Times New Roman" w:cs="Times New Roman"/>
                      <w:color w:val="auto"/>
                      <w:sz w:val="21"/>
                      <w:szCs w:val="22"/>
                      <w:highlight w:val="none"/>
                    </w:rPr>
                    <w:t>加大优势矿产资源勘探开发力度。充分发挥矿产资源富集优势，提升优势矿产资源绿色勘探开发水平，加大整装勘查力度，继续加快西天山阿吾拉勒国家级整装勘查区、艾尔宾山北缘铜铅锌多金属勘查区的勘探开发步伐，以铁、菱镁、铅、锌、金等有色金属和石灰岩等非金属为重点，全力推进矿山二期项目，启动察汗乌苏铁矿建设，加快哈勒哈特菱镁矿开发综合应用项目建设，积极引进先进生产技术，不断延伸矿产资源深加工产品附加值，力争“十四五”末形成千万吨铁精粉产能，建成全国重要、新疆最大的铁精粉生产基地。积极推进绿色矿山建设，促进矿产资源高效利用，提高矿产资源开采回采率、选矿回收率和综合利用率。</w:t>
                  </w:r>
                </w:p>
              </w:tc>
              <w:tc>
                <w:tcPr>
                  <w:tcW w:w="1358" w:type="pct"/>
                  <w:tcBorders>
                    <w:tl2br w:val="nil"/>
                    <w:tr2bl w:val="nil"/>
                  </w:tcBorders>
                  <w:noWrap w:val="0"/>
                  <w:vAlign w:val="center"/>
                </w:tcPr>
                <w:p w14:paraId="4939214C">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highlight w:val="none"/>
                      <w:lang w:eastAsia="zh-CN"/>
                    </w:rPr>
                  </w:pPr>
                  <w:r>
                    <w:rPr>
                      <w:rFonts w:hint="eastAsia" w:ascii="Times New Roman" w:hAnsi="Times New Roman" w:eastAsia="宋体" w:cs="Times New Roman"/>
                      <w:color w:val="auto"/>
                      <w:sz w:val="21"/>
                      <w:szCs w:val="22"/>
                      <w:highlight w:val="none"/>
                      <w:lang w:eastAsia="zh-CN"/>
                    </w:rPr>
                    <w:t>本项目主要为固体矿产地质勘查</w:t>
                  </w:r>
                  <w:r>
                    <w:rPr>
                      <w:rFonts w:hint="eastAsia" w:ascii="Times New Roman" w:hAnsi="Times New Roman" w:eastAsia="宋体" w:cs="Times New Roman"/>
                      <w:color w:val="auto"/>
                      <w:sz w:val="21"/>
                      <w:szCs w:val="22"/>
                      <w:highlight w:val="none"/>
                      <w:lang w:val="en-US" w:eastAsia="zh-CN"/>
                    </w:rPr>
                    <w:t>中的</w:t>
                  </w:r>
                  <w:r>
                    <w:rPr>
                      <w:rFonts w:hint="eastAsia" w:ascii="Times New Roman" w:hAnsi="Times New Roman" w:cs="Times New Roman"/>
                      <w:color w:val="auto"/>
                      <w:sz w:val="21"/>
                      <w:szCs w:val="22"/>
                    </w:rPr>
                    <w:t>镍矿</w:t>
                  </w:r>
                  <w:r>
                    <w:rPr>
                      <w:rFonts w:hint="eastAsia" w:ascii="Times New Roman" w:hAnsi="Times New Roman" w:eastAsia="宋体" w:cs="Times New Roman"/>
                      <w:color w:val="auto"/>
                      <w:sz w:val="21"/>
                      <w:szCs w:val="22"/>
                      <w:highlight w:val="none"/>
                      <w:lang w:val="en-US" w:eastAsia="zh-CN"/>
                    </w:rPr>
                    <w:t>地质勘查</w:t>
                  </w:r>
                  <w:r>
                    <w:rPr>
                      <w:rFonts w:hint="eastAsia" w:ascii="Times New Roman" w:hAnsi="Times New Roman" w:eastAsia="宋体" w:cs="Times New Roman"/>
                      <w:color w:val="auto"/>
                      <w:sz w:val="21"/>
                      <w:szCs w:val="22"/>
                      <w:highlight w:val="none"/>
                      <w:lang w:eastAsia="zh-CN"/>
                    </w:rPr>
                    <w:t>，位于规划的“两环八带十个勘查开发区”中西天山能源矿产、黑色及贵金属勘查开发区，属于重点勘查矿种，促进矿产资源高效利用</w:t>
                  </w:r>
                  <w:r>
                    <w:rPr>
                      <w:rFonts w:hint="eastAsia" w:ascii="Times New Roman" w:hAnsi="Times New Roman" w:eastAsia="宋体" w:cs="Times New Roman"/>
                      <w:color w:val="auto"/>
                      <w:sz w:val="21"/>
                      <w:szCs w:val="22"/>
                      <w:highlight w:val="none"/>
                      <w:lang w:val="en-US" w:eastAsia="zh-CN"/>
                    </w:rPr>
                    <w:t>发展</w:t>
                  </w:r>
                </w:p>
              </w:tc>
              <w:tc>
                <w:tcPr>
                  <w:tcW w:w="571" w:type="pct"/>
                  <w:tcBorders>
                    <w:tl2br w:val="nil"/>
                    <w:tr2bl w:val="nil"/>
                  </w:tcBorders>
                  <w:noWrap w:val="0"/>
                  <w:vAlign w:val="center"/>
                </w:tcPr>
                <w:p w14:paraId="2D7CADD2">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highlight w:val="none"/>
                    </w:rPr>
                  </w:pPr>
                  <w:r>
                    <w:rPr>
                      <w:rFonts w:hint="eastAsia" w:ascii="Times New Roman" w:hAnsi="Times New Roman" w:cs="Times New Roman"/>
                      <w:color w:val="auto"/>
                      <w:sz w:val="21"/>
                      <w:szCs w:val="22"/>
                      <w:highlight w:val="none"/>
                    </w:rPr>
                    <w:t>符合</w:t>
                  </w:r>
                </w:p>
              </w:tc>
            </w:tr>
            <w:tr w14:paraId="256A5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076E1BF0">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rPr>
                    <w:t>新疆生态环境保护</w:t>
                  </w: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rPr>
                    <w:t>十四五</w:t>
                  </w: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rPr>
                    <w:t>规划</w:t>
                  </w:r>
                  <w:r>
                    <w:rPr>
                      <w:rFonts w:hint="eastAsia" w:ascii="Times New Roman" w:hAnsi="Times New Roman" w:cs="Times New Roman"/>
                      <w:color w:val="auto"/>
                      <w:sz w:val="21"/>
                      <w:szCs w:val="22"/>
                      <w:lang w:eastAsia="zh-CN"/>
                    </w:rPr>
                    <w:t>》（2021年12月24日）</w:t>
                  </w:r>
                </w:p>
              </w:tc>
              <w:tc>
                <w:tcPr>
                  <w:tcW w:w="1872" w:type="pct"/>
                  <w:tcBorders>
                    <w:tl2br w:val="nil"/>
                    <w:tr2bl w:val="nil"/>
                  </w:tcBorders>
                  <w:noWrap w:val="0"/>
                  <w:vAlign w:val="center"/>
                </w:tcPr>
                <w:p w14:paraId="6FCED034">
                  <w:pPr>
                    <w:keepNext w:val="0"/>
                    <w:keepLines w:val="0"/>
                    <w:suppressLineNumbers w:val="0"/>
                    <w:spacing w:before="0" w:beforeAutospacing="0" w:after="0" w:afterAutospacing="0" w:line="240" w:lineRule="auto"/>
                    <w:ind w:left="0" w:right="0" w:firstLine="0" w:firstLineChars="0"/>
                    <w:jc w:val="both"/>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坚持高质量发展与严格环境准入标准相结合，坚持淘汰落后与鼓励先进相结合，支持产业发展向产业链中下游、价值链中高端迈进，坚持推进产业结构优化调整。全力推动节能环保产业发展，引导产业向绿色生产、清洁生产、循环生产转变，加快推进产业转型升级</w:t>
                  </w:r>
                </w:p>
              </w:tc>
              <w:tc>
                <w:tcPr>
                  <w:tcW w:w="1358" w:type="pct"/>
                  <w:tcBorders>
                    <w:tl2br w:val="nil"/>
                    <w:tr2bl w:val="nil"/>
                  </w:tcBorders>
                  <w:noWrap w:val="0"/>
                  <w:vAlign w:val="center"/>
                </w:tcPr>
                <w:p w14:paraId="3DF19F88">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rPr>
                    <w:t>本项目主要为固体矿产地质勘查，在严格落实各项污染防治措施的前提下，项目建设对环境影响较小</w:t>
                  </w:r>
                </w:p>
              </w:tc>
              <w:tc>
                <w:tcPr>
                  <w:tcW w:w="571" w:type="pct"/>
                  <w:tcBorders>
                    <w:tl2br w:val="nil"/>
                    <w:tr2bl w:val="nil"/>
                  </w:tcBorders>
                  <w:noWrap w:val="0"/>
                  <w:vAlign w:val="center"/>
                </w:tcPr>
                <w:p w14:paraId="219294EE">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符合</w:t>
                  </w:r>
                </w:p>
              </w:tc>
            </w:tr>
            <w:tr w14:paraId="3243E8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4CEDC1D3">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cs="Times New Roman"/>
                      <w:color w:val="auto"/>
                      <w:sz w:val="21"/>
                      <w:szCs w:val="22"/>
                      <w:lang w:eastAsia="zh-CN"/>
                    </w:rPr>
                  </w:pPr>
                  <w:r>
                    <w:rPr>
                      <w:rFonts w:hint="eastAsia" w:ascii="Times New Roman" w:hAnsi="Times New Roman" w:cs="Times New Roman"/>
                      <w:color w:val="auto"/>
                      <w:sz w:val="21"/>
                      <w:szCs w:val="22"/>
                      <w:lang w:eastAsia="zh-CN"/>
                    </w:rPr>
                    <w:t>《巴音郭楞蒙古自治州生态环境“十四五”规划》（2025</w:t>
                  </w:r>
                  <w:r>
                    <w:rPr>
                      <w:rFonts w:hint="eastAsia" w:ascii="Times New Roman" w:hAnsi="Times New Roman" w:cs="Times New Roman"/>
                      <w:color w:val="auto"/>
                      <w:sz w:val="21"/>
                      <w:szCs w:val="22"/>
                      <w:lang w:val="en-US" w:eastAsia="zh-CN"/>
                    </w:rPr>
                    <w:t>年</w:t>
                  </w:r>
                  <w:r>
                    <w:rPr>
                      <w:rFonts w:hint="eastAsia" w:ascii="Times New Roman" w:hAnsi="Times New Roman" w:cs="Times New Roman"/>
                      <w:color w:val="auto"/>
                      <w:sz w:val="21"/>
                      <w:szCs w:val="22"/>
                      <w:lang w:eastAsia="zh-CN"/>
                    </w:rPr>
                    <w:t>4</w:t>
                  </w:r>
                  <w:r>
                    <w:rPr>
                      <w:rFonts w:hint="eastAsia" w:ascii="Times New Roman" w:hAnsi="Times New Roman" w:cs="Times New Roman"/>
                      <w:color w:val="auto"/>
                      <w:sz w:val="21"/>
                      <w:szCs w:val="22"/>
                      <w:lang w:val="en-US" w:eastAsia="zh-CN"/>
                    </w:rPr>
                    <w:t>月</w:t>
                  </w:r>
                  <w:r>
                    <w:rPr>
                      <w:rFonts w:hint="eastAsia" w:ascii="Times New Roman" w:hAnsi="Times New Roman" w:cs="Times New Roman"/>
                      <w:color w:val="auto"/>
                      <w:sz w:val="21"/>
                      <w:szCs w:val="22"/>
                      <w:lang w:eastAsia="zh-CN"/>
                    </w:rPr>
                    <w:t>18</w:t>
                  </w:r>
                  <w:r>
                    <w:rPr>
                      <w:rFonts w:hint="eastAsia" w:ascii="Times New Roman" w:hAnsi="Times New Roman" w:cs="Times New Roman"/>
                      <w:color w:val="auto"/>
                      <w:sz w:val="21"/>
                      <w:szCs w:val="22"/>
                      <w:lang w:val="en-US" w:eastAsia="zh-CN"/>
                    </w:rPr>
                    <w:t>日</w:t>
                  </w:r>
                  <w:r>
                    <w:rPr>
                      <w:rFonts w:hint="eastAsia" w:ascii="Times New Roman" w:hAnsi="Times New Roman" w:cs="Times New Roman"/>
                      <w:color w:val="auto"/>
                      <w:sz w:val="21"/>
                      <w:szCs w:val="22"/>
                      <w:lang w:eastAsia="zh-CN"/>
                    </w:rPr>
                    <w:t>）</w:t>
                  </w:r>
                </w:p>
              </w:tc>
              <w:tc>
                <w:tcPr>
                  <w:tcW w:w="1872" w:type="pct"/>
                  <w:tcBorders>
                    <w:tl2br w:val="nil"/>
                    <w:tr2bl w:val="nil"/>
                  </w:tcBorders>
                  <w:noWrap w:val="0"/>
                  <w:vAlign w:val="center"/>
                </w:tcPr>
                <w:p w14:paraId="65C20B58">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cs="Times New Roman"/>
                      <w:color w:val="auto"/>
                      <w:sz w:val="21"/>
                      <w:szCs w:val="22"/>
                    </w:rPr>
                  </w:pPr>
                  <w:r>
                    <w:rPr>
                      <w:rFonts w:hint="eastAsia" w:ascii="Times New Roman" w:hAnsi="Times New Roman" w:cs="Times New Roman"/>
                      <w:color w:val="auto"/>
                      <w:sz w:val="21"/>
                      <w:szCs w:val="22"/>
                    </w:rPr>
                    <w:t>坚持绿水青山就是金山银山、冰天雪地也是金山银山的理念，坚持山水林田湖草沙系统治理，坚持人与自然和谐共生，协同推进经济高质量发展和生态环境高水平保护，突出精准治污、科学治污、依法治污，深入打好污染防治攻坚战，落实减污降碳总要求，着力推进碳达峰行动，加快推动绿色低碳发展，加强生物多样性保护，推进生态环境治理体系和治理能力现代化</w:t>
                  </w:r>
                </w:p>
              </w:tc>
              <w:tc>
                <w:tcPr>
                  <w:tcW w:w="1358" w:type="pct"/>
                  <w:tcBorders>
                    <w:tl2br w:val="nil"/>
                    <w:tr2bl w:val="nil"/>
                  </w:tcBorders>
                  <w:noWrap w:val="0"/>
                  <w:vAlign w:val="center"/>
                </w:tcPr>
                <w:p w14:paraId="1D084264">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cs="Times New Roman"/>
                      <w:color w:val="auto"/>
                      <w:sz w:val="21"/>
                      <w:szCs w:val="22"/>
                    </w:rPr>
                  </w:pPr>
                  <w:r>
                    <w:rPr>
                      <w:rFonts w:hint="eastAsia" w:ascii="Times New Roman" w:hAnsi="Times New Roman" w:cs="Times New Roman"/>
                      <w:color w:val="auto"/>
                      <w:sz w:val="21"/>
                      <w:szCs w:val="22"/>
                    </w:rPr>
                    <w:t>本项目为镍矿地质勘查，工作体量较小，在严格落实各项污染防治措施的前提下，项目建设对环境影响较小</w:t>
                  </w:r>
                </w:p>
              </w:tc>
              <w:tc>
                <w:tcPr>
                  <w:tcW w:w="571" w:type="pct"/>
                  <w:tcBorders>
                    <w:tl2br w:val="nil"/>
                    <w:tr2bl w:val="nil"/>
                  </w:tcBorders>
                  <w:noWrap w:val="0"/>
                  <w:vAlign w:val="center"/>
                </w:tcPr>
                <w:p w14:paraId="2AF851D1">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2"/>
                      <w:lang w:val="en-US" w:eastAsia="zh-CN"/>
                    </w:rPr>
                  </w:pPr>
                  <w:r>
                    <w:rPr>
                      <w:rFonts w:hint="eastAsia" w:ascii="Times New Roman" w:hAnsi="Times New Roman" w:cs="Times New Roman"/>
                      <w:color w:val="auto"/>
                      <w:sz w:val="21"/>
                      <w:szCs w:val="22"/>
                      <w:lang w:val="en-US" w:eastAsia="zh-CN"/>
                    </w:rPr>
                    <w:t>符合</w:t>
                  </w:r>
                </w:p>
              </w:tc>
            </w:tr>
            <w:tr w14:paraId="18841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59F9AE0B">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rPr>
                    <w:t>新疆维吾尔自治区环境保护条例</w:t>
                  </w:r>
                  <w:r>
                    <w:rPr>
                      <w:rFonts w:hint="eastAsia" w:ascii="Times New Roman" w:hAnsi="Times New Roman" w:cs="Times New Roman"/>
                      <w:color w:val="auto"/>
                      <w:sz w:val="21"/>
                      <w:szCs w:val="22"/>
                      <w:lang w:eastAsia="zh-CN"/>
                    </w:rPr>
                    <w:t>》（2018年9月21日）</w:t>
                  </w:r>
                </w:p>
              </w:tc>
              <w:tc>
                <w:tcPr>
                  <w:tcW w:w="1872" w:type="pct"/>
                  <w:tcBorders>
                    <w:tl2br w:val="nil"/>
                    <w:tr2bl w:val="nil"/>
                  </w:tcBorders>
                  <w:noWrap w:val="0"/>
                  <w:vAlign w:val="center"/>
                </w:tcPr>
                <w:p w14:paraId="62F76E38">
                  <w:pPr>
                    <w:keepNext w:val="0"/>
                    <w:keepLines w:val="0"/>
                    <w:suppressLineNumbers w:val="0"/>
                    <w:spacing w:before="0" w:beforeAutospacing="0" w:after="0" w:afterAutospacing="0" w:line="240" w:lineRule="auto"/>
                    <w:ind w:left="0" w:right="0" w:firstLine="0" w:firstLineChars="0"/>
                    <w:jc w:val="both"/>
                    <w:textAlignment w:val="center"/>
                    <w:rPr>
                      <w:rFonts w:hint="default" w:ascii="Times New Roman" w:hAnsi="Times New Roman" w:cs="Times New Roman"/>
                      <w:color w:val="auto"/>
                      <w:sz w:val="21"/>
                      <w:szCs w:val="22"/>
                    </w:rPr>
                  </w:pPr>
                  <w:r>
                    <w:rPr>
                      <w:rFonts w:hint="eastAsia" w:ascii="Times New Roman" w:hAnsi="Times New Roman" w:cs="Times New Roman"/>
                      <w:color w:val="000000"/>
                      <w:sz w:val="21"/>
                      <w:szCs w:val="22"/>
                      <w:shd w:val="clear" w:color="auto" w:fill="FFFFFF"/>
                    </w:rPr>
                    <w:t>第四十七条矿产资源勘探、开发单位，应当对矿产资源勘探、开发产生的尾矿、煤矸石、粉煤灰、冶炼渣以及脱硫、脱硝、除尘等产生的固体废物的堆存场所进行整治，完善防扬散、防流失、防渗漏等设施</w:t>
                  </w:r>
                  <w:r>
                    <w:rPr>
                      <w:rFonts w:hint="eastAsia" w:ascii="Times New Roman" w:hAnsi="Times New Roman" w:cs="Times New Roman"/>
                      <w:color w:val="000000"/>
                      <w:sz w:val="21"/>
                      <w:szCs w:val="22"/>
                      <w:shd w:val="clear" w:color="auto" w:fill="FFFFFF"/>
                      <w:lang w:eastAsia="zh-CN"/>
                    </w:rPr>
                    <w:t>；</w:t>
                  </w:r>
                  <w:r>
                    <w:rPr>
                      <w:rFonts w:hint="eastAsia" w:ascii="Times New Roman" w:hAnsi="Times New Roman" w:cs="Times New Roman"/>
                      <w:color w:val="000000"/>
                      <w:sz w:val="21"/>
                      <w:szCs w:val="22"/>
                      <w:shd w:val="clear" w:color="auto" w:fill="FFFFFF"/>
                    </w:rPr>
                    <w:t>造成环境污染的，应当采取有效措施进行生态修复</w:t>
                  </w:r>
                </w:p>
              </w:tc>
              <w:tc>
                <w:tcPr>
                  <w:tcW w:w="1358" w:type="pct"/>
                  <w:tcBorders>
                    <w:tl2br w:val="nil"/>
                    <w:tr2bl w:val="nil"/>
                  </w:tcBorders>
                  <w:noWrap w:val="0"/>
                  <w:vAlign w:val="center"/>
                </w:tcPr>
                <w:p w14:paraId="6A164854">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rPr>
                    <w:t>本项目为镍矿地质勘查</w:t>
                  </w: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lang w:val="en-US" w:eastAsia="zh-CN"/>
                    </w:rPr>
                    <w:t>在项目勘察过程中不产生</w:t>
                  </w:r>
                  <w:r>
                    <w:rPr>
                      <w:rFonts w:hint="eastAsia" w:ascii="Times New Roman" w:hAnsi="Times New Roman" w:cs="Times New Roman"/>
                      <w:color w:val="000000"/>
                      <w:sz w:val="21"/>
                      <w:szCs w:val="22"/>
                      <w:shd w:val="clear" w:color="auto" w:fill="FFFFFF"/>
                    </w:rPr>
                    <w:t>尾矿、煤矸石、粉煤灰、冶炼渣以及脱硫、脱硝、除尘等产生的固体废物</w:t>
                  </w:r>
                </w:p>
              </w:tc>
              <w:tc>
                <w:tcPr>
                  <w:tcW w:w="571" w:type="pct"/>
                  <w:tcBorders>
                    <w:tl2br w:val="nil"/>
                    <w:tr2bl w:val="nil"/>
                  </w:tcBorders>
                  <w:noWrap w:val="0"/>
                  <w:vAlign w:val="center"/>
                </w:tcPr>
                <w:p w14:paraId="080E694E">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2"/>
                    </w:rPr>
                  </w:pPr>
                  <w:r>
                    <w:rPr>
                      <w:rFonts w:hint="eastAsia" w:ascii="Times New Roman" w:hAnsi="Times New Roman" w:cs="Times New Roman"/>
                      <w:color w:val="auto"/>
                      <w:sz w:val="21"/>
                      <w:szCs w:val="22"/>
                    </w:rPr>
                    <w:t>符合</w:t>
                  </w:r>
                </w:p>
              </w:tc>
            </w:tr>
            <w:tr w14:paraId="11C89A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332DB02D">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cs="Times New Roman"/>
                      <w:color w:val="auto"/>
                      <w:sz w:val="21"/>
                      <w:szCs w:val="22"/>
                      <w:lang w:eastAsia="zh-CN"/>
                    </w:rPr>
                  </w:pPr>
                  <w:r>
                    <w:rPr>
                      <w:rFonts w:hint="eastAsia" w:ascii="Times New Roman" w:hAnsi="Times New Roman" w:cs="Times New Roman"/>
                      <w:color w:val="auto"/>
                      <w:sz w:val="21"/>
                      <w:szCs w:val="22"/>
                      <w:lang w:eastAsia="zh-CN"/>
                    </w:rPr>
                    <w:t>《新疆维吾尔自治区大气污染防治条例》（2019年1月1日起施行）</w:t>
                  </w:r>
                </w:p>
              </w:tc>
              <w:tc>
                <w:tcPr>
                  <w:tcW w:w="1872" w:type="pct"/>
                  <w:tcBorders>
                    <w:tl2br w:val="nil"/>
                    <w:tr2bl w:val="nil"/>
                  </w:tcBorders>
                  <w:noWrap w:val="0"/>
                  <w:vAlign w:val="center"/>
                </w:tcPr>
                <w:p w14:paraId="4F4144C0">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cs="Times New Roman"/>
                      <w:color w:val="auto"/>
                      <w:sz w:val="21"/>
                      <w:szCs w:val="22"/>
                      <w:shd w:val="clear" w:color="auto" w:fill="FFFFFF"/>
                    </w:rPr>
                  </w:pPr>
                  <w:r>
                    <w:rPr>
                      <w:rFonts w:hint="eastAsia" w:ascii="Times New Roman" w:hAnsi="Times New Roman" w:cs="Times New Roman"/>
                      <w:color w:val="auto"/>
                      <w:sz w:val="21"/>
                      <w:szCs w:val="22"/>
                      <w:shd w:val="clear" w:color="auto" w:fill="FFFFFF"/>
                    </w:rPr>
                    <w:t>各级人民政府应当加强对建设施工、矿产资源开采、物料运输的扬尘和沙尘污染的治理，保持道路清洁、控制料堆和渣土堆放，科学合理扩大绿地、水面、湿地、地面铺装和防风固沙绿化面积，防治扬尘污染</w:t>
                  </w:r>
                </w:p>
              </w:tc>
              <w:tc>
                <w:tcPr>
                  <w:tcW w:w="1358" w:type="pct"/>
                  <w:tcBorders>
                    <w:tl2br w:val="nil"/>
                    <w:tr2bl w:val="nil"/>
                  </w:tcBorders>
                  <w:noWrap w:val="0"/>
                  <w:vAlign w:val="center"/>
                </w:tcPr>
                <w:p w14:paraId="6977DB86">
                  <w:pPr>
                    <w:keepNext w:val="0"/>
                    <w:keepLines w:val="0"/>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宋体" w:cs="Times New Roman"/>
                      <w:color w:val="auto"/>
                      <w:sz w:val="21"/>
                      <w:szCs w:val="22"/>
                      <w:lang w:val="en-US" w:eastAsia="zh-CN"/>
                    </w:rPr>
                  </w:pPr>
                  <w:r>
                    <w:rPr>
                      <w:rFonts w:hint="eastAsia" w:ascii="Times New Roman" w:hAnsi="Times New Roman" w:cs="Times New Roman"/>
                      <w:color w:val="auto"/>
                      <w:sz w:val="21"/>
                      <w:szCs w:val="22"/>
                    </w:rPr>
                    <w:t>本项目为固体矿产地质勘查，勘查</w:t>
                  </w:r>
                  <w:r>
                    <w:rPr>
                      <w:rFonts w:hint="eastAsia" w:ascii="Times New Roman" w:hAnsi="Times New Roman" w:cs="Times New Roman"/>
                      <w:color w:val="auto"/>
                      <w:sz w:val="21"/>
                      <w:szCs w:val="22"/>
                      <w:lang w:val="en-US" w:eastAsia="zh-CN"/>
                    </w:rPr>
                    <w:t>过程中采取洒水降尘防尘措施，防治大气污染</w:t>
                  </w:r>
                </w:p>
              </w:tc>
              <w:tc>
                <w:tcPr>
                  <w:tcW w:w="571" w:type="pct"/>
                  <w:tcBorders>
                    <w:tl2br w:val="nil"/>
                    <w:tr2bl w:val="nil"/>
                  </w:tcBorders>
                  <w:noWrap w:val="0"/>
                  <w:vAlign w:val="center"/>
                </w:tcPr>
                <w:p w14:paraId="7D61B7C1">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2"/>
                      <w:lang w:val="en-US" w:eastAsia="zh-CN"/>
                    </w:rPr>
                  </w:pPr>
                  <w:r>
                    <w:rPr>
                      <w:rFonts w:hint="eastAsia" w:ascii="Times New Roman" w:hAnsi="Times New Roman" w:cs="Times New Roman"/>
                      <w:color w:val="auto"/>
                      <w:sz w:val="21"/>
                      <w:szCs w:val="22"/>
                      <w:lang w:val="en-US" w:eastAsia="zh-CN"/>
                    </w:rPr>
                    <w:t>符合</w:t>
                  </w:r>
                </w:p>
              </w:tc>
            </w:tr>
            <w:tr w14:paraId="3325D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6E62BB7B">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rPr>
                    <w:t>《新疆维吾尔自治区重点行业</w:t>
                  </w:r>
                  <w:r>
                    <w:rPr>
                      <w:rFonts w:hint="eastAsia" w:ascii="Times New Roman" w:hAnsi="Times New Roman" w:cs="Times New Roman"/>
                      <w:color w:val="auto"/>
                      <w:sz w:val="21"/>
                      <w:szCs w:val="22"/>
                      <w:lang w:val="en-US" w:eastAsia="zh-CN"/>
                    </w:rPr>
                    <w:t>生态环境</w:t>
                  </w:r>
                  <w:r>
                    <w:rPr>
                      <w:rFonts w:hint="eastAsia" w:ascii="Times New Roman" w:hAnsi="Times New Roman" w:cs="Times New Roman"/>
                      <w:color w:val="auto"/>
                      <w:sz w:val="21"/>
                      <w:szCs w:val="22"/>
                    </w:rPr>
                    <w:t>准入条件</w:t>
                  </w: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lang w:val="en-US" w:eastAsia="zh-CN"/>
                    </w:rPr>
                    <w:t>2024</w:t>
                  </w: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rPr>
                    <w:t>》</w:t>
                  </w:r>
                  <w:r>
                    <w:rPr>
                      <w:rFonts w:hint="eastAsia" w:ascii="Times New Roman" w:hAnsi="Times New Roman" w:cs="Times New Roman"/>
                      <w:color w:val="auto"/>
                      <w:sz w:val="21"/>
                      <w:szCs w:val="22"/>
                      <w:lang w:eastAsia="zh-CN"/>
                    </w:rPr>
                    <w:t>（新环环评发〔2024〕93号）</w:t>
                  </w:r>
                </w:p>
              </w:tc>
              <w:tc>
                <w:tcPr>
                  <w:tcW w:w="1872" w:type="pct"/>
                  <w:tcBorders>
                    <w:tl2br w:val="nil"/>
                    <w:tr2bl w:val="nil"/>
                  </w:tcBorders>
                  <w:noWrap w:val="0"/>
                  <w:vAlign w:val="center"/>
                </w:tcPr>
                <w:p w14:paraId="018DFE51">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cs="Times New Roman"/>
                      <w:color w:val="auto"/>
                      <w:sz w:val="21"/>
                      <w:szCs w:val="22"/>
                      <w:shd w:val="clear" w:color="auto" w:fill="FFFFFF"/>
                    </w:rPr>
                  </w:pPr>
                  <w:r>
                    <w:rPr>
                      <w:rFonts w:hint="eastAsia" w:ascii="Times New Roman" w:hAnsi="Times New Roman" w:cs="Times New Roman"/>
                      <w:color w:val="auto"/>
                      <w:sz w:val="21"/>
                      <w:szCs w:val="22"/>
                      <w:shd w:val="clear" w:color="auto" w:fill="FFFFFF"/>
                    </w:rPr>
                    <w:t>矿产资源开发按照国家及自治区绿色矿山建设规范进行建设，遵循“谁开发、谁保护，谁破坏、谁恢复，谁受益、谁补偿，谁污染、谁付费”的原则，制定矿山生态环境保护与恢复治理方案并严格组织实施。违反国家规定造成生态环境损害的，依法依规开展生态环境损害赔偿工作，依法追究生态环境损害赔偿责任</w:t>
                  </w:r>
                </w:p>
              </w:tc>
              <w:tc>
                <w:tcPr>
                  <w:tcW w:w="1358" w:type="pct"/>
                  <w:tcBorders>
                    <w:tl2br w:val="nil"/>
                    <w:tr2bl w:val="nil"/>
                  </w:tcBorders>
                  <w:noWrap w:val="0"/>
                  <w:vAlign w:val="center"/>
                </w:tcPr>
                <w:p w14:paraId="708B469E">
                  <w:pPr>
                    <w:keepNext w:val="0"/>
                    <w:keepLines w:val="0"/>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宋体" w:cs="Times New Roman"/>
                      <w:color w:val="auto"/>
                      <w:sz w:val="21"/>
                      <w:szCs w:val="22"/>
                      <w:lang w:eastAsia="zh-CN"/>
                    </w:rPr>
                  </w:pPr>
                  <w:r>
                    <w:rPr>
                      <w:rFonts w:hint="eastAsia" w:ascii="Times New Roman" w:hAnsi="Times New Roman" w:cs="Times New Roman"/>
                      <w:color w:val="auto"/>
                      <w:sz w:val="21"/>
                      <w:szCs w:val="22"/>
                    </w:rPr>
                    <w:t>本项目为固体矿产地质勘查</w:t>
                  </w:r>
                  <w:r>
                    <w:rPr>
                      <w:rFonts w:hint="eastAsia" w:ascii="Times New Roman" w:hAnsi="Times New Roman" w:cs="Times New Roman"/>
                      <w:color w:val="auto"/>
                      <w:sz w:val="21"/>
                      <w:szCs w:val="22"/>
                      <w:lang w:eastAsia="zh-CN"/>
                    </w:rPr>
                    <w:t>，</w:t>
                  </w:r>
                  <w:r>
                    <w:rPr>
                      <w:rFonts w:hint="eastAsia" w:ascii="Times New Roman" w:hAnsi="Times New Roman" w:cs="Times New Roman"/>
                      <w:color w:val="auto"/>
                      <w:sz w:val="21"/>
                      <w:szCs w:val="22"/>
                      <w:lang w:val="en-US" w:eastAsia="zh-CN"/>
                    </w:rPr>
                    <w:t>勘查过程中采取洒水降尘防尘措施，防治大气污染；</w:t>
                  </w:r>
                  <w:r>
                    <w:rPr>
                      <w:rFonts w:hint="eastAsia" w:ascii="Times New Roman" w:hAnsi="Times New Roman" w:cs="Times New Roman"/>
                      <w:color w:val="auto"/>
                      <w:sz w:val="21"/>
                      <w:szCs w:val="21"/>
                    </w:rPr>
                    <w:t>探矿期结束后，对遗留地面的施工迹地</w:t>
                  </w:r>
                  <w:r>
                    <w:rPr>
                      <w:rFonts w:hint="eastAsia" w:ascii="Times New Roman" w:hAnsi="Times New Roman" w:cs="Times New Roman"/>
                      <w:color w:val="auto"/>
                      <w:sz w:val="21"/>
                      <w:szCs w:val="21"/>
                      <w:lang w:val="en-US" w:eastAsia="zh-CN"/>
                    </w:rPr>
                    <w:t>按照普查设计方案</w:t>
                  </w:r>
                  <w:r>
                    <w:rPr>
                      <w:rFonts w:hint="eastAsia" w:ascii="Times New Roman" w:hAnsi="Times New Roman" w:cs="Times New Roman"/>
                      <w:color w:val="auto"/>
                      <w:sz w:val="21"/>
                      <w:szCs w:val="21"/>
                    </w:rPr>
                    <w:t>进行恢复</w:t>
                  </w:r>
                </w:p>
              </w:tc>
              <w:tc>
                <w:tcPr>
                  <w:tcW w:w="571" w:type="pct"/>
                  <w:tcBorders>
                    <w:tl2br w:val="nil"/>
                    <w:tr2bl w:val="nil"/>
                  </w:tcBorders>
                  <w:noWrap w:val="0"/>
                  <w:vAlign w:val="center"/>
                </w:tcPr>
                <w:p w14:paraId="5863D0CE">
                  <w:pPr>
                    <w:keepNext w:val="0"/>
                    <w:keepLines w:val="0"/>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sz w:val="21"/>
                      <w:szCs w:val="22"/>
                    </w:rPr>
                  </w:pPr>
                  <w:r>
                    <w:rPr>
                      <w:rFonts w:hint="eastAsia" w:ascii="Times New Roman" w:hAnsi="Times New Roman" w:cs="Times New Roman"/>
                      <w:color w:val="auto"/>
                      <w:sz w:val="21"/>
                      <w:szCs w:val="22"/>
                    </w:rPr>
                    <w:t>符合</w:t>
                  </w:r>
                </w:p>
              </w:tc>
            </w:tr>
            <w:tr w14:paraId="5EAE3F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765D7D31">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eastAsia="宋体" w:cs="Times New Roman"/>
                      <w:color w:val="auto"/>
                      <w:kern w:val="2"/>
                      <w:sz w:val="21"/>
                      <w:szCs w:val="22"/>
                      <w:shd w:val="clear" w:color="auto" w:fill="FFFFFF"/>
                      <w:lang w:val="en-US" w:eastAsia="zh-CN" w:bidi="ar-SA"/>
                    </w:rPr>
                    <w:t>《中华人民共和国草原法》（2021年4月29日）</w:t>
                  </w:r>
                </w:p>
              </w:tc>
              <w:tc>
                <w:tcPr>
                  <w:tcW w:w="1872" w:type="pct"/>
                  <w:tcBorders>
                    <w:tl2br w:val="nil"/>
                    <w:tr2bl w:val="nil"/>
                  </w:tcBorders>
                  <w:noWrap w:val="0"/>
                  <w:vAlign w:val="center"/>
                </w:tcPr>
                <w:p w14:paraId="4E14D9F2">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eastAsia="宋体" w:cs="Times New Roman"/>
                      <w:color w:val="auto"/>
                      <w:kern w:val="2"/>
                      <w:sz w:val="21"/>
                      <w:szCs w:val="22"/>
                      <w:shd w:val="clear" w:color="auto" w:fill="FFFFFF"/>
                      <w:lang w:val="en-US" w:eastAsia="zh-CN" w:bidi="ar-SA"/>
                    </w:rPr>
                    <w:t>第五十五条除抢险救灾和牧民搬迁的机动车辆外，禁止机动车辆离开道路在草原上行驶，破坏草原植被；因从事地质勘探、科学考察等活动确需离开道路在草原上行驶的，应当事先向所在地县级人民政府草原行政主管部门报告行驶区域和行驶路线，并按照报告的行驶区域和行驶路线在草原上行驶</w:t>
                  </w:r>
                </w:p>
              </w:tc>
              <w:tc>
                <w:tcPr>
                  <w:tcW w:w="1358" w:type="pct"/>
                  <w:tcBorders>
                    <w:tl2br w:val="nil"/>
                    <w:tr2bl w:val="nil"/>
                  </w:tcBorders>
                  <w:noWrap w:val="0"/>
                  <w:vAlign w:val="center"/>
                </w:tcPr>
                <w:p w14:paraId="497C788C">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eastAsia="宋体" w:cs="Times New Roman"/>
                      <w:color w:val="auto"/>
                      <w:kern w:val="2"/>
                      <w:sz w:val="21"/>
                      <w:szCs w:val="22"/>
                      <w:shd w:val="clear" w:color="auto" w:fill="FFFFFF"/>
                      <w:lang w:val="en-US" w:eastAsia="zh-CN" w:bidi="ar-SA"/>
                    </w:rPr>
                    <w:t>本项目属于地质勘查活动，矿区属矿业权空白区，且不涉及生态敏感区，勘查区至县城已建有交通运输道路，不占用、破坏草原，项目勘查符合国家法律法规</w:t>
                  </w:r>
                </w:p>
              </w:tc>
              <w:tc>
                <w:tcPr>
                  <w:tcW w:w="571" w:type="pct"/>
                  <w:tcBorders>
                    <w:tl2br w:val="nil"/>
                    <w:tr2bl w:val="nil"/>
                  </w:tcBorders>
                  <w:noWrap w:val="0"/>
                  <w:vAlign w:val="center"/>
                </w:tcPr>
                <w:p w14:paraId="43C01764">
                  <w:pPr>
                    <w:keepNext w:val="0"/>
                    <w:keepLines w:val="0"/>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2"/>
                      <w:lang w:val="en-US" w:eastAsia="zh-CN"/>
                    </w:rPr>
                  </w:pPr>
                  <w:r>
                    <w:rPr>
                      <w:rFonts w:hint="eastAsia" w:ascii="Times New Roman" w:hAnsi="Times New Roman" w:cs="Times New Roman"/>
                      <w:color w:val="auto"/>
                      <w:sz w:val="21"/>
                      <w:szCs w:val="22"/>
                      <w:lang w:val="en-US" w:eastAsia="zh-CN"/>
                    </w:rPr>
                    <w:t>符合</w:t>
                  </w:r>
                </w:p>
              </w:tc>
            </w:tr>
            <w:tr w14:paraId="289DF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0857FA97">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eastAsia="宋体" w:cs="Times New Roman"/>
                      <w:color w:val="auto"/>
                      <w:kern w:val="2"/>
                      <w:sz w:val="21"/>
                      <w:szCs w:val="22"/>
                      <w:shd w:val="clear" w:color="auto" w:fill="FFFFFF"/>
                      <w:lang w:val="en-US" w:eastAsia="zh-CN" w:bidi="ar-SA"/>
                    </w:rPr>
                    <w:t>《绿色地质勘查工作规范》（DZ/T0374-2021）</w:t>
                  </w:r>
                </w:p>
              </w:tc>
              <w:tc>
                <w:tcPr>
                  <w:tcW w:w="1872" w:type="pct"/>
                  <w:tcBorders>
                    <w:tl2br w:val="nil"/>
                    <w:tr2bl w:val="nil"/>
                  </w:tcBorders>
                  <w:noWrap w:val="0"/>
                  <w:vAlign w:val="center"/>
                </w:tcPr>
                <w:p w14:paraId="774F3FB1">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eastAsia="宋体" w:cs="Times New Roman"/>
                      <w:color w:val="auto"/>
                      <w:kern w:val="2"/>
                      <w:sz w:val="21"/>
                      <w:szCs w:val="22"/>
                      <w:shd w:val="clear" w:color="auto" w:fill="FFFFFF"/>
                      <w:lang w:val="en-US" w:eastAsia="zh-CN" w:bidi="ar-SA"/>
                    </w:rPr>
                    <w:t>编制地质勘查设计前，应就地质勘查工作部署对水、大气、声、土壤、野生动植物、自然遗迹和人文遗迹等的环境影响进行分析，确定主要的环境影响因素，制定环境保护、环境修复措施，编制经费预算，作为绿色勘查内容体现在勘查设计中，可以单独成章，也可以</w:t>
                  </w:r>
                  <w:r>
                    <w:rPr>
                      <w:rFonts w:hint="eastAsia" w:ascii="Times New Roman" w:hAnsi="Times New Roman" w:cs="Times New Roman"/>
                      <w:color w:val="auto"/>
                      <w:kern w:val="2"/>
                      <w:sz w:val="21"/>
                      <w:szCs w:val="22"/>
                      <w:shd w:val="clear" w:color="auto" w:fill="FFFFFF"/>
                      <w:lang w:val="en-US" w:eastAsia="zh-CN" w:bidi="ar-SA"/>
                    </w:rPr>
                    <w:t>融入</w:t>
                  </w:r>
                  <w:r>
                    <w:rPr>
                      <w:rFonts w:hint="eastAsia" w:ascii="Times New Roman" w:hAnsi="Times New Roman" w:eastAsia="宋体" w:cs="Times New Roman"/>
                      <w:color w:val="auto"/>
                      <w:kern w:val="2"/>
                      <w:sz w:val="21"/>
                      <w:szCs w:val="22"/>
                      <w:shd w:val="clear" w:color="auto" w:fill="FFFFFF"/>
                      <w:lang w:val="en-US" w:eastAsia="zh-CN" w:bidi="ar-SA"/>
                    </w:rPr>
                    <w:t>相关章节</w:t>
                  </w:r>
                </w:p>
              </w:tc>
              <w:tc>
                <w:tcPr>
                  <w:tcW w:w="1358" w:type="pct"/>
                  <w:tcBorders>
                    <w:tl2br w:val="nil"/>
                    <w:tr2bl w:val="nil"/>
                  </w:tcBorders>
                  <w:noWrap w:val="0"/>
                  <w:vAlign w:val="center"/>
                </w:tcPr>
                <w:p w14:paraId="1B6F038F">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default" w:ascii="Times New Roman" w:hAnsi="Times New Roman" w:eastAsia="宋体" w:cs="Times New Roman"/>
                      <w:color w:val="auto"/>
                      <w:kern w:val="2"/>
                      <w:sz w:val="21"/>
                      <w:szCs w:val="22"/>
                      <w:shd w:val="clear" w:color="auto" w:fill="FFFFFF"/>
                      <w:lang w:val="en-US" w:eastAsia="zh-CN" w:bidi="ar-SA"/>
                    </w:rPr>
                    <w:t>本项目在地质勘查前，编制了环境影响评价文件，其中对环境保护相关内容进行了分析，并制定对应环保措施，</w:t>
                  </w:r>
                  <w:r>
                    <w:rPr>
                      <w:rFonts w:hint="eastAsia" w:ascii="Times New Roman" w:hAnsi="Times New Roman" w:cs="Times New Roman"/>
                      <w:color w:val="auto"/>
                      <w:kern w:val="2"/>
                      <w:sz w:val="21"/>
                      <w:szCs w:val="22"/>
                      <w:highlight w:val="none"/>
                      <w:shd w:val="clear" w:color="auto" w:fill="FFFFFF"/>
                      <w:lang w:val="en-US" w:eastAsia="zh-CN" w:bidi="ar-SA"/>
                    </w:rPr>
                    <w:t>项目采用地质草测、地质剖面、地化（岩石）剖面测量、槽探工程及样品测试等综合勘查技术方法，</w:t>
                  </w:r>
                  <w:r>
                    <w:rPr>
                      <w:rFonts w:hint="default" w:ascii="Times New Roman" w:hAnsi="Times New Roman" w:eastAsia="宋体" w:cs="Times New Roman"/>
                      <w:color w:val="auto"/>
                      <w:kern w:val="2"/>
                      <w:sz w:val="21"/>
                      <w:szCs w:val="22"/>
                      <w:highlight w:val="none"/>
                      <w:shd w:val="clear" w:color="auto" w:fill="FFFFFF"/>
                      <w:lang w:val="en-US" w:eastAsia="zh-CN" w:bidi="ar-SA"/>
                    </w:rPr>
                    <w:t>符合要求</w:t>
                  </w:r>
                </w:p>
              </w:tc>
              <w:tc>
                <w:tcPr>
                  <w:tcW w:w="571" w:type="pct"/>
                  <w:tcBorders>
                    <w:tl2br w:val="nil"/>
                    <w:tr2bl w:val="nil"/>
                  </w:tcBorders>
                  <w:noWrap w:val="0"/>
                  <w:vAlign w:val="center"/>
                </w:tcPr>
                <w:p w14:paraId="3C869449">
                  <w:pPr>
                    <w:keepNext w:val="0"/>
                    <w:keepLines w:val="0"/>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2"/>
                      <w:lang w:val="en-US" w:eastAsia="zh-CN"/>
                    </w:rPr>
                  </w:pPr>
                  <w:r>
                    <w:rPr>
                      <w:rFonts w:hint="eastAsia" w:ascii="Times New Roman" w:hAnsi="Times New Roman" w:cs="Times New Roman"/>
                      <w:color w:val="auto"/>
                      <w:sz w:val="21"/>
                      <w:szCs w:val="22"/>
                      <w:lang w:val="en-US" w:eastAsia="zh-CN"/>
                    </w:rPr>
                    <w:t>符合</w:t>
                  </w:r>
                </w:p>
              </w:tc>
            </w:tr>
            <w:tr w14:paraId="692EE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2BEDAE27">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eastAsia="宋体" w:cs="Times New Roman"/>
                      <w:color w:val="auto"/>
                      <w:kern w:val="2"/>
                      <w:sz w:val="21"/>
                      <w:szCs w:val="22"/>
                      <w:shd w:val="clear" w:color="auto" w:fill="FFFFFF"/>
                      <w:lang w:val="en-US" w:eastAsia="zh-CN" w:bidi="ar-SA"/>
                    </w:rPr>
                    <w:t>《矿山生态环境保护与恢复治理技术规范（试行）》（HJ651-2013）</w:t>
                  </w:r>
                </w:p>
              </w:tc>
              <w:tc>
                <w:tcPr>
                  <w:tcW w:w="1872" w:type="pct"/>
                  <w:tcBorders>
                    <w:tl2br w:val="nil"/>
                    <w:tr2bl w:val="nil"/>
                  </w:tcBorders>
                  <w:noWrap w:val="0"/>
                  <w:vAlign w:val="center"/>
                </w:tcPr>
                <w:p w14:paraId="4F3BD900">
                  <w:pPr>
                    <w:keepNext w:val="0"/>
                    <w:keepLines w:val="0"/>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cs="Times New Roman"/>
                      <w:color w:val="auto"/>
                      <w:sz w:val="21"/>
                      <w:szCs w:val="21"/>
                    </w:rPr>
                    <w:t>探矿活动结束后，应根据景观相似原则，对探矿活动造成的土壤、植被和地表景观破坏进行恢复</w:t>
                  </w:r>
                </w:p>
              </w:tc>
              <w:tc>
                <w:tcPr>
                  <w:tcW w:w="1358" w:type="pct"/>
                  <w:tcBorders>
                    <w:tl2br w:val="nil"/>
                    <w:tr2bl w:val="nil"/>
                  </w:tcBorders>
                  <w:noWrap w:val="0"/>
                  <w:vAlign w:val="center"/>
                </w:tcPr>
                <w:p w14:paraId="035CACB5">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cs="Times New Roman"/>
                      <w:color w:val="auto"/>
                      <w:sz w:val="21"/>
                      <w:szCs w:val="21"/>
                    </w:rPr>
                    <w:t>本项目实施过</w:t>
                  </w:r>
                  <w:r>
                    <w:rPr>
                      <w:rFonts w:hint="eastAsia" w:ascii="Times New Roman" w:hAnsi="Times New Roman" w:cs="Times New Roman"/>
                      <w:color w:val="auto"/>
                      <w:sz w:val="21"/>
                      <w:szCs w:val="21"/>
                      <w:lang w:eastAsia="zh-CN"/>
                    </w:rPr>
                    <w:t>程中</w:t>
                  </w:r>
                  <w:r>
                    <w:rPr>
                      <w:rFonts w:hint="eastAsia" w:ascii="Times New Roman" w:hAnsi="Times New Roman" w:cs="Times New Roman"/>
                      <w:color w:val="auto"/>
                      <w:sz w:val="21"/>
                      <w:szCs w:val="21"/>
                    </w:rPr>
                    <w:t>注意减少对土壤、植被、地表景观的破坏，探矿期结束后，对遗留地面的施工迹地进行恢复</w:t>
                  </w:r>
                </w:p>
              </w:tc>
              <w:tc>
                <w:tcPr>
                  <w:tcW w:w="571" w:type="pct"/>
                  <w:tcBorders>
                    <w:tl2br w:val="nil"/>
                    <w:tr2bl w:val="nil"/>
                  </w:tcBorders>
                  <w:noWrap w:val="0"/>
                  <w:vAlign w:val="center"/>
                </w:tcPr>
                <w:p w14:paraId="7DB4F3F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2"/>
                      <w:lang w:val="en-US" w:eastAsia="zh-CN"/>
                    </w:rPr>
                  </w:pPr>
                  <w:r>
                    <w:rPr>
                      <w:rFonts w:hint="eastAsia" w:ascii="Times New Roman" w:hAnsi="Times New Roman" w:cs="Times New Roman"/>
                      <w:color w:val="auto"/>
                      <w:sz w:val="21"/>
                      <w:szCs w:val="21"/>
                    </w:rPr>
                    <w:t>符合</w:t>
                  </w:r>
                </w:p>
              </w:tc>
            </w:tr>
            <w:tr w14:paraId="6C500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755DADAC">
                  <w:pPr>
                    <w:pStyle w:val="35"/>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default" w:ascii="Times New Roman" w:hAnsi="Times New Roman" w:cs="Times New Roman"/>
                      <w:color w:val="auto"/>
                      <w:sz w:val="21"/>
                      <w:szCs w:val="21"/>
                    </w:rPr>
                    <w:t>《矿山生态环境保护与污染防治技术政策》</w:t>
                  </w:r>
                  <w:r>
                    <w:rPr>
                      <w:rFonts w:hint="default" w:ascii="Times New Roman" w:hAnsi="Times New Roman" w:cs="Times New Roman"/>
                      <w:color w:val="auto"/>
                      <w:sz w:val="21"/>
                      <w:szCs w:val="21"/>
                      <w:lang w:eastAsia="zh-CN"/>
                    </w:rPr>
                    <w:t>（环发</w:t>
                  </w:r>
                  <w:r>
                    <w:rPr>
                      <w:rFonts w:hint="default" w:ascii="Times New Roman" w:hAnsi="Times New Roman" w:cs="Times New Roman"/>
                      <w:color w:val="auto"/>
                      <w:sz w:val="21"/>
                      <w:szCs w:val="22"/>
                      <w:lang w:eastAsia="zh-CN"/>
                    </w:rPr>
                    <w:t>〔20</w:t>
                  </w:r>
                  <w:r>
                    <w:rPr>
                      <w:rFonts w:hint="default" w:ascii="Times New Roman" w:hAnsi="Times New Roman" w:cs="Times New Roman"/>
                      <w:color w:val="auto"/>
                      <w:sz w:val="21"/>
                      <w:szCs w:val="22"/>
                      <w:lang w:val="en-US" w:eastAsia="zh-CN"/>
                    </w:rPr>
                    <w:t>05</w:t>
                  </w:r>
                  <w:r>
                    <w:rPr>
                      <w:rFonts w:hint="default" w:ascii="Times New Roman" w:hAnsi="Times New Roman" w:cs="Times New Roman"/>
                      <w:color w:val="auto"/>
                      <w:sz w:val="21"/>
                      <w:szCs w:val="22"/>
                      <w:lang w:eastAsia="zh-CN"/>
                    </w:rPr>
                    <w:t>〕</w:t>
                  </w:r>
                  <w:r>
                    <w:rPr>
                      <w:rFonts w:hint="default" w:ascii="Times New Roman" w:hAnsi="Times New Roman" w:cs="Times New Roman"/>
                      <w:color w:val="auto"/>
                      <w:sz w:val="21"/>
                      <w:szCs w:val="21"/>
                      <w:lang w:eastAsia="zh-CN"/>
                    </w:rPr>
                    <w:t>109号）</w:t>
                  </w:r>
                </w:p>
              </w:tc>
              <w:tc>
                <w:tcPr>
                  <w:tcW w:w="1872" w:type="pct"/>
                  <w:tcBorders>
                    <w:tl2br w:val="nil"/>
                    <w:tr2bl w:val="nil"/>
                  </w:tcBorders>
                  <w:noWrap w:val="0"/>
                  <w:vAlign w:val="center"/>
                </w:tcPr>
                <w:p w14:paraId="740D0C41">
                  <w:pPr>
                    <w:keepNext w:val="0"/>
                    <w:keepLines w:val="0"/>
                    <w:suppressLineNumbers w:val="0"/>
                    <w:spacing w:before="0" w:beforeAutospacing="0" w:after="0" w:afterAutospacing="0" w:line="240" w:lineRule="auto"/>
                    <w:ind w:left="0" w:right="0" w:firstLine="0" w:firstLineChars="0"/>
                    <w:jc w:val="both"/>
                    <w:rPr>
                      <w:rFonts w:hint="eastAsia"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cs="Times New Roman"/>
                      <w:color w:val="auto"/>
                      <w:sz w:val="21"/>
                      <w:szCs w:val="21"/>
                    </w:rPr>
                    <w:t>对矿山勘探性钻孔应采取封闭等措施进行处理，以确保生产安全；对矿山基建可能影响的具有保护价值的动、植物资源，应优先采取就地、就近保护措施；对表土、底土和适于植物生长的地层物质均应进行保护性堆存和利用，可优先用作废弃地复垦时的土壤重构用土</w:t>
                  </w:r>
                </w:p>
              </w:tc>
              <w:tc>
                <w:tcPr>
                  <w:tcW w:w="1358" w:type="pct"/>
                  <w:tcBorders>
                    <w:tl2br w:val="nil"/>
                    <w:tr2bl w:val="nil"/>
                  </w:tcBorders>
                  <w:noWrap w:val="0"/>
                  <w:vAlign w:val="center"/>
                </w:tcPr>
                <w:p w14:paraId="00557417">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2"/>
                      <w:sz w:val="21"/>
                      <w:szCs w:val="22"/>
                      <w:shd w:val="clear" w:color="auto" w:fill="FFFFFF"/>
                      <w:lang w:val="en-US" w:eastAsia="zh-CN" w:bidi="ar-SA"/>
                    </w:rPr>
                  </w:pPr>
                  <w:r>
                    <w:rPr>
                      <w:rFonts w:hint="eastAsia" w:ascii="Times New Roman" w:hAnsi="Times New Roman" w:cs="Times New Roman"/>
                      <w:color w:val="auto"/>
                      <w:sz w:val="21"/>
                      <w:szCs w:val="21"/>
                    </w:rPr>
                    <w:t>本项目主要为固体矿产地质勘查，在严格落实各项污染防治措施的前提下，项目建设对环境影响较小，恢复其原有生态功能</w:t>
                  </w:r>
                </w:p>
              </w:tc>
              <w:tc>
                <w:tcPr>
                  <w:tcW w:w="571" w:type="pct"/>
                  <w:tcBorders>
                    <w:tl2br w:val="nil"/>
                    <w:tr2bl w:val="nil"/>
                  </w:tcBorders>
                  <w:noWrap w:val="0"/>
                  <w:vAlign w:val="center"/>
                </w:tcPr>
                <w:p w14:paraId="0253EED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2"/>
                      <w:lang w:val="en-US" w:eastAsia="zh-CN"/>
                    </w:rPr>
                  </w:pPr>
                  <w:r>
                    <w:rPr>
                      <w:rFonts w:hint="eastAsia" w:ascii="Times New Roman" w:hAnsi="Times New Roman" w:cs="Times New Roman"/>
                      <w:color w:val="auto"/>
                      <w:sz w:val="21"/>
                      <w:szCs w:val="21"/>
                    </w:rPr>
                    <w:t>符合</w:t>
                  </w:r>
                </w:p>
              </w:tc>
            </w:tr>
            <w:tr w14:paraId="1D69C2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96" w:type="pct"/>
                  <w:tcBorders>
                    <w:tl2br w:val="nil"/>
                    <w:tr2bl w:val="nil"/>
                  </w:tcBorders>
                  <w:noWrap w:val="0"/>
                  <w:vAlign w:val="center"/>
                </w:tcPr>
                <w:p w14:paraId="29657E85">
                  <w:pPr>
                    <w:pStyle w:val="35"/>
                    <w:keepNext w:val="0"/>
                    <w:keepLines w:val="0"/>
                    <w:suppressLineNumbers w:val="0"/>
                    <w:bidi w:val="0"/>
                    <w:spacing w:before="0" w:beforeAutospacing="0" w:after="0" w:afterAutospacing="0"/>
                    <w:ind w:left="0" w:leftChars="0" w:right="0" w:firstLine="0" w:firstLineChars="0"/>
                    <w:jc w:val="both"/>
                    <w:rPr>
                      <w:rFonts w:hint="eastAsia" w:cs="Times New Roman"/>
                      <w:color w:val="auto"/>
                      <w:sz w:val="21"/>
                      <w:szCs w:val="21"/>
                      <w:lang w:eastAsia="zh-CN"/>
                    </w:rPr>
                  </w:pPr>
                  <w:r>
                    <w:rPr>
                      <w:rFonts w:hint="eastAsia" w:cs="Times New Roman"/>
                      <w:color w:val="auto"/>
                      <w:sz w:val="21"/>
                      <w:szCs w:val="21"/>
                      <w:lang w:eastAsia="zh-CN"/>
                    </w:rPr>
                    <w:t>《自然资源部</w:t>
                  </w:r>
                  <w:r>
                    <w:rPr>
                      <w:rFonts w:hint="eastAsia" w:cs="Times New Roman"/>
                      <w:color w:val="auto"/>
                      <w:sz w:val="21"/>
                      <w:szCs w:val="21"/>
                      <w:lang w:val="en-US" w:eastAsia="zh-CN"/>
                    </w:rPr>
                    <w:t xml:space="preserve"> </w:t>
                  </w:r>
                  <w:r>
                    <w:rPr>
                      <w:rFonts w:hint="eastAsia" w:cs="Times New Roman"/>
                      <w:color w:val="auto"/>
                      <w:sz w:val="21"/>
                      <w:szCs w:val="21"/>
                      <w:lang w:eastAsia="zh-CN"/>
                    </w:rPr>
                    <w:t>国家林草局关于在新一轮找矿突破战略行动中全面实施绿色勘查的通知》自然资发〔2024〕122号</w:t>
                  </w:r>
                </w:p>
              </w:tc>
              <w:tc>
                <w:tcPr>
                  <w:tcW w:w="1872" w:type="pct"/>
                  <w:tcBorders>
                    <w:tl2br w:val="nil"/>
                    <w:tr2bl w:val="nil"/>
                  </w:tcBorders>
                  <w:noWrap w:val="0"/>
                  <w:vAlign w:val="center"/>
                </w:tcPr>
                <w:p w14:paraId="7094907D">
                  <w:pPr>
                    <w:keepNext w:val="0"/>
                    <w:keepLines w:val="0"/>
                    <w:suppressLineNumbers w:val="0"/>
                    <w:spacing w:before="0" w:beforeAutospacing="0" w:after="0" w:afterAutospacing="0" w:line="240" w:lineRule="auto"/>
                    <w:ind w:left="0" w:right="0"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（一）加快推进标准规范落实。各地要加快落实《绿色地质勘查工作规范》（DZ/T 0374-2021），细化形成符合本地实际的绿色勘查地方标准，为地勘单位和矿山企业实施绿色勘查提供明确依据，支持和鼓励地勘单位和矿山企业开展绿色勘查标准建设。要加大绿色勘查标准规范、工作规则宣传培训力度，加强绿色勘查成功经验总结提炼、推广应用。</w:t>
                  </w:r>
                </w:p>
                <w:p w14:paraId="69C62FDA">
                  <w:pPr>
                    <w:keepNext w:val="0"/>
                    <w:keepLines w:val="0"/>
                    <w:suppressLineNumbers w:val="0"/>
                    <w:spacing w:before="0" w:beforeAutospacing="0" w:after="0" w:afterAutospacing="0" w:line="240" w:lineRule="auto"/>
                    <w:ind w:left="0" w:right="0"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二）强化勘查设计管理。财政出资的各类地质勘查项目，勘查实施方案中要明确绿色勘查具体措施。新出让的探矿权，要将矿业权人绿色勘查义务在合同中载明，并在勘查实施方案评审中，对绿色勘查措施进行严格把关，促进矿业权人落实绿色勘查各项规定和要求。</w:t>
                  </w:r>
                </w:p>
                <w:p w14:paraId="71F04C3D">
                  <w:pPr>
                    <w:keepNext w:val="0"/>
                    <w:keepLines w:val="0"/>
                    <w:suppressLineNumbers w:val="0"/>
                    <w:spacing w:before="0" w:beforeAutospacing="0" w:after="0" w:afterAutospacing="0" w:line="240" w:lineRule="auto"/>
                    <w:ind w:left="0" w:right="0"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三）明确项目实施要求。地勘单位和矿山企业要在新一轮找矿突破战略行动有关地质勘查项目实施中，优先采用遥感、物探、化探等对环境影响小的地质勘查方法，必要的坑探、槽探、钻探、硐探要符合绿色勘查有关标准规范。在森林、草原、湿地地区尽可能减少使用坑探、槽探，鼓励使用以钻代槽、一基多孔等探矿手段。</w:t>
                  </w:r>
                </w:p>
              </w:tc>
              <w:tc>
                <w:tcPr>
                  <w:tcW w:w="1358" w:type="pct"/>
                  <w:tcBorders>
                    <w:tl2br w:val="nil"/>
                    <w:tr2bl w:val="nil"/>
                  </w:tcBorders>
                  <w:noWrap w:val="0"/>
                  <w:vAlign w:val="center"/>
                </w:tcPr>
                <w:p w14:paraId="66891FB6">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本项目</w:t>
                  </w:r>
                  <w:r>
                    <w:rPr>
                      <w:rFonts w:hint="eastAsia" w:ascii="Times New Roman" w:hAnsi="Times New Roman" w:cs="Times New Roman"/>
                      <w:color w:val="auto"/>
                      <w:sz w:val="21"/>
                      <w:szCs w:val="21"/>
                    </w:rPr>
                    <w:t>主要为固体矿产地质勘查，勘查</w:t>
                  </w:r>
                  <w:r>
                    <w:rPr>
                      <w:rFonts w:hint="eastAsia" w:ascii="Times New Roman" w:hAnsi="Times New Roman" w:cs="Times New Roman"/>
                      <w:color w:val="auto"/>
                      <w:sz w:val="21"/>
                      <w:szCs w:val="21"/>
                      <w:lang w:val="en-US" w:eastAsia="zh-CN"/>
                    </w:rPr>
                    <w:t>前，制定完成勘察实施方案，对勘查人员进行绿色勘查培训，在勘查过程中通过技术创新与管理优化，显著降低勘查活动对生态系统的扰动，采用1:10000地质草测、1:2000地质剖面、1:2000地化（岩石）剖面测量、槽探工程及样品测试等综合勘查技术方法</w:t>
                  </w:r>
                </w:p>
              </w:tc>
              <w:tc>
                <w:tcPr>
                  <w:tcW w:w="571" w:type="pct"/>
                  <w:tcBorders>
                    <w:tl2br w:val="nil"/>
                    <w:tr2bl w:val="nil"/>
                  </w:tcBorders>
                  <w:noWrap w:val="0"/>
                  <w:vAlign w:val="center"/>
                </w:tcPr>
                <w:p w14:paraId="52EA2B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bl>
          <w:p w14:paraId="7497A5AC">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kern w:val="0"/>
                <w:lang w:val="en-US" w:eastAsia="zh-CN"/>
              </w:rPr>
            </w:pPr>
          </w:p>
        </w:tc>
      </w:tr>
    </w:tbl>
    <w:p w14:paraId="02D93C7B">
      <w:pPr>
        <w:ind w:firstLine="600"/>
        <w:outlineLvl w:val="0"/>
        <w:rPr>
          <w:rFonts w:eastAsia="黑体"/>
          <w:color w:val="auto"/>
          <w:sz w:val="30"/>
        </w:rPr>
        <w:sectPr>
          <w:footerReference r:id="rId11" w:type="default"/>
          <w:pgSz w:w="11906" w:h="16838"/>
          <w:pgMar w:top="1440" w:right="1800" w:bottom="1440" w:left="1800" w:header="851" w:footer="1077" w:gutter="0"/>
          <w:pgBorders>
            <w:top w:val="none" w:sz="0" w:space="0"/>
            <w:left w:val="none" w:sz="0" w:space="0"/>
            <w:bottom w:val="none" w:sz="0" w:space="0"/>
            <w:right w:val="none" w:sz="0" w:space="0"/>
          </w:pgBorders>
          <w:pgNumType w:start="1"/>
          <w:cols w:space="720" w:num="1"/>
          <w:docGrid w:linePitch="312" w:charSpace="0"/>
        </w:sectPr>
      </w:pPr>
    </w:p>
    <w:p w14:paraId="7C079E96">
      <w:pPr>
        <w:pStyle w:val="2"/>
        <w:rPr>
          <w:snapToGrid w:val="0"/>
          <w:color w:val="auto"/>
        </w:rPr>
      </w:pPr>
      <w:r>
        <w:rPr>
          <w:rFonts w:hint="eastAsia"/>
          <w:snapToGrid w:val="0"/>
          <w:color w:val="auto"/>
        </w:rPr>
        <w:t>二、建设内容</w:t>
      </w:r>
    </w:p>
    <w:tbl>
      <w:tblPr>
        <w:tblStyle w:val="28"/>
        <w:tblW w:w="92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423"/>
      </w:tblGrid>
      <w:tr w14:paraId="11207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 w:type="dxa"/>
            <w:noWrap w:val="0"/>
            <w:vAlign w:val="center"/>
          </w:tcPr>
          <w:p w14:paraId="4A96D9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地</w:t>
            </w:r>
          </w:p>
          <w:p w14:paraId="4097F0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理</w:t>
            </w:r>
          </w:p>
          <w:p w14:paraId="19BB51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位</w:t>
            </w:r>
          </w:p>
          <w:p w14:paraId="403112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置</w:t>
            </w:r>
          </w:p>
        </w:tc>
        <w:tc>
          <w:tcPr>
            <w:tcW w:w="8423" w:type="dxa"/>
            <w:noWrap w:val="0"/>
            <w:vAlign w:val="top"/>
          </w:tcPr>
          <w:p w14:paraId="42E171C7">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rPr>
              <w:t>本项目位于</w:t>
            </w:r>
            <w:r>
              <w:rPr>
                <w:rFonts w:hint="eastAsia" w:ascii="Times New Roman" w:hAnsi="Times New Roman" w:cs="Times New Roman"/>
                <w:color w:val="auto"/>
              </w:rPr>
              <w:t>新疆维吾尔自治区巴音郭楞蒙古自治州</w:t>
            </w:r>
            <w:r>
              <w:rPr>
                <w:rFonts w:hint="eastAsia" w:ascii="Times New Roman" w:hAnsi="Times New Roman" w:cs="Times New Roman"/>
                <w:color w:val="auto"/>
                <w:lang w:val="en-US" w:eastAsia="zh-CN"/>
              </w:rPr>
              <w:t>和静县克尔古提乡</w:t>
            </w:r>
            <w:r>
              <w:rPr>
                <w:rFonts w:hint="eastAsia" w:cs="Times New Roman"/>
                <w:color w:val="auto"/>
                <w:lang w:val="en-US" w:eastAsia="zh-CN"/>
              </w:rPr>
              <w:t>，</w:t>
            </w:r>
            <w:r>
              <w:rPr>
                <w:rFonts w:hint="eastAsia" w:ascii="Times New Roman" w:hAnsi="Times New Roman" w:cs="Times New Roman"/>
                <w:color w:val="auto"/>
                <w:lang w:val="en-US" w:eastAsia="zh-CN"/>
              </w:rPr>
              <w:t>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default" w:ascii="Times New Roman" w:hAnsi="Times New Roman" w:cs="Times New Roman"/>
                <w:color w:val="auto"/>
              </w:rPr>
              <w:t>，项目探矿范围拐点坐标如下表所示；地理位置图见</w:t>
            </w:r>
            <w:r>
              <w:rPr>
                <w:rFonts w:hint="default" w:ascii="Times New Roman" w:hAnsi="Times New Roman" w:cs="Times New Roman"/>
                <w:color w:val="auto"/>
                <w:lang w:val="en-US" w:eastAsia="zh-CN"/>
              </w:rPr>
              <w:t>附</w:t>
            </w:r>
            <w:r>
              <w:rPr>
                <w:rFonts w:hint="default" w:ascii="Times New Roman" w:hAnsi="Times New Roman" w:cs="Times New Roman"/>
                <w:color w:val="auto"/>
              </w:rPr>
              <w:t>图</w:t>
            </w:r>
            <w:r>
              <w:rPr>
                <w:rFonts w:hint="eastAsia" w:ascii="Times New Roman" w:hAnsi="Times New Roman" w:cs="Times New Roman"/>
                <w:color w:val="auto"/>
                <w:lang w:val="en-US" w:eastAsia="zh-CN"/>
              </w:rPr>
              <w:t>1</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与周边位置关系见附图</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w:t>
            </w:r>
          </w:p>
          <w:p w14:paraId="475BBBAB">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ascii="Times New Roman" w:hAnsi="Times New Roman" w:cs="Times New Roman"/>
                <w:color w:val="auto"/>
              </w:rPr>
            </w:pPr>
            <w:r>
              <w:rPr>
                <w:rFonts w:hint="default" w:ascii="Times New Roman" w:hAnsi="Times New Roman" w:cs="Times New Roman"/>
                <w:color w:val="auto"/>
              </w:rPr>
              <w:t>表</w:t>
            </w:r>
            <w:r>
              <w:rPr>
                <w:rFonts w:hint="default" w:ascii="Times New Roman" w:hAnsi="Times New Roman" w:cs="Times New Roman"/>
                <w:color w:val="auto"/>
                <w:lang w:val="en-US" w:eastAsia="zh-CN"/>
              </w:rPr>
              <w:t>2</w:t>
            </w:r>
            <w:r>
              <w:rPr>
                <w:rFonts w:hint="eastAsia" w:cs="Times New Roman"/>
                <w:color w:val="auto"/>
                <w:lang w:val="en-US" w:eastAsia="zh-CN"/>
              </w:rPr>
              <w:t>-1</w:t>
            </w:r>
            <w:r>
              <w:rPr>
                <w:rFonts w:hint="default" w:ascii="Times New Roman" w:hAnsi="Times New Roman" w:cs="Times New Roman"/>
                <w:color w:val="auto"/>
              </w:rPr>
              <w:t xml:space="preserve">   本项目探矿权范围拐点坐标</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3490"/>
              <w:gridCol w:w="3495"/>
            </w:tblGrid>
            <w:tr w14:paraId="581AE4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vMerge w:val="restart"/>
                  <w:tcBorders>
                    <w:tl2br w:val="nil"/>
                    <w:tr2bl w:val="nil"/>
                  </w:tcBorders>
                  <w:noWrap w:val="0"/>
                  <w:vAlign w:val="center"/>
                </w:tcPr>
                <w:p w14:paraId="2DF46CB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拐点序号</w:t>
                  </w:r>
                </w:p>
              </w:tc>
              <w:tc>
                <w:tcPr>
                  <w:tcW w:w="4265" w:type="pct"/>
                  <w:gridSpan w:val="2"/>
                  <w:tcBorders>
                    <w:tl2br w:val="nil"/>
                    <w:tr2bl w:val="nil"/>
                  </w:tcBorders>
                  <w:noWrap w:val="0"/>
                  <w:vAlign w:val="center"/>
                </w:tcPr>
                <w:p w14:paraId="256D360C">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rPr>
                    <w:t>地理坐标</w:t>
                  </w:r>
                  <w:r>
                    <w:rPr>
                      <w:rFonts w:hint="default" w:ascii="Times New Roman" w:hAnsi="Times New Roman" w:cs="Times New Roman"/>
                      <w:color w:val="auto"/>
                      <w:lang w:eastAsia="zh-CN"/>
                    </w:rPr>
                    <w:t>（</w:t>
                  </w:r>
                  <w:r>
                    <w:rPr>
                      <w:rFonts w:hint="default" w:ascii="Times New Roman" w:hAnsi="Times New Roman" w:cs="Times New Roman"/>
                      <w:color w:val="auto"/>
                    </w:rPr>
                    <w:t>CGCS2000坐标系</w:t>
                  </w:r>
                  <w:r>
                    <w:rPr>
                      <w:rFonts w:hint="default" w:ascii="Times New Roman" w:hAnsi="Times New Roman" w:cs="Times New Roman"/>
                      <w:color w:val="auto"/>
                      <w:lang w:eastAsia="zh-CN"/>
                    </w:rPr>
                    <w:t>）</w:t>
                  </w:r>
                </w:p>
              </w:tc>
            </w:tr>
            <w:tr w14:paraId="1860D4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vMerge w:val="continue"/>
                  <w:tcBorders>
                    <w:tl2br w:val="nil"/>
                    <w:tr2bl w:val="nil"/>
                  </w:tcBorders>
                  <w:noWrap w:val="0"/>
                  <w:vAlign w:val="center"/>
                </w:tcPr>
                <w:p w14:paraId="6079012C">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31" w:type="pct"/>
                  <w:tcBorders>
                    <w:tl2br w:val="nil"/>
                    <w:tr2bl w:val="nil"/>
                  </w:tcBorders>
                  <w:noWrap w:val="0"/>
                  <w:vAlign w:val="center"/>
                </w:tcPr>
                <w:p w14:paraId="0CC824F7">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rPr>
                  </w:pPr>
                  <w:r>
                    <w:rPr>
                      <w:rFonts w:hint="eastAsia" w:ascii="宋体" w:eastAsia="宋体" w:cs="宋体"/>
                      <w:sz w:val="21"/>
                      <w:szCs w:val="21"/>
                    </w:rPr>
                    <w:t>东经</w:t>
                  </w:r>
                </w:p>
              </w:tc>
              <w:tc>
                <w:tcPr>
                  <w:tcW w:w="2134" w:type="pct"/>
                  <w:tcBorders>
                    <w:tl2br w:val="nil"/>
                    <w:tr2bl w:val="nil"/>
                  </w:tcBorders>
                  <w:noWrap w:val="0"/>
                  <w:vAlign w:val="center"/>
                </w:tcPr>
                <w:p w14:paraId="3AA66608">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rPr>
                  </w:pPr>
                  <w:r>
                    <w:rPr>
                      <w:rFonts w:hint="eastAsia" w:ascii="宋体" w:eastAsia="宋体" w:cs="宋体"/>
                      <w:sz w:val="21"/>
                      <w:szCs w:val="21"/>
                    </w:rPr>
                    <w:t>北纬</w:t>
                  </w:r>
                </w:p>
              </w:tc>
            </w:tr>
            <w:tr w14:paraId="6492DF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03E4994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001</w:t>
                  </w:r>
                </w:p>
              </w:tc>
              <w:tc>
                <w:tcPr>
                  <w:tcW w:w="2131" w:type="pct"/>
                  <w:tcBorders>
                    <w:tl2br w:val="nil"/>
                    <w:tr2bl w:val="nil"/>
                  </w:tcBorders>
                  <w:noWrap w:val="0"/>
                  <w:vAlign w:val="center"/>
                </w:tcPr>
                <w:p w14:paraId="6E327201">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bookmarkStart w:id="21" w:name="_GoBack"/>
                  <w:bookmarkEnd w:id="21"/>
                </w:p>
              </w:tc>
              <w:tc>
                <w:tcPr>
                  <w:tcW w:w="2134" w:type="pct"/>
                  <w:tcBorders>
                    <w:tl2br w:val="nil"/>
                    <w:tr2bl w:val="nil"/>
                  </w:tcBorders>
                  <w:noWrap w:val="0"/>
                  <w:vAlign w:val="center"/>
                </w:tcPr>
                <w:p w14:paraId="0188FD96">
                  <w:pPr>
                    <w:pStyle w:val="35"/>
                    <w:keepNext w:val="0"/>
                    <w:keepLines w:val="0"/>
                    <w:suppressLineNumbers w:val="0"/>
                    <w:spacing w:before="0" w:beforeAutospacing="0" w:after="0" w:afterAutospacing="0" w:line="240" w:lineRule="auto"/>
                    <w:ind w:left="0" w:right="0" w:firstLine="0" w:firstLineChars="0"/>
                    <w:rPr>
                      <w:rFonts w:hint="eastAsia" w:ascii="Times New Roman" w:hAnsi="Times New Roman" w:eastAsia="宋体" w:cs="Times New Roman"/>
                      <w:color w:val="auto"/>
                      <w:sz w:val="21"/>
                      <w:szCs w:val="21"/>
                      <w:lang w:val="en-US" w:eastAsia="zh-CN"/>
                    </w:rPr>
                  </w:pPr>
                </w:p>
              </w:tc>
            </w:tr>
            <w:tr w14:paraId="0BC2F1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226F202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002</w:t>
                  </w:r>
                </w:p>
              </w:tc>
              <w:tc>
                <w:tcPr>
                  <w:tcW w:w="3490" w:type="dxa"/>
                  <w:tcBorders>
                    <w:tl2br w:val="nil"/>
                    <w:tr2bl w:val="nil"/>
                  </w:tcBorders>
                  <w:noWrap w:val="0"/>
                  <w:vAlign w:val="center"/>
                </w:tcPr>
                <w:p w14:paraId="4E3CE87E">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08C76BB0">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r w14:paraId="670669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0DF48C9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003</w:t>
                  </w:r>
                </w:p>
              </w:tc>
              <w:tc>
                <w:tcPr>
                  <w:tcW w:w="3490" w:type="dxa"/>
                  <w:tcBorders>
                    <w:tl2br w:val="nil"/>
                    <w:tr2bl w:val="nil"/>
                  </w:tcBorders>
                  <w:noWrap w:val="0"/>
                  <w:vAlign w:val="center"/>
                </w:tcPr>
                <w:p w14:paraId="043C5676">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07585C68">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r w14:paraId="0C6D9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39B59907">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004</w:t>
                  </w:r>
                </w:p>
              </w:tc>
              <w:tc>
                <w:tcPr>
                  <w:tcW w:w="3490" w:type="dxa"/>
                  <w:tcBorders>
                    <w:tl2br w:val="nil"/>
                    <w:tr2bl w:val="nil"/>
                  </w:tcBorders>
                  <w:noWrap w:val="0"/>
                  <w:vAlign w:val="center"/>
                </w:tcPr>
                <w:p w14:paraId="234AEC5B">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1711117A">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r w14:paraId="09997F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63C0007A">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005</w:t>
                  </w:r>
                </w:p>
              </w:tc>
              <w:tc>
                <w:tcPr>
                  <w:tcW w:w="3490" w:type="dxa"/>
                  <w:tcBorders>
                    <w:tl2br w:val="nil"/>
                    <w:tr2bl w:val="nil"/>
                  </w:tcBorders>
                  <w:noWrap w:val="0"/>
                  <w:vAlign w:val="center"/>
                </w:tcPr>
                <w:p w14:paraId="6C8A224D">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1842A534">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r w14:paraId="689E88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4C8D7CC8">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006</w:t>
                  </w:r>
                </w:p>
              </w:tc>
              <w:tc>
                <w:tcPr>
                  <w:tcW w:w="3490" w:type="dxa"/>
                  <w:tcBorders>
                    <w:tl2br w:val="nil"/>
                    <w:tr2bl w:val="nil"/>
                  </w:tcBorders>
                  <w:noWrap w:val="0"/>
                  <w:vAlign w:val="center"/>
                </w:tcPr>
                <w:p w14:paraId="293CC2C9">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4B37F102">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r w14:paraId="1FFBDF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4BF13AC9">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007</w:t>
                  </w:r>
                </w:p>
              </w:tc>
              <w:tc>
                <w:tcPr>
                  <w:tcW w:w="3490" w:type="dxa"/>
                  <w:tcBorders>
                    <w:tl2br w:val="nil"/>
                    <w:tr2bl w:val="nil"/>
                  </w:tcBorders>
                  <w:noWrap w:val="0"/>
                  <w:vAlign w:val="center"/>
                </w:tcPr>
                <w:p w14:paraId="27815992">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1ED8CA10">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r w14:paraId="019F63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34" w:type="pct"/>
                  <w:tcBorders>
                    <w:tl2br w:val="nil"/>
                    <w:tr2bl w:val="nil"/>
                  </w:tcBorders>
                  <w:noWrap w:val="0"/>
                  <w:vAlign w:val="center"/>
                </w:tcPr>
                <w:p w14:paraId="2BA636CC">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008</w:t>
                  </w:r>
                </w:p>
              </w:tc>
              <w:tc>
                <w:tcPr>
                  <w:tcW w:w="3490" w:type="dxa"/>
                  <w:tcBorders>
                    <w:tl2br w:val="nil"/>
                    <w:tr2bl w:val="nil"/>
                  </w:tcBorders>
                  <w:noWrap w:val="0"/>
                  <w:vAlign w:val="center"/>
                </w:tcPr>
                <w:p w14:paraId="63B26788">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c>
                <w:tcPr>
                  <w:tcW w:w="3495" w:type="dxa"/>
                  <w:tcBorders>
                    <w:tl2br w:val="nil"/>
                    <w:tr2bl w:val="nil"/>
                  </w:tcBorders>
                  <w:noWrap w:val="0"/>
                  <w:vAlign w:val="center"/>
                </w:tcPr>
                <w:p w14:paraId="0C60B74E">
                  <w:pPr>
                    <w:pStyle w:val="3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p>
              </w:tc>
            </w:tr>
          </w:tbl>
          <w:p w14:paraId="12F41555">
            <w:pPr>
              <w:keepNext w:val="0"/>
              <w:keepLines w:val="0"/>
              <w:suppressLineNumbers w:val="0"/>
              <w:spacing w:before="0" w:beforeAutospacing="0" w:after="0" w:afterAutospacing="0"/>
              <w:ind w:left="0" w:right="0" w:firstLine="482"/>
              <w:rPr>
                <w:rFonts w:hint="default" w:ascii="Times New Roman" w:hAnsi="Times New Roman" w:cs="Times New Roman"/>
                <w:b/>
                <w:color w:val="auto"/>
              </w:rPr>
            </w:pPr>
          </w:p>
        </w:tc>
      </w:tr>
      <w:tr w14:paraId="604762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 w:type="dxa"/>
            <w:noWrap w:val="0"/>
            <w:vAlign w:val="center"/>
          </w:tcPr>
          <w:p w14:paraId="2FE87B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项</w:t>
            </w:r>
          </w:p>
          <w:p w14:paraId="2EC0F0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目</w:t>
            </w:r>
          </w:p>
          <w:p w14:paraId="4C7562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组</w:t>
            </w:r>
          </w:p>
          <w:p w14:paraId="5F31F5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成</w:t>
            </w:r>
          </w:p>
          <w:p w14:paraId="0FDDFB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及</w:t>
            </w:r>
          </w:p>
          <w:p w14:paraId="184626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规</w:t>
            </w:r>
          </w:p>
          <w:p w14:paraId="11708E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模</w:t>
            </w:r>
          </w:p>
        </w:tc>
        <w:tc>
          <w:tcPr>
            <w:tcW w:w="8423" w:type="dxa"/>
            <w:noWrap w:val="0"/>
            <w:vAlign w:val="top"/>
          </w:tcPr>
          <w:p w14:paraId="328703EB">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2.1</w:t>
            </w:r>
            <w:r>
              <w:rPr>
                <w:rFonts w:hint="default" w:ascii="Times New Roman" w:hAnsi="Times New Roman" w:cs="Times New Roman"/>
                <w:color w:val="auto"/>
                <w:highlight w:val="none"/>
                <w:lang w:bidi="ar"/>
              </w:rPr>
              <w:t>项目</w:t>
            </w:r>
            <w:r>
              <w:rPr>
                <w:rFonts w:hint="eastAsia" w:cs="Times New Roman"/>
                <w:color w:val="auto"/>
                <w:highlight w:val="none"/>
                <w:lang w:val="en-US" w:eastAsia="zh-CN" w:bidi="ar"/>
              </w:rPr>
              <w:t>背景</w:t>
            </w:r>
          </w:p>
          <w:p w14:paraId="4AF36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cs="Times New Roman"/>
              </w:rPr>
              <w:t>北京天承盛西矿业技术开发有限公司于</w:t>
            </w:r>
            <w:r>
              <w:rPr>
                <w:rFonts w:hint="eastAsia" w:ascii="Times New Roman" w:hAnsi="Times New Roman" w:cs="Times New Roman"/>
                <w:highlight w:val="none"/>
              </w:rPr>
              <w:t>20</w:t>
            </w:r>
            <w:r>
              <w:rPr>
                <w:rFonts w:hint="eastAsia" w:ascii="Times New Roman" w:hAnsi="Times New Roman" w:cs="Times New Roman"/>
                <w:highlight w:val="none"/>
                <w:lang w:val="en-US" w:eastAsia="zh-CN"/>
              </w:rPr>
              <w:t>2</w:t>
            </w:r>
            <w:r>
              <w:rPr>
                <w:rFonts w:hint="eastAsia" w:cs="Times New Roman"/>
                <w:highlight w:val="none"/>
                <w:lang w:val="en-US" w:eastAsia="zh-CN"/>
              </w:rPr>
              <w:t>6</w:t>
            </w:r>
            <w:r>
              <w:rPr>
                <w:rFonts w:hint="eastAsia" w:ascii="Times New Roman" w:hAnsi="Times New Roman" w:cs="Times New Roman"/>
                <w:highlight w:val="none"/>
              </w:rPr>
              <w:t>年</w:t>
            </w:r>
            <w:r>
              <w:rPr>
                <w:rFonts w:hint="eastAsia" w:ascii="Times New Roman" w:hAnsi="Times New Roman" w:cs="Times New Roman"/>
                <w:highlight w:val="none"/>
                <w:lang w:val="en-US" w:eastAsia="zh-CN"/>
              </w:rPr>
              <w:t>4</w:t>
            </w:r>
            <w:r>
              <w:rPr>
                <w:rFonts w:hint="eastAsia" w:ascii="Times New Roman" w:hAnsi="Times New Roman" w:cs="Times New Roman"/>
                <w:highlight w:val="none"/>
              </w:rPr>
              <w:t>月</w:t>
            </w:r>
            <w:r>
              <w:rPr>
                <w:rFonts w:hint="eastAsia" w:cs="Times New Roman"/>
                <w:highlight w:val="none"/>
                <w:lang w:val="en-US" w:eastAsia="zh-CN"/>
              </w:rPr>
              <w:t>7</w:t>
            </w:r>
            <w:r>
              <w:rPr>
                <w:rFonts w:hint="eastAsia" w:ascii="Times New Roman" w:hAnsi="Times New Roman" w:cs="Times New Roman"/>
                <w:highlight w:val="none"/>
              </w:rPr>
              <w:t>日取得“新疆和静县胡勒哈其北钴镍矿勘探”</w:t>
            </w:r>
            <w:r>
              <w:rPr>
                <w:rFonts w:hint="eastAsia" w:cs="Times New Roman"/>
                <w:highlight w:val="none"/>
                <w:lang w:val="en-US" w:eastAsia="zh-CN"/>
              </w:rPr>
              <w:t>不动产权</w:t>
            </w:r>
            <w:r>
              <w:rPr>
                <w:rFonts w:hint="eastAsia" w:ascii="Times New Roman" w:hAnsi="Times New Roman" w:cs="Times New Roman"/>
                <w:highlight w:val="none"/>
              </w:rPr>
              <w:t>证</w:t>
            </w:r>
            <w:r>
              <w:rPr>
                <w:rFonts w:hint="eastAsia" w:cs="Times New Roman"/>
                <w:highlight w:val="none"/>
                <w:lang w:val="en-US" w:eastAsia="zh-CN"/>
              </w:rPr>
              <w:t>书（探矿权）</w:t>
            </w:r>
            <w:r>
              <w:rPr>
                <w:rFonts w:hint="eastAsia" w:ascii="Times New Roman" w:hAnsi="Times New Roman" w:cs="Times New Roman"/>
                <w:highlight w:val="none"/>
              </w:rPr>
              <w:t>，勘查矿种为镍矿，证号：</w:t>
            </w:r>
            <w:r>
              <w:rPr>
                <w:rFonts w:hint="eastAsia" w:cs="Times New Roman"/>
                <w:highlight w:val="none"/>
                <w:lang w:val="en-US" w:eastAsia="zh-CN"/>
              </w:rPr>
              <w:t>D</w:t>
            </w:r>
            <w:r>
              <w:rPr>
                <w:rFonts w:hint="eastAsia" w:ascii="Times New Roman" w:hAnsi="Times New Roman" w:cs="Times New Roman"/>
                <w:color w:val="auto"/>
                <w:kern w:val="0"/>
                <w:highlight w:val="none"/>
                <w:lang w:val="en-US" w:eastAsia="zh-CN"/>
              </w:rPr>
              <w:t>T6500002008103010017255</w:t>
            </w:r>
            <w:r>
              <w:rPr>
                <w:rFonts w:hint="eastAsia" w:ascii="Times New Roman" w:hAnsi="Times New Roman" w:cs="Times New Roman"/>
                <w:highlight w:val="none"/>
              </w:rPr>
              <w:t>，有效期限2</w:t>
            </w:r>
            <w:r>
              <w:rPr>
                <w:rFonts w:hint="default" w:ascii="Times New Roman" w:hAnsi="Times New Roman" w:cs="Times New Roman"/>
                <w:highlight w:val="none"/>
              </w:rPr>
              <w:t>02</w:t>
            </w:r>
            <w:r>
              <w:rPr>
                <w:rFonts w:hint="eastAsia" w:cs="Times New Roman"/>
                <w:highlight w:val="none"/>
                <w:lang w:val="en-US" w:eastAsia="zh-CN"/>
              </w:rPr>
              <w:t>6</w:t>
            </w:r>
            <w:r>
              <w:rPr>
                <w:rFonts w:hint="eastAsia" w:ascii="Times New Roman" w:hAnsi="Times New Roman" w:cs="Times New Roman"/>
                <w:highlight w:val="none"/>
              </w:rPr>
              <w:t>年</w:t>
            </w:r>
            <w:r>
              <w:rPr>
                <w:rFonts w:hint="eastAsia" w:ascii="Times New Roman" w:hAnsi="Times New Roman" w:cs="Times New Roman"/>
                <w:highlight w:val="none"/>
                <w:lang w:val="en-US" w:eastAsia="zh-CN"/>
              </w:rPr>
              <w:t>4</w:t>
            </w:r>
            <w:r>
              <w:rPr>
                <w:rFonts w:hint="eastAsia" w:ascii="Times New Roman" w:hAnsi="Times New Roman" w:cs="Times New Roman"/>
                <w:highlight w:val="none"/>
              </w:rPr>
              <w:t>月</w:t>
            </w:r>
            <w:r>
              <w:rPr>
                <w:rFonts w:hint="eastAsia" w:cs="Times New Roman"/>
                <w:highlight w:val="none"/>
                <w:lang w:val="en-US" w:eastAsia="zh-CN"/>
              </w:rPr>
              <w:t>7</w:t>
            </w:r>
            <w:r>
              <w:rPr>
                <w:rFonts w:hint="eastAsia" w:ascii="Times New Roman" w:hAnsi="Times New Roman" w:cs="Times New Roman"/>
                <w:highlight w:val="none"/>
              </w:rPr>
              <w:t>日至</w:t>
            </w:r>
            <w:r>
              <w:rPr>
                <w:rFonts w:hint="eastAsia" w:ascii="Times New Roman" w:hAnsi="Times New Roman" w:cs="Times New Roman"/>
                <w:highlight w:val="none"/>
                <w:lang w:val="en-US" w:eastAsia="zh-CN"/>
              </w:rPr>
              <w:t>20</w:t>
            </w:r>
            <w:r>
              <w:rPr>
                <w:rFonts w:hint="eastAsia" w:cs="Times New Roman"/>
                <w:highlight w:val="none"/>
                <w:lang w:val="en-US" w:eastAsia="zh-CN"/>
              </w:rPr>
              <w:t>31</w:t>
            </w:r>
            <w:r>
              <w:rPr>
                <w:rFonts w:hint="eastAsia" w:ascii="Times New Roman" w:hAnsi="Times New Roman" w:cs="Times New Roman"/>
                <w:highlight w:val="none"/>
              </w:rPr>
              <w:t>年</w:t>
            </w:r>
            <w:r>
              <w:rPr>
                <w:rFonts w:hint="eastAsia" w:ascii="Times New Roman" w:hAnsi="Times New Roman" w:cs="Times New Roman"/>
                <w:highlight w:val="none"/>
                <w:lang w:val="en-US" w:eastAsia="zh-CN"/>
              </w:rPr>
              <w:t>4</w:t>
            </w:r>
            <w:r>
              <w:rPr>
                <w:rFonts w:hint="eastAsia" w:ascii="Times New Roman" w:hAnsi="Times New Roman" w:cs="Times New Roman"/>
                <w:highlight w:val="none"/>
              </w:rPr>
              <w:t>月</w:t>
            </w:r>
            <w:r>
              <w:rPr>
                <w:rFonts w:hint="eastAsia" w:ascii="Times New Roman" w:hAnsi="Times New Roman" w:cs="Times New Roman"/>
                <w:highlight w:val="none"/>
                <w:lang w:val="en-US" w:eastAsia="zh-CN"/>
              </w:rPr>
              <w:t>6</w:t>
            </w:r>
            <w:r>
              <w:rPr>
                <w:rFonts w:hint="eastAsia" w:ascii="Times New Roman" w:hAnsi="Times New Roman" w:cs="Times New Roman"/>
                <w:highlight w:val="none"/>
              </w:rPr>
              <w:t>日，勘查面积为</w:t>
            </w:r>
            <w:r>
              <w:rPr>
                <w:rFonts w:hint="eastAsia" w:cs="Times New Roman"/>
                <w:lang w:val="en-US" w:eastAsia="zh-CN"/>
              </w:rPr>
              <w:t>1212</w:t>
            </w:r>
            <w:r>
              <w:rPr>
                <w:rFonts w:hint="eastAsia" w:ascii="Times New Roman" w:hAnsi="Times New Roman" w:cs="Times New Roman"/>
                <w:lang w:val="en-US" w:eastAsia="zh-CN"/>
              </w:rPr>
              <w:t>0</w:t>
            </w:r>
            <w:r>
              <w:rPr>
                <w:rFonts w:hint="eastAsia" w:ascii="Times New Roman" w:hAnsi="Times New Roman" w:cs="Times New Roman"/>
                <w:color w:val="auto"/>
                <w:lang w:val="en-US" w:eastAsia="zh-CN"/>
              </w:rPr>
              <w:t>000</w:t>
            </w:r>
            <w:r>
              <w:rPr>
                <w:rFonts w:hint="default" w:ascii="Times New Roman" w:hAnsi="Times New Roman" w:cs="Times New Roman"/>
                <w:color w:val="auto"/>
              </w:rPr>
              <w:t>m</w:t>
            </w:r>
            <w:r>
              <w:rPr>
                <w:rFonts w:hint="default" w:ascii="Times New Roman" w:hAnsi="Times New Roman" w:cs="Times New Roman"/>
                <w:color w:val="auto"/>
                <w:vertAlign w:val="superscript"/>
              </w:rPr>
              <w:t>2</w:t>
            </w:r>
            <w:r>
              <w:rPr>
                <w:rFonts w:hint="eastAsia" w:ascii="Times New Roman" w:hAnsi="Times New Roman" w:cs="Times New Roman"/>
                <w:color w:val="auto"/>
              </w:rPr>
              <w:t>。</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临时用地面积为15000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eastAsia" w:ascii="Times New Roman" w:hAnsi="Times New Roman" w:cs="Times New Roman"/>
                <w:color w:val="auto"/>
                <w:highlight w:val="none"/>
                <w:lang w:val="en-US" w:eastAsia="zh-CN"/>
              </w:rPr>
              <w:t>，其中探矿路面积12500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lang w:val="en-US" w:eastAsia="zh-CN"/>
              </w:rPr>
              <w:t>施工营地</w:t>
            </w:r>
            <w:r>
              <w:rPr>
                <w:rFonts w:hint="eastAsia" w:ascii="Times New Roman" w:hAnsi="Times New Roman" w:cs="Times New Roman"/>
                <w:color w:val="auto"/>
                <w:highlight w:val="none"/>
                <w:lang w:val="en-US" w:eastAsia="zh-CN"/>
              </w:rPr>
              <w:t>面积500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eastAsia" w:ascii="Times New Roman" w:hAnsi="Times New Roman" w:cs="Times New Roman"/>
                <w:color w:val="auto"/>
                <w:highlight w:val="none"/>
                <w:lang w:val="en-US" w:eastAsia="zh-CN"/>
              </w:rPr>
              <w:t>，临时工作区2000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eastAsia" w:ascii="Times New Roman" w:hAnsi="Times New Roman" w:cs="Times New Roman"/>
                <w:color w:val="auto"/>
                <w:highlight w:val="none"/>
                <w:lang w:eastAsia="zh-CN"/>
              </w:rPr>
              <w:t>）</w:t>
            </w:r>
          </w:p>
          <w:p w14:paraId="17122A9B">
            <w:pPr>
              <w:pStyle w:val="24"/>
              <w:keepNext w:val="0"/>
              <w:keepLines w:val="0"/>
              <w:suppressLineNumbers w:val="0"/>
              <w:spacing w:before="0" w:beforeAutospacing="0" w:after="0" w:afterAutospacing="0"/>
              <w:ind w:left="0" w:leftChars="0" w:right="0" w:firstLine="0" w:firstLineChars="0"/>
              <w:outlineLvl w:val="9"/>
              <w:rPr>
                <w:rFonts w:hint="default"/>
                <w:color w:val="auto"/>
              </w:rPr>
            </w:pPr>
            <w:r>
              <w:rPr>
                <w:rFonts w:hint="eastAsia"/>
                <w:color w:val="auto"/>
                <w:lang w:val="en-US" w:eastAsia="zh-CN" w:bidi="ar"/>
              </w:rPr>
              <w:t>2.2</w:t>
            </w:r>
            <w:r>
              <w:rPr>
                <w:rFonts w:hint="eastAsia"/>
                <w:color w:val="auto"/>
                <w:lang w:bidi="ar"/>
              </w:rPr>
              <w:t>项目基本概况</w:t>
            </w:r>
          </w:p>
          <w:p w14:paraId="01763349">
            <w:pPr>
              <w:keepNext w:val="0"/>
              <w:keepLines w:val="0"/>
              <w:suppressLineNumbers w:val="0"/>
              <w:spacing w:before="0" w:beforeAutospacing="0" w:after="0" w:afterAutospacing="0"/>
              <w:ind w:left="0" w:right="0" w:firstLine="480"/>
              <w:rPr>
                <w:rFonts w:hint="eastAsia" w:ascii="Times New Roman" w:hAnsi="Times New Roman" w:cs="Times New Roman"/>
                <w:color w:val="auto"/>
              </w:rPr>
            </w:pPr>
            <w:r>
              <w:rPr>
                <w:rFonts w:hint="default" w:ascii="Times New Roman" w:hAnsi="Times New Roman" w:eastAsia="宋体" w:cs="Times New Roman"/>
                <w:color w:val="auto"/>
              </w:rPr>
              <w:t>（</w:t>
            </w:r>
            <w:r>
              <w:rPr>
                <w:rFonts w:hint="eastAsia" w:ascii="Times New Roman" w:hAnsi="Times New Roman" w:eastAsia="宋体" w:cs="Times New Roman"/>
                <w:color w:val="auto"/>
                <w:lang w:val="en-US" w:eastAsia="zh-CN"/>
              </w:rPr>
              <w:t>1</w:t>
            </w:r>
            <w:r>
              <w:rPr>
                <w:rFonts w:hint="default" w:ascii="Times New Roman" w:hAnsi="Times New Roman" w:eastAsia="宋体" w:cs="Times New Roman"/>
                <w:color w:val="auto"/>
              </w:rPr>
              <w:t>）</w:t>
            </w:r>
            <w:r>
              <w:rPr>
                <w:rFonts w:hint="eastAsia" w:ascii="Times New Roman" w:hAnsi="Times New Roman" w:cs="Times New Roman"/>
                <w:color w:val="auto"/>
                <w:lang w:val="en-US" w:eastAsia="zh-CN"/>
              </w:rPr>
              <w:t>勘查矿种：</w:t>
            </w:r>
            <w:r>
              <w:rPr>
                <w:rFonts w:hint="eastAsia" w:ascii="Times New Roman" w:hAnsi="Times New Roman" w:cs="Times New Roman"/>
              </w:rPr>
              <w:t>镍矿</w:t>
            </w:r>
          </w:p>
          <w:p w14:paraId="075D7A3C">
            <w:pPr>
              <w:pStyle w:val="2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eastAsia" w:ascii="Times New Roman" w:hAnsi="Times New Roman"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w:t>
            </w:r>
            <w:r>
              <w:rPr>
                <w:rFonts w:hint="eastAsia"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w:t>
            </w:r>
            <w:r>
              <w:rPr>
                <w:rFonts w:hint="eastAsia" w:ascii="Times New Roman" w:hAnsi="Times New Roman" w:eastAsia="宋体" w:cs="Times New Roman"/>
                <w:color w:val="auto"/>
                <w:lang w:val="en-US" w:eastAsia="zh-CN"/>
              </w:rPr>
              <w:t>探矿方式：采用1:10000地质草测、1:2000地质剖面、1:2000地化（岩石）剖面测量、槽探工程及样品测试等综合勘查技术方法</w:t>
            </w:r>
          </w:p>
          <w:p w14:paraId="70374182">
            <w:pPr>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3</w:t>
            </w:r>
            <w:r>
              <w:rPr>
                <w:rFonts w:hint="default" w:ascii="Times New Roman" w:hAnsi="Times New Roman" w:eastAsia="宋体" w:cs="Times New Roman"/>
                <w:color w:val="auto"/>
                <w:lang w:val="en-US" w:eastAsia="zh-CN"/>
              </w:rPr>
              <w:t>）</w:t>
            </w:r>
            <w:r>
              <w:rPr>
                <w:rFonts w:hint="default" w:ascii="Times New Roman" w:hAnsi="Times New Roman" w:cs="Times New Roman"/>
                <w:color w:val="auto"/>
              </w:rPr>
              <w:t>工程投资：</w:t>
            </w:r>
            <w:r>
              <w:rPr>
                <w:rFonts w:hint="eastAsia" w:cs="Times New Roman"/>
                <w:color w:val="auto"/>
                <w:lang w:val="en-US" w:eastAsia="zh-CN"/>
              </w:rPr>
              <w:t>60.43</w:t>
            </w:r>
            <w:r>
              <w:rPr>
                <w:rFonts w:hint="default" w:ascii="Times New Roman" w:hAnsi="Times New Roman" w:cs="Times New Roman"/>
                <w:color w:val="auto"/>
              </w:rPr>
              <w:t>万元</w:t>
            </w:r>
          </w:p>
          <w:p w14:paraId="4BDC9953">
            <w:pPr>
              <w:keepNext w:val="0"/>
              <w:keepLines w:val="0"/>
              <w:suppressLineNumbers w:val="0"/>
              <w:spacing w:before="0" w:beforeAutospacing="0" w:after="0" w:afterAutospacing="0"/>
              <w:ind w:left="0" w:right="0" w:firstLine="480"/>
              <w:rPr>
                <w:rFonts w:hint="default" w:ascii="Times New Roman" w:hAnsi="Times New Roman" w:cs="Times New Roman"/>
                <w:color w:val="auto"/>
              </w:rPr>
            </w:pPr>
            <w:r>
              <w:rPr>
                <w:rFonts w:hint="default" w:ascii="Times New Roman" w:hAnsi="Times New Roman" w:eastAsia="宋体" w:cs="Times New Roman"/>
                <w:color w:val="auto"/>
              </w:rPr>
              <w:t>（</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rPr>
              <w:t>）</w:t>
            </w:r>
            <w:r>
              <w:rPr>
                <w:rFonts w:hint="eastAsia" w:ascii="Times New Roman" w:hAnsi="Times New Roman" w:cs="Times New Roman"/>
                <w:color w:val="auto"/>
              </w:rPr>
              <w:t>勘查面积：</w:t>
            </w:r>
            <w:r>
              <w:rPr>
                <w:rFonts w:hint="eastAsia" w:cs="Times New Roman"/>
                <w:color w:val="auto"/>
                <w:lang w:val="en-US" w:eastAsia="zh-CN"/>
              </w:rPr>
              <w:t>1212</w:t>
            </w:r>
            <w:r>
              <w:rPr>
                <w:rFonts w:hint="eastAsia" w:ascii="Times New Roman" w:hAnsi="Times New Roman" w:cs="Times New Roman"/>
                <w:color w:val="auto"/>
                <w:lang w:val="en-US" w:eastAsia="zh-CN"/>
              </w:rPr>
              <w:t>0000</w:t>
            </w:r>
            <w:r>
              <w:rPr>
                <w:rFonts w:hint="default" w:ascii="Times New Roman" w:hAnsi="Times New Roman" w:cs="Times New Roman"/>
                <w:color w:val="auto"/>
              </w:rPr>
              <w:t>m</w:t>
            </w:r>
            <w:r>
              <w:rPr>
                <w:rFonts w:hint="default" w:ascii="Times New Roman" w:hAnsi="Times New Roman" w:cs="Times New Roman"/>
                <w:color w:val="auto"/>
                <w:vertAlign w:val="superscript"/>
              </w:rPr>
              <w:t>2</w:t>
            </w:r>
          </w:p>
          <w:p w14:paraId="4541DD5B">
            <w:pPr>
              <w:keepNext w:val="0"/>
              <w:keepLines w:val="0"/>
              <w:suppressLineNumbers w:val="0"/>
              <w:spacing w:before="0" w:beforeAutospacing="0" w:after="0" w:afterAutospacing="0"/>
              <w:ind w:left="0" w:right="0" w:firstLine="480"/>
              <w:rPr>
                <w:rFonts w:hint="default" w:ascii="Times New Roman" w:hAnsi="Times New Roman" w:cs="Times New Roman"/>
                <w:color w:val="auto"/>
              </w:rPr>
            </w:pPr>
            <w:r>
              <w:rPr>
                <w:rFonts w:hint="default" w:ascii="Times New Roman" w:hAnsi="Times New Roman" w:eastAsia="宋体" w:cs="Times New Roman"/>
                <w:color w:val="auto"/>
              </w:rPr>
              <w:t>（</w:t>
            </w:r>
            <w:r>
              <w:rPr>
                <w:rFonts w:hint="eastAsia" w:ascii="Times New Roman" w:hAnsi="Times New Roman" w:eastAsia="宋体" w:cs="Times New Roman"/>
                <w:color w:val="auto"/>
                <w:lang w:val="en-US" w:eastAsia="zh-CN"/>
              </w:rPr>
              <w:t>5</w:t>
            </w:r>
            <w:r>
              <w:rPr>
                <w:rFonts w:hint="default" w:ascii="Times New Roman" w:hAnsi="Times New Roman" w:eastAsia="宋体" w:cs="Times New Roman"/>
                <w:color w:val="auto"/>
              </w:rPr>
              <w:t>）</w:t>
            </w:r>
            <w:r>
              <w:rPr>
                <w:rFonts w:hint="eastAsia" w:ascii="Times New Roman" w:hAnsi="Times New Roman" w:cs="Times New Roman"/>
                <w:color w:val="auto"/>
              </w:rPr>
              <w:t>总体工作部署：</w:t>
            </w:r>
          </w:p>
          <w:p w14:paraId="75A383F1">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r>
              <w:rPr>
                <w:rFonts w:hint="eastAsia" w:ascii="宋体" w:hAnsi="宋体" w:cs="宋体"/>
                <w:color w:val="000000"/>
                <w:lang w:val="en-US" w:eastAsia="zh-CN"/>
              </w:rPr>
              <w:t>①</w:t>
            </w:r>
            <w:r>
              <w:rPr>
                <w:rFonts w:hint="eastAsia" w:ascii="宋体" w:hAnsi="宋体" w:cs="宋体"/>
                <w:color w:val="000000"/>
              </w:rPr>
              <w:t>系统收集工作区以往地、物、化、遥以及矿产勘查资料，进一步分析总结工作区控矿因素与成矿规律，指导本次勘查工作开展。</w:t>
            </w:r>
          </w:p>
          <w:p w14:paraId="511CCC0C">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②</w:t>
            </w:r>
            <w:r>
              <w:rPr>
                <w:rFonts w:hint="default" w:ascii="Times New Roman" w:hAnsi="Times New Roman" w:cs="Times New Roman"/>
                <w:color w:val="auto"/>
                <w:lang w:val="en-US" w:eastAsia="zh-CN"/>
              </w:rPr>
              <w:t>开展工作区全区</w:t>
            </w:r>
            <w:r>
              <w:rPr>
                <w:rFonts w:hint="eastAsia" w:ascii="Times New Roman" w:hAnsi="Times New Roman" w:eastAsia="宋体" w:cs="Times New Roman"/>
                <w:color w:val="auto"/>
                <w:lang w:val="en-US" w:eastAsia="zh-CN"/>
              </w:rPr>
              <w:t>1:10000地质草测、1:2000地质剖面、1:2000地化（岩石）剖面测量</w:t>
            </w:r>
            <w:r>
              <w:rPr>
                <w:rFonts w:hint="default" w:ascii="Times New Roman" w:hAnsi="Times New Roman" w:cs="Times New Roman"/>
                <w:color w:val="auto"/>
                <w:lang w:val="en-US" w:eastAsia="zh-CN"/>
              </w:rPr>
              <w:t>，进一步查明工作区成矿地质条件、矿化特征、控矿因素等；利用探槽对异常进行揭露、对已知矿化带延伸进行扩大控制，圈定矿体。</w:t>
            </w:r>
          </w:p>
          <w:p w14:paraId="7577D7E1">
            <w:pPr>
              <w:keepNext w:val="0"/>
              <w:keepLines w:val="0"/>
              <w:suppressLineNumbers w:val="0"/>
              <w:spacing w:before="0" w:beforeAutospacing="0" w:after="0" w:afterAutospacing="0"/>
              <w:ind w:left="0" w:right="0" w:firstLine="480"/>
              <w:rPr>
                <w:rFonts w:hint="default" w:ascii="Times New Roman" w:hAnsi="Times New Roman" w:cs="Times New Roman"/>
                <w:color w:val="auto"/>
              </w:rPr>
            </w:pPr>
            <w:r>
              <w:rPr>
                <w:rFonts w:hint="eastAsia" w:ascii="Times New Roman" w:hAnsi="Times New Roman" w:cs="Times New Roman"/>
                <w:color w:val="auto"/>
              </w:rPr>
              <w:t>（</w:t>
            </w:r>
            <w:r>
              <w:rPr>
                <w:rFonts w:hint="eastAsia" w:ascii="Times New Roman" w:hAnsi="Times New Roman" w:cs="Times New Roman"/>
                <w:color w:val="auto"/>
                <w:lang w:val="en-US" w:eastAsia="zh-CN"/>
              </w:rPr>
              <w:t>6</w:t>
            </w:r>
            <w:r>
              <w:rPr>
                <w:rFonts w:hint="eastAsia" w:ascii="Times New Roman" w:hAnsi="Times New Roman" w:cs="Times New Roman"/>
                <w:color w:val="auto"/>
              </w:rPr>
              <w:t>）</w:t>
            </w:r>
            <w:r>
              <w:rPr>
                <w:rFonts w:hint="eastAsia" w:ascii="Times New Roman" w:hAnsi="Times New Roman" w:cs="Times New Roman"/>
                <w:color w:val="auto"/>
                <w:lang w:val="en-US" w:eastAsia="zh-CN"/>
              </w:rPr>
              <w:t>勘查</w:t>
            </w:r>
            <w:r>
              <w:rPr>
                <w:rFonts w:hint="eastAsia" w:ascii="Times New Roman" w:hAnsi="Times New Roman" w:cs="Times New Roman"/>
                <w:color w:val="auto"/>
              </w:rPr>
              <w:t>的目的和任务</w:t>
            </w:r>
          </w:p>
          <w:p w14:paraId="7325DD98">
            <w:pPr>
              <w:keepNext w:val="0"/>
              <w:keepLines w:val="0"/>
              <w:suppressLineNumbers w:val="0"/>
              <w:tabs>
                <w:tab w:val="left" w:pos="6000"/>
              </w:tabs>
              <w:spacing w:before="0" w:beforeAutospacing="0" w:after="0" w:afterAutospacing="0"/>
              <w:ind w:left="0" w:right="0" w:firstLine="480"/>
              <w:rPr>
                <w:rFonts w:hint="eastAsia" w:ascii="Times New Roman" w:hAnsi="Times New Roman" w:eastAsia="宋体" w:cs="Times New Roman"/>
                <w:color w:val="auto"/>
                <w:lang w:eastAsia="zh-CN"/>
              </w:rPr>
            </w:pPr>
            <w:r>
              <w:rPr>
                <w:rFonts w:hint="eastAsia" w:ascii="宋体" w:hAnsi="宋体" w:cs="宋体"/>
                <w:color w:val="000000"/>
              </w:rPr>
              <w:t>在充分收集与分析已有工作成果资料的基础上，以寻找</w:t>
            </w:r>
            <w:r>
              <w:rPr>
                <w:rFonts w:hint="eastAsia" w:ascii="Times New Roman" w:hAnsi="Times New Roman" w:cs="Times New Roman"/>
              </w:rPr>
              <w:t>镍矿</w:t>
            </w:r>
            <w:r>
              <w:rPr>
                <w:rFonts w:hint="eastAsia" w:ascii="宋体" w:hAnsi="宋体" w:cs="宋体"/>
                <w:color w:val="000000"/>
              </w:rPr>
              <w:t>为主攻目标。采用</w:t>
            </w:r>
            <w:r>
              <w:rPr>
                <w:rFonts w:hint="eastAsia" w:ascii="Times New Roman" w:hAnsi="Times New Roman" w:eastAsia="宋体" w:cs="Times New Roman"/>
                <w:color w:val="auto"/>
                <w:lang w:val="en-US" w:eastAsia="zh-CN"/>
              </w:rPr>
              <w:t>地质测量、综合剖面测量</w:t>
            </w:r>
            <w:r>
              <w:rPr>
                <w:rFonts w:hint="eastAsia" w:ascii="宋体" w:hAnsi="宋体" w:cs="宋体"/>
                <w:color w:val="000000"/>
              </w:rPr>
              <w:t>、槽探等方法，对</w:t>
            </w:r>
            <w:r>
              <w:rPr>
                <w:rFonts w:hint="eastAsia" w:ascii="Times New Roman" w:hAnsi="Times New Roman" w:cs="Times New Roman"/>
              </w:rPr>
              <w:t>新疆和静县胡勒哈其北钴镍矿</w:t>
            </w:r>
            <w:r>
              <w:rPr>
                <w:rFonts w:hint="eastAsia"/>
                <w:lang w:val="en-US" w:eastAsia="zh-CN"/>
              </w:rPr>
              <w:t>勘查</w:t>
            </w:r>
            <w:r>
              <w:rPr>
                <w:rFonts w:hint="eastAsia" w:ascii="宋体" w:hAnsi="宋体" w:cs="宋体"/>
                <w:color w:val="000000"/>
              </w:rPr>
              <w:t>工作区开展普查工作，初步查明成矿地质条件、控矿因素和矿体特征，估算推断资源量，为下一步勘查工作部署提供依据。</w:t>
            </w:r>
          </w:p>
          <w:p w14:paraId="30D0E85F">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auto"/>
              <w:outlineLvl w:val="9"/>
              <w:rPr>
                <w:rFonts w:hint="default"/>
                <w:color w:val="auto"/>
              </w:rPr>
            </w:pPr>
            <w:r>
              <w:rPr>
                <w:rFonts w:hint="eastAsia"/>
                <w:color w:val="auto"/>
                <w:lang w:val="en-US" w:eastAsia="zh-CN"/>
              </w:rPr>
              <w:t>2.3</w:t>
            </w:r>
            <w:r>
              <w:rPr>
                <w:rFonts w:hint="default"/>
                <w:color w:val="auto"/>
              </w:rPr>
              <w:t>项目主要经济技术指标</w:t>
            </w:r>
          </w:p>
          <w:p w14:paraId="7556B8CC">
            <w:pPr>
              <w:keepNext w:val="0"/>
              <w:keepLines w:val="0"/>
              <w:suppressLineNumbers w:val="0"/>
              <w:spacing w:before="0" w:beforeAutospacing="0" w:after="0" w:afterAutospacing="0"/>
              <w:ind w:left="0" w:right="0" w:firstLine="480"/>
              <w:rPr>
                <w:rFonts w:hint="default" w:ascii="Times New Roman" w:hAnsi="Times New Roman" w:cs="Times New Roman"/>
                <w:color w:val="auto"/>
              </w:rPr>
            </w:pPr>
            <w:r>
              <w:rPr>
                <w:rFonts w:hint="default" w:ascii="Times New Roman" w:hAnsi="Times New Roman" w:cs="Times New Roman"/>
                <w:color w:val="auto"/>
              </w:rPr>
              <w:t>本项目主要经济技术指标见表</w:t>
            </w:r>
            <w:r>
              <w:rPr>
                <w:rFonts w:hint="eastAsia" w:ascii="Times New Roman" w:hAnsi="Times New Roman" w:cs="Times New Roman"/>
                <w:color w:val="auto"/>
                <w:lang w:val="en-US" w:eastAsia="zh-CN"/>
              </w:rPr>
              <w:t>2-2</w:t>
            </w:r>
            <w:r>
              <w:rPr>
                <w:rFonts w:hint="default" w:ascii="Times New Roman" w:hAnsi="Times New Roman" w:cs="Times New Roman"/>
                <w:color w:val="auto"/>
              </w:rPr>
              <w:t>。</w:t>
            </w:r>
          </w:p>
          <w:p w14:paraId="0ABA4033">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eastAsia" w:cs="Times New Roman"/>
                <w:color w:val="auto"/>
              </w:rPr>
            </w:pPr>
            <w:r>
              <w:rPr>
                <w:rFonts w:hint="eastAsia" w:cs="Times New Roman"/>
                <w:color w:val="auto"/>
              </w:rPr>
              <w:t>表</w:t>
            </w:r>
            <w:r>
              <w:rPr>
                <w:rFonts w:hint="eastAsia" w:cs="Times New Roman"/>
                <w:color w:val="auto"/>
                <w:lang w:val="en-US" w:eastAsia="zh-CN"/>
              </w:rPr>
              <w:t>2-2</w:t>
            </w:r>
            <w:r>
              <w:rPr>
                <w:rFonts w:hint="default" w:cs="Times New Roman"/>
                <w:color w:val="auto"/>
              </w:rPr>
              <w:t xml:space="preserve">  </w:t>
            </w:r>
            <w:r>
              <w:rPr>
                <w:rFonts w:hint="eastAsia" w:cs="Times New Roman"/>
                <w:color w:val="auto"/>
                <w:lang w:val="en-US" w:eastAsia="zh-CN"/>
              </w:rPr>
              <w:t xml:space="preserve"> </w:t>
            </w:r>
            <w:r>
              <w:rPr>
                <w:rFonts w:hint="eastAsia" w:cs="Times New Roman"/>
                <w:bCs/>
                <w:color w:val="auto"/>
              </w:rPr>
              <w:t>本项目主要经济技术指标</w:t>
            </w:r>
          </w:p>
          <w:tbl>
            <w:tblPr>
              <w:tblStyle w:val="28"/>
              <w:tblW w:w="8192" w:type="dxa"/>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5"/>
              <w:gridCol w:w="3371"/>
              <w:gridCol w:w="2048"/>
              <w:gridCol w:w="2048"/>
            </w:tblGrid>
            <w:tr w14:paraId="4CB35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0B4A37B1">
                  <w:pPr>
                    <w:pStyle w:val="68"/>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序号</w:t>
                  </w:r>
                </w:p>
              </w:tc>
              <w:tc>
                <w:tcPr>
                  <w:tcW w:w="3371" w:type="dxa"/>
                  <w:tcBorders>
                    <w:tl2br w:val="nil"/>
                    <w:tr2bl w:val="nil"/>
                  </w:tcBorders>
                  <w:noWrap w:val="0"/>
                  <w:vAlign w:val="top"/>
                </w:tcPr>
                <w:p w14:paraId="6B17C634">
                  <w:pPr>
                    <w:pStyle w:val="68"/>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项目</w:t>
                  </w:r>
                </w:p>
              </w:tc>
              <w:tc>
                <w:tcPr>
                  <w:tcW w:w="2048" w:type="dxa"/>
                  <w:tcBorders>
                    <w:tl2br w:val="nil"/>
                    <w:tr2bl w:val="nil"/>
                  </w:tcBorders>
                  <w:noWrap w:val="0"/>
                  <w:vAlign w:val="top"/>
                </w:tcPr>
                <w:p w14:paraId="331DF7CE">
                  <w:pPr>
                    <w:pStyle w:val="68"/>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单位</w:t>
                  </w:r>
                </w:p>
              </w:tc>
              <w:tc>
                <w:tcPr>
                  <w:tcW w:w="2048" w:type="dxa"/>
                  <w:tcBorders>
                    <w:tl2br w:val="nil"/>
                    <w:tr2bl w:val="nil"/>
                  </w:tcBorders>
                  <w:noWrap w:val="0"/>
                  <w:vAlign w:val="top"/>
                </w:tcPr>
                <w:p w14:paraId="02208324">
                  <w:pPr>
                    <w:pStyle w:val="68"/>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工作量</w:t>
                  </w:r>
                </w:p>
              </w:tc>
            </w:tr>
            <w:tr w14:paraId="79A0BC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7B5EA109">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lang w:val="en-US" w:eastAsia="zh-CN"/>
                    </w:rPr>
                    <w:t>1</w:t>
                  </w:r>
                </w:p>
              </w:tc>
              <w:tc>
                <w:tcPr>
                  <w:tcW w:w="3371" w:type="dxa"/>
                  <w:tcBorders>
                    <w:tl2br w:val="nil"/>
                    <w:tr2bl w:val="nil"/>
                  </w:tcBorders>
                  <w:noWrap w:val="0"/>
                  <w:vAlign w:val="center"/>
                </w:tcPr>
                <w:p w14:paraId="699AEAFB">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1:10000地质草测</w:t>
                  </w:r>
                </w:p>
              </w:tc>
              <w:tc>
                <w:tcPr>
                  <w:tcW w:w="2048" w:type="dxa"/>
                  <w:tcBorders>
                    <w:tl2br w:val="nil"/>
                    <w:tr2bl w:val="nil"/>
                  </w:tcBorders>
                  <w:noWrap w:val="0"/>
                  <w:vAlign w:val="center"/>
                </w:tcPr>
                <w:p w14:paraId="7246FC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 w:val="21"/>
                      <w:szCs w:val="21"/>
                    </w:rPr>
                    <w:t>平方千米</w:t>
                  </w:r>
                </w:p>
              </w:tc>
              <w:tc>
                <w:tcPr>
                  <w:tcW w:w="2048" w:type="dxa"/>
                  <w:tcBorders>
                    <w:tl2br w:val="nil"/>
                    <w:tr2bl w:val="nil"/>
                  </w:tcBorders>
                  <w:noWrap w:val="0"/>
                  <w:vAlign w:val="center"/>
                </w:tcPr>
                <w:p w14:paraId="7CB2E941">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12.12</w:t>
                  </w:r>
                </w:p>
              </w:tc>
            </w:tr>
            <w:tr w14:paraId="24448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0C8E14E3">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2</w:t>
                  </w:r>
                </w:p>
              </w:tc>
              <w:tc>
                <w:tcPr>
                  <w:tcW w:w="3371" w:type="dxa"/>
                  <w:tcBorders>
                    <w:tl2br w:val="nil"/>
                    <w:tr2bl w:val="nil"/>
                  </w:tcBorders>
                  <w:noWrap w:val="0"/>
                  <w:vAlign w:val="center"/>
                </w:tcPr>
                <w:p w14:paraId="26706300">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1:2000地质剖面</w:t>
                  </w:r>
                </w:p>
              </w:tc>
              <w:tc>
                <w:tcPr>
                  <w:tcW w:w="2048" w:type="dxa"/>
                  <w:tcBorders>
                    <w:tl2br w:val="nil"/>
                    <w:tr2bl w:val="nil"/>
                  </w:tcBorders>
                  <w:noWrap w:val="0"/>
                  <w:vAlign w:val="center"/>
                </w:tcPr>
                <w:p w14:paraId="3BC799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 w:val="21"/>
                      <w:szCs w:val="21"/>
                    </w:rPr>
                    <w:t>千米</w:t>
                  </w:r>
                </w:p>
              </w:tc>
              <w:tc>
                <w:tcPr>
                  <w:tcW w:w="2048" w:type="dxa"/>
                  <w:tcBorders>
                    <w:tl2br w:val="nil"/>
                    <w:tr2bl w:val="nil"/>
                  </w:tcBorders>
                  <w:noWrap w:val="0"/>
                  <w:vAlign w:val="center"/>
                </w:tcPr>
                <w:p w14:paraId="5668120A">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w:t>
                  </w:r>
                </w:p>
              </w:tc>
            </w:tr>
            <w:tr w14:paraId="1BACF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17DE654E">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3</w:t>
                  </w:r>
                </w:p>
              </w:tc>
              <w:tc>
                <w:tcPr>
                  <w:tcW w:w="3371" w:type="dxa"/>
                  <w:tcBorders>
                    <w:tl2br w:val="nil"/>
                    <w:tr2bl w:val="nil"/>
                  </w:tcBorders>
                  <w:noWrap w:val="0"/>
                  <w:vAlign w:val="center"/>
                </w:tcPr>
                <w:p w14:paraId="1E7B8D22">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1:2000地化（岩石）剖面测量</w:t>
                  </w:r>
                </w:p>
              </w:tc>
              <w:tc>
                <w:tcPr>
                  <w:tcW w:w="2048" w:type="dxa"/>
                  <w:tcBorders>
                    <w:tl2br w:val="nil"/>
                    <w:tr2bl w:val="nil"/>
                  </w:tcBorders>
                  <w:noWrap w:val="0"/>
                  <w:vAlign w:val="center"/>
                </w:tcPr>
                <w:p w14:paraId="1C68F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 w:val="21"/>
                      <w:szCs w:val="21"/>
                    </w:rPr>
                    <w:t>千米</w:t>
                  </w:r>
                </w:p>
              </w:tc>
              <w:tc>
                <w:tcPr>
                  <w:tcW w:w="2048" w:type="dxa"/>
                  <w:tcBorders>
                    <w:tl2br w:val="nil"/>
                    <w:tr2bl w:val="nil"/>
                  </w:tcBorders>
                  <w:noWrap w:val="0"/>
                  <w:vAlign w:val="center"/>
                </w:tcPr>
                <w:p w14:paraId="7E88F903">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w:t>
                  </w:r>
                </w:p>
              </w:tc>
            </w:tr>
            <w:tr w14:paraId="16889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0ED62649">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4</w:t>
                  </w:r>
                </w:p>
              </w:tc>
              <w:tc>
                <w:tcPr>
                  <w:tcW w:w="3371" w:type="dxa"/>
                  <w:tcBorders>
                    <w:tl2br w:val="nil"/>
                    <w:tr2bl w:val="nil"/>
                  </w:tcBorders>
                  <w:noWrap w:val="0"/>
                  <w:vAlign w:val="center"/>
                </w:tcPr>
                <w:p w14:paraId="0C06810D">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槽探</w:t>
                  </w:r>
                </w:p>
              </w:tc>
              <w:tc>
                <w:tcPr>
                  <w:tcW w:w="2048" w:type="dxa"/>
                  <w:tcBorders>
                    <w:tl2br w:val="nil"/>
                    <w:tr2bl w:val="nil"/>
                  </w:tcBorders>
                  <w:noWrap w:val="0"/>
                  <w:vAlign w:val="center"/>
                </w:tcPr>
                <w:p w14:paraId="205362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 w:val="21"/>
                      <w:szCs w:val="21"/>
                    </w:rPr>
                    <w:t>立方米</w:t>
                  </w:r>
                </w:p>
              </w:tc>
              <w:tc>
                <w:tcPr>
                  <w:tcW w:w="2048" w:type="dxa"/>
                  <w:tcBorders>
                    <w:tl2br w:val="nil"/>
                    <w:tr2bl w:val="nil"/>
                  </w:tcBorders>
                  <w:noWrap w:val="0"/>
                  <w:vAlign w:val="center"/>
                </w:tcPr>
                <w:p w14:paraId="530981A9">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800</w:t>
                  </w:r>
                </w:p>
              </w:tc>
            </w:tr>
            <w:tr w14:paraId="2CBFB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2B31F67D">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5</w:t>
                  </w:r>
                </w:p>
              </w:tc>
              <w:tc>
                <w:tcPr>
                  <w:tcW w:w="3371" w:type="dxa"/>
                  <w:tcBorders>
                    <w:tl2br w:val="nil"/>
                    <w:tr2bl w:val="nil"/>
                  </w:tcBorders>
                  <w:noWrap w:val="0"/>
                  <w:vAlign w:val="center"/>
                </w:tcPr>
                <w:p w14:paraId="573DC410">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捡块化学样</w:t>
                  </w:r>
                </w:p>
              </w:tc>
              <w:tc>
                <w:tcPr>
                  <w:tcW w:w="2048" w:type="dxa"/>
                  <w:tcBorders>
                    <w:tl2br w:val="nil"/>
                    <w:tr2bl w:val="nil"/>
                  </w:tcBorders>
                  <w:noWrap w:val="0"/>
                  <w:vAlign w:val="center"/>
                </w:tcPr>
                <w:p w14:paraId="0AD2B9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color w:val="000000"/>
                      <w:sz w:val="21"/>
                      <w:szCs w:val="21"/>
                      <w:lang w:val="en-US"/>
                    </w:rPr>
                    <w:t>件</w:t>
                  </w:r>
                </w:p>
              </w:tc>
              <w:tc>
                <w:tcPr>
                  <w:tcW w:w="2048" w:type="dxa"/>
                  <w:tcBorders>
                    <w:tl2br w:val="nil"/>
                    <w:tr2bl w:val="nil"/>
                  </w:tcBorders>
                  <w:noWrap w:val="0"/>
                  <w:vAlign w:val="center"/>
                </w:tcPr>
                <w:p w14:paraId="6806E2E9">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50</w:t>
                  </w:r>
                </w:p>
              </w:tc>
            </w:tr>
            <w:tr w14:paraId="63A949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033D06BE">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6</w:t>
                  </w:r>
                </w:p>
              </w:tc>
              <w:tc>
                <w:tcPr>
                  <w:tcW w:w="3371" w:type="dxa"/>
                  <w:tcBorders>
                    <w:tl2br w:val="nil"/>
                    <w:tr2bl w:val="nil"/>
                  </w:tcBorders>
                  <w:noWrap w:val="0"/>
                  <w:vAlign w:val="center"/>
                </w:tcPr>
                <w:p w14:paraId="22BC6BFB">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刻槽样</w:t>
                  </w:r>
                </w:p>
              </w:tc>
              <w:tc>
                <w:tcPr>
                  <w:tcW w:w="2048" w:type="dxa"/>
                  <w:tcBorders>
                    <w:tl2br w:val="nil"/>
                    <w:tr2bl w:val="nil"/>
                  </w:tcBorders>
                  <w:noWrap w:val="0"/>
                  <w:vAlign w:val="center"/>
                </w:tcPr>
                <w:p w14:paraId="76170A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color w:val="000000"/>
                      <w:sz w:val="21"/>
                      <w:szCs w:val="21"/>
                      <w:lang w:val="en-US"/>
                    </w:rPr>
                    <w:t>件</w:t>
                  </w:r>
                </w:p>
              </w:tc>
              <w:tc>
                <w:tcPr>
                  <w:tcW w:w="2048" w:type="dxa"/>
                  <w:tcBorders>
                    <w:tl2br w:val="nil"/>
                    <w:tr2bl w:val="nil"/>
                  </w:tcBorders>
                  <w:noWrap w:val="0"/>
                  <w:vAlign w:val="center"/>
                </w:tcPr>
                <w:p w14:paraId="352B1299">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30</w:t>
                  </w:r>
                </w:p>
              </w:tc>
            </w:tr>
            <w:tr w14:paraId="292B1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2722BCA3">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7</w:t>
                  </w:r>
                </w:p>
              </w:tc>
              <w:tc>
                <w:tcPr>
                  <w:tcW w:w="3371" w:type="dxa"/>
                  <w:tcBorders>
                    <w:tl2br w:val="nil"/>
                    <w:tr2bl w:val="nil"/>
                  </w:tcBorders>
                  <w:noWrap w:val="0"/>
                  <w:vAlign w:val="center"/>
                </w:tcPr>
                <w:p w14:paraId="66F2EF3E">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基岩光谱样</w:t>
                  </w:r>
                </w:p>
              </w:tc>
              <w:tc>
                <w:tcPr>
                  <w:tcW w:w="2048" w:type="dxa"/>
                  <w:tcBorders>
                    <w:tl2br w:val="nil"/>
                    <w:tr2bl w:val="nil"/>
                  </w:tcBorders>
                  <w:noWrap w:val="0"/>
                  <w:vAlign w:val="center"/>
                </w:tcPr>
                <w:p w14:paraId="2B29D5DB">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color w:val="000000"/>
                      <w:sz w:val="21"/>
                      <w:szCs w:val="21"/>
                      <w:lang w:val="en-US"/>
                    </w:rPr>
                    <w:t>件</w:t>
                  </w:r>
                </w:p>
              </w:tc>
              <w:tc>
                <w:tcPr>
                  <w:tcW w:w="2048" w:type="dxa"/>
                  <w:tcBorders>
                    <w:tl2br w:val="nil"/>
                    <w:tr2bl w:val="nil"/>
                  </w:tcBorders>
                  <w:noWrap w:val="0"/>
                  <w:vAlign w:val="center"/>
                </w:tcPr>
                <w:p w14:paraId="3D076FB3">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600</w:t>
                  </w:r>
                </w:p>
              </w:tc>
            </w:tr>
            <w:tr w14:paraId="0CD4E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3C1FDA91">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8</w:t>
                  </w:r>
                </w:p>
              </w:tc>
              <w:tc>
                <w:tcPr>
                  <w:tcW w:w="3371" w:type="dxa"/>
                  <w:tcBorders>
                    <w:tl2br w:val="nil"/>
                    <w:tr2bl w:val="nil"/>
                  </w:tcBorders>
                  <w:shd w:val="clear" w:color="auto" w:fill="auto"/>
                  <w:noWrap w:val="0"/>
                  <w:vAlign w:val="center"/>
                </w:tcPr>
                <w:p w14:paraId="652B8172">
                  <w:pPr>
                    <w:pStyle w:val="83"/>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snapToGrid w:val="0"/>
                      <w:color w:val="auto"/>
                      <w:spacing w:val="-4"/>
                      <w:kern w:val="0"/>
                      <w:sz w:val="21"/>
                      <w:szCs w:val="21"/>
                      <w:lang w:val="en-US" w:eastAsia="zh-CN" w:bidi="ar-SA"/>
                    </w:rPr>
                  </w:pPr>
                  <w:r>
                    <w:rPr>
                      <w:rFonts w:hint="default" w:ascii="Times New Roman" w:hAnsi="Times New Roman" w:eastAsia="宋体" w:cs="Times New Roman"/>
                      <w:snapToGrid/>
                      <w:color w:val="000000"/>
                      <w:sz w:val="21"/>
                      <w:szCs w:val="21"/>
                      <w:lang w:val="en-US"/>
                    </w:rPr>
                    <w:t>薄片</w:t>
                  </w:r>
                </w:p>
              </w:tc>
              <w:tc>
                <w:tcPr>
                  <w:tcW w:w="2048" w:type="dxa"/>
                  <w:tcBorders>
                    <w:tl2br w:val="nil"/>
                    <w:tr2bl w:val="nil"/>
                  </w:tcBorders>
                  <w:noWrap w:val="0"/>
                  <w:vAlign w:val="center"/>
                </w:tcPr>
                <w:p w14:paraId="7CCBE6AB">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color w:val="000000"/>
                      <w:sz w:val="21"/>
                      <w:szCs w:val="21"/>
                      <w:lang w:val="en-US"/>
                    </w:rPr>
                    <w:t>件</w:t>
                  </w:r>
                </w:p>
              </w:tc>
              <w:tc>
                <w:tcPr>
                  <w:tcW w:w="2048" w:type="dxa"/>
                  <w:tcBorders>
                    <w:tl2br w:val="nil"/>
                    <w:tr2bl w:val="nil"/>
                  </w:tcBorders>
                  <w:noWrap w:val="0"/>
                  <w:vAlign w:val="center"/>
                </w:tcPr>
                <w:p w14:paraId="2B25365A">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20</w:t>
                  </w:r>
                </w:p>
              </w:tc>
            </w:tr>
            <w:tr w14:paraId="32447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noWrap w:val="0"/>
                  <w:vAlign w:val="top"/>
                </w:tcPr>
                <w:p w14:paraId="3E989829">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textAlignment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kern w:val="2"/>
                      <w:sz w:val="21"/>
                      <w:szCs w:val="22"/>
                      <w:lang w:val="en-US" w:eastAsia="zh-CN" w:bidi="ar-SA"/>
                    </w:rPr>
                    <w:t>9</w:t>
                  </w:r>
                </w:p>
              </w:tc>
              <w:tc>
                <w:tcPr>
                  <w:tcW w:w="3371" w:type="dxa"/>
                  <w:tcBorders>
                    <w:tl2br w:val="nil"/>
                    <w:tr2bl w:val="nil"/>
                  </w:tcBorders>
                  <w:shd w:val="clear" w:color="auto" w:fill="auto"/>
                  <w:noWrap w:val="0"/>
                  <w:vAlign w:val="center"/>
                </w:tcPr>
                <w:p w14:paraId="6B364289">
                  <w:pPr>
                    <w:pStyle w:val="83"/>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snapToGrid w:val="0"/>
                      <w:color w:val="auto"/>
                      <w:spacing w:val="-4"/>
                      <w:kern w:val="0"/>
                      <w:sz w:val="21"/>
                      <w:szCs w:val="21"/>
                      <w:lang w:val="en-US" w:eastAsia="zh-CN" w:bidi="ar-SA"/>
                    </w:rPr>
                  </w:pPr>
                  <w:r>
                    <w:rPr>
                      <w:rFonts w:hint="default" w:ascii="Times New Roman" w:hAnsi="Times New Roman" w:eastAsia="宋体" w:cs="Times New Roman"/>
                      <w:snapToGrid/>
                      <w:color w:val="000000"/>
                      <w:sz w:val="21"/>
                      <w:szCs w:val="21"/>
                      <w:lang w:val="en-US"/>
                    </w:rPr>
                    <w:t>光片</w:t>
                  </w:r>
                </w:p>
              </w:tc>
              <w:tc>
                <w:tcPr>
                  <w:tcW w:w="2048" w:type="dxa"/>
                  <w:tcBorders>
                    <w:tl2br w:val="nil"/>
                    <w:tr2bl w:val="nil"/>
                  </w:tcBorders>
                  <w:noWrap w:val="0"/>
                  <w:vAlign w:val="center"/>
                </w:tcPr>
                <w:p w14:paraId="64C5C781">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color w:val="000000"/>
                      <w:sz w:val="21"/>
                      <w:szCs w:val="21"/>
                      <w:lang w:val="en-US"/>
                    </w:rPr>
                    <w:t>件</w:t>
                  </w:r>
                </w:p>
              </w:tc>
              <w:tc>
                <w:tcPr>
                  <w:tcW w:w="2048" w:type="dxa"/>
                  <w:tcBorders>
                    <w:tl2br w:val="nil"/>
                    <w:tr2bl w:val="nil"/>
                  </w:tcBorders>
                  <w:noWrap w:val="0"/>
                  <w:vAlign w:val="center"/>
                </w:tcPr>
                <w:p w14:paraId="5FBBA61B">
                  <w:pPr>
                    <w:pStyle w:val="83"/>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20</w:t>
                  </w:r>
                </w:p>
              </w:tc>
            </w:tr>
          </w:tbl>
          <w:p w14:paraId="5F65B54D">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ascii="Times New Roman" w:hAnsi="Times New Roman" w:cs="Times New Roman"/>
                <w:color w:val="auto"/>
              </w:rPr>
            </w:pPr>
            <w:r>
              <w:rPr>
                <w:rFonts w:hint="eastAsia" w:cs="Times New Roman"/>
                <w:color w:val="auto"/>
                <w:lang w:val="en-US" w:eastAsia="zh-CN"/>
              </w:rPr>
              <w:t>2.4</w:t>
            </w:r>
            <w:r>
              <w:rPr>
                <w:rFonts w:hint="default" w:ascii="Times New Roman" w:hAnsi="Times New Roman" w:cs="Times New Roman"/>
                <w:color w:val="auto"/>
              </w:rPr>
              <w:t>建设内容及规模</w:t>
            </w:r>
          </w:p>
          <w:p w14:paraId="6A758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本项目为矿区地质</w:t>
            </w:r>
            <w:r>
              <w:rPr>
                <w:rFonts w:hint="eastAsia"/>
                <w:lang w:val="en-US" w:eastAsia="zh-CN"/>
              </w:rPr>
              <w:t>勘查</w:t>
            </w:r>
            <w:r>
              <w:rPr>
                <w:rFonts w:hint="default" w:ascii="Times New Roman" w:hAnsi="Times New Roman" w:cs="Times New Roman"/>
                <w:color w:val="auto"/>
                <w:lang w:val="en-US" w:eastAsia="zh-CN"/>
              </w:rPr>
              <w:t>活动，主要为</w:t>
            </w:r>
            <w:r>
              <w:rPr>
                <w:rFonts w:hint="eastAsia"/>
                <w:lang w:val="en-US" w:eastAsia="zh-CN"/>
              </w:rPr>
              <w:t>勘查</w:t>
            </w:r>
            <w:r>
              <w:rPr>
                <w:rFonts w:hint="default" w:ascii="Times New Roman" w:hAnsi="Times New Roman" w:cs="Times New Roman"/>
                <w:color w:val="auto"/>
                <w:lang w:val="en-US" w:eastAsia="zh-CN"/>
              </w:rPr>
              <w:t>工程施工，不涉及矿区开采运营。</w:t>
            </w:r>
            <w:r>
              <w:rPr>
                <w:rFonts w:hint="default" w:ascii="Times New Roman" w:hAnsi="Times New Roman" w:cs="Times New Roman"/>
                <w:color w:val="auto"/>
              </w:rPr>
              <w:t>本项目组成见表</w:t>
            </w:r>
            <w:r>
              <w:rPr>
                <w:rFonts w:hint="default" w:ascii="Times New Roman" w:hAnsi="Times New Roman" w:cs="Times New Roman"/>
                <w:color w:val="auto"/>
                <w:lang w:val="en-US" w:eastAsia="zh-CN"/>
              </w:rPr>
              <w:t>2</w:t>
            </w:r>
            <w:r>
              <w:rPr>
                <w:rFonts w:hint="eastAsia" w:ascii="Times New Roman" w:hAnsi="Times New Roman" w:cs="Times New Roman"/>
                <w:color w:val="auto"/>
                <w:lang w:val="en-US" w:eastAsia="zh-CN"/>
              </w:rPr>
              <w:t>-3</w:t>
            </w:r>
            <w:r>
              <w:rPr>
                <w:rFonts w:hint="default" w:ascii="Times New Roman" w:hAnsi="Times New Roman" w:cs="Times New Roman"/>
                <w:color w:val="auto"/>
              </w:rPr>
              <w:t>。</w:t>
            </w:r>
          </w:p>
          <w:p w14:paraId="052E44A8">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ascii="Times New Roman" w:hAnsi="Times New Roman" w:cs="Times New Roman"/>
                <w:color w:val="auto"/>
              </w:rPr>
            </w:pPr>
            <w:r>
              <w:rPr>
                <w:rFonts w:hint="default" w:ascii="Times New Roman" w:hAnsi="Times New Roman" w:cs="Times New Roman"/>
                <w:color w:val="auto"/>
              </w:rPr>
              <w:t>表</w:t>
            </w:r>
            <w:r>
              <w:rPr>
                <w:rFonts w:hint="default" w:ascii="Times New Roman" w:hAnsi="Times New Roman" w:cs="Times New Roman"/>
                <w:color w:val="auto"/>
                <w:lang w:val="en-US" w:eastAsia="zh-CN"/>
              </w:rPr>
              <w:t>2</w:t>
            </w:r>
            <w:r>
              <w:rPr>
                <w:rFonts w:hint="eastAsia" w:cs="Times New Roman"/>
                <w:color w:val="auto"/>
                <w:lang w:val="en-US" w:eastAsia="zh-CN"/>
              </w:rPr>
              <w:t>-3</w:t>
            </w:r>
            <w:r>
              <w:rPr>
                <w:rFonts w:hint="default" w:ascii="Times New Roman" w:hAnsi="Times New Roman" w:cs="Times New Roman"/>
                <w:color w:val="auto"/>
              </w:rPr>
              <w:t xml:space="preserve">   建设项目组成一览表</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127"/>
              <w:gridCol w:w="5468"/>
              <w:gridCol w:w="869"/>
            </w:tblGrid>
            <w:tr w14:paraId="4C9282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0" w:type="dxa"/>
                  <w:gridSpan w:val="2"/>
                  <w:tcBorders>
                    <w:tl2br w:val="nil"/>
                    <w:tr2bl w:val="nil"/>
                  </w:tcBorders>
                  <w:noWrap w:val="0"/>
                  <w:vAlign w:val="center"/>
                </w:tcPr>
                <w:p w14:paraId="21AB3C11">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项目组成</w:t>
                  </w:r>
                </w:p>
              </w:tc>
              <w:tc>
                <w:tcPr>
                  <w:tcW w:w="5468" w:type="dxa"/>
                  <w:tcBorders>
                    <w:tl2br w:val="nil"/>
                    <w:tr2bl w:val="nil"/>
                  </w:tcBorders>
                  <w:noWrap w:val="0"/>
                  <w:vAlign w:val="center"/>
                </w:tcPr>
                <w:p w14:paraId="683F58FF">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工程内容与规模</w:t>
                  </w:r>
                </w:p>
              </w:tc>
              <w:tc>
                <w:tcPr>
                  <w:tcW w:w="869" w:type="dxa"/>
                  <w:tcBorders>
                    <w:tl2br w:val="nil"/>
                    <w:tr2bl w:val="nil"/>
                  </w:tcBorders>
                  <w:noWrap w:val="0"/>
                  <w:vAlign w:val="center"/>
                </w:tcPr>
                <w:p w14:paraId="43D9B83C">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备注</w:t>
                  </w:r>
                </w:p>
              </w:tc>
            </w:tr>
            <w:tr w14:paraId="422AC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restart"/>
                  <w:tcBorders>
                    <w:tl2br w:val="nil"/>
                    <w:tr2bl w:val="nil"/>
                  </w:tcBorders>
                  <w:noWrap w:val="0"/>
                  <w:vAlign w:val="center"/>
                </w:tcPr>
                <w:p w14:paraId="57CB2786">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主体工程</w:t>
                  </w:r>
                </w:p>
              </w:tc>
              <w:tc>
                <w:tcPr>
                  <w:tcW w:w="1127" w:type="dxa"/>
                  <w:tcBorders>
                    <w:tl2br w:val="nil"/>
                    <w:tr2bl w:val="nil"/>
                  </w:tcBorders>
                  <w:noWrap w:val="0"/>
                  <w:vAlign w:val="center"/>
                </w:tcPr>
                <w:p w14:paraId="654CB235">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snapToGrid w:val="0"/>
                      <w:spacing w:val="4"/>
                      <w:kern w:val="0"/>
                    </w:rPr>
                    <w:t>地质</w:t>
                  </w:r>
                  <w:r>
                    <w:rPr>
                      <w:rFonts w:hint="default" w:ascii="Times New Roman" w:hAnsi="Times New Roman" w:eastAsia="宋体" w:cs="Times New Roman"/>
                      <w:color w:val="auto"/>
                      <w:kern w:val="2"/>
                      <w:sz w:val="21"/>
                      <w:szCs w:val="21"/>
                      <w:lang w:val="en-US" w:eastAsia="zh-CN" w:bidi="ar-SA"/>
                    </w:rPr>
                    <w:t>测量</w:t>
                  </w:r>
                </w:p>
              </w:tc>
              <w:tc>
                <w:tcPr>
                  <w:tcW w:w="5468" w:type="dxa"/>
                  <w:tcBorders>
                    <w:tl2br w:val="nil"/>
                    <w:tr2bl w:val="nil"/>
                  </w:tcBorders>
                  <w:noWrap w:val="0"/>
                  <w:vAlign w:val="center"/>
                </w:tcPr>
                <w:p w14:paraId="717B8374">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开展工作区全区</w:t>
                  </w:r>
                  <w:r>
                    <w:rPr>
                      <w:rFonts w:hint="eastAsia" w:ascii="Times New Roman" w:hAnsi="Times New Roman" w:eastAsia="宋体" w:cs="Times New Roman"/>
                      <w:color w:val="auto"/>
                      <w:lang w:val="en-US" w:eastAsia="zh-CN"/>
                    </w:rPr>
                    <w:t>1:10000地质草测、1:2000地质剖面、1:2000地化（岩石）剖面测量</w:t>
                  </w:r>
                  <w:r>
                    <w:rPr>
                      <w:rFonts w:hint="default" w:ascii="Times New Roman" w:hAnsi="Times New Roman" w:cs="Times New Roman"/>
                      <w:color w:val="auto"/>
                      <w:lang w:val="en-US" w:eastAsia="zh-CN"/>
                    </w:rPr>
                    <w:t>，进一步查明工作区成矿地质条件、矿化特征、控矿因素等</w:t>
                  </w:r>
                </w:p>
              </w:tc>
              <w:tc>
                <w:tcPr>
                  <w:tcW w:w="869" w:type="dxa"/>
                  <w:tcBorders>
                    <w:tl2br w:val="nil"/>
                    <w:tr2bl w:val="nil"/>
                  </w:tcBorders>
                  <w:noWrap w:val="0"/>
                  <w:vAlign w:val="center"/>
                </w:tcPr>
                <w:p w14:paraId="2844918C">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r>
            <w:tr w14:paraId="29F4B8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00CBD5AC">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5E6BA98B">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槽探</w:t>
                  </w:r>
                </w:p>
              </w:tc>
              <w:tc>
                <w:tcPr>
                  <w:tcW w:w="5468" w:type="dxa"/>
                  <w:tcBorders>
                    <w:tl2br w:val="nil"/>
                    <w:tr2bl w:val="nil"/>
                  </w:tcBorders>
                  <w:noWrap w:val="0"/>
                  <w:vAlign w:val="center"/>
                </w:tcPr>
                <w:p w14:paraId="037C679C">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snapToGrid w:val="0"/>
                      <w:color w:val="000000"/>
                      <w:spacing w:val="4"/>
                      <w:kern w:val="0"/>
                    </w:rPr>
                    <w:t>通过槽探揭露，对发现的</w:t>
                  </w:r>
                  <w:r>
                    <w:rPr>
                      <w:rFonts w:hint="eastAsia" w:ascii="Times New Roman" w:hAnsi="Times New Roman" w:cs="Times New Roman"/>
                    </w:rPr>
                    <w:t>镍</w:t>
                  </w:r>
                  <w:r>
                    <w:rPr>
                      <w:rFonts w:hint="default" w:ascii="Times New Roman" w:hAnsi="Times New Roman" w:cs="Times New Roman"/>
                      <w:snapToGrid w:val="0"/>
                      <w:color w:val="000000"/>
                      <w:spacing w:val="4"/>
                      <w:kern w:val="0"/>
                    </w:rPr>
                    <w:t>矿化蚀变带、断裂构造、物、化探异常进行控制</w:t>
                  </w:r>
                  <w:r>
                    <w:rPr>
                      <w:rFonts w:hint="default" w:ascii="Times New Roman" w:hAnsi="Times New Roman" w:cs="Times New Roman"/>
                      <w:color w:val="auto"/>
                    </w:rPr>
                    <w:t>，总工作量</w:t>
                  </w:r>
                  <w:r>
                    <w:rPr>
                      <w:rFonts w:hint="eastAsia" w:cs="Times New Roman"/>
                      <w:color w:val="auto"/>
                      <w:lang w:val="en-US" w:eastAsia="zh-CN"/>
                    </w:rPr>
                    <w:t>800</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lang w:eastAsia="zh-CN"/>
                    </w:rPr>
                    <w:t>，</w:t>
                  </w:r>
                  <w:r>
                    <w:rPr>
                      <w:rFonts w:hint="default" w:ascii="Times New Roman" w:hAnsi="Times New Roman" w:cs="Times New Roman"/>
                      <w:color w:val="auto"/>
                      <w:highlight w:val="none"/>
                      <w:lang w:val="en-US" w:eastAsia="zh-CN"/>
                    </w:rPr>
                    <w:t>探槽</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条</w:t>
                  </w:r>
                  <w:r>
                    <w:rPr>
                      <w:rFonts w:hint="default" w:ascii="Times New Roman" w:hAnsi="Times New Roman" w:cs="Times New Roman"/>
                      <w:color w:val="auto"/>
                      <w:highlight w:val="none"/>
                      <w:lang w:eastAsia="zh-CN"/>
                    </w:rPr>
                    <w:t>（</w:t>
                  </w:r>
                  <w:r>
                    <w:rPr>
                      <w:rFonts w:hint="eastAsia" w:ascii="Times New Roman" w:hAnsi="Times New Roman" w:eastAsia="宋体" w:cs="Times New Roman"/>
                      <w:snapToGrid/>
                      <w:color w:val="000000"/>
                      <w:sz w:val="21"/>
                      <w:szCs w:val="21"/>
                      <w:highlight w:val="none"/>
                      <w:lang w:val="en-US" w:eastAsia="zh-CN"/>
                    </w:rPr>
                    <w:t>开口</w:t>
                  </w:r>
                  <w:r>
                    <w:rPr>
                      <w:rFonts w:hint="eastAsia" w:cs="Times New Roman"/>
                      <w:snapToGrid/>
                      <w:color w:val="000000"/>
                      <w:sz w:val="21"/>
                      <w:szCs w:val="21"/>
                      <w:highlight w:val="none"/>
                      <w:lang w:val="en-US" w:eastAsia="zh-CN"/>
                    </w:rPr>
                    <w:t>1.2-1.5</w:t>
                  </w:r>
                  <w:r>
                    <w:rPr>
                      <w:rFonts w:hint="eastAsia" w:ascii="Times New Roman" w:hAnsi="Times New Roman" w:eastAsia="宋体" w:cs="Times New Roman"/>
                      <w:snapToGrid/>
                      <w:color w:val="000000"/>
                      <w:sz w:val="21"/>
                      <w:szCs w:val="21"/>
                      <w:highlight w:val="none"/>
                      <w:lang w:val="en-US" w:eastAsia="zh-CN"/>
                    </w:rPr>
                    <w:t>米，槽底宽0.8</w:t>
                  </w:r>
                  <w:r>
                    <w:rPr>
                      <w:rFonts w:hint="eastAsia" w:cs="Times New Roman"/>
                      <w:snapToGrid/>
                      <w:color w:val="000000"/>
                      <w:sz w:val="21"/>
                      <w:szCs w:val="21"/>
                      <w:highlight w:val="none"/>
                      <w:lang w:val="en-US" w:eastAsia="zh-CN"/>
                    </w:rPr>
                    <w:t>-1</w:t>
                  </w:r>
                  <w:r>
                    <w:rPr>
                      <w:rFonts w:hint="eastAsia" w:ascii="Times New Roman" w:hAnsi="Times New Roman" w:eastAsia="宋体" w:cs="Times New Roman"/>
                      <w:snapToGrid/>
                      <w:color w:val="000000"/>
                      <w:sz w:val="21"/>
                      <w:szCs w:val="21"/>
                      <w:highlight w:val="none"/>
                      <w:lang w:val="en-US" w:eastAsia="zh-CN"/>
                    </w:rPr>
                    <w:t>米，深度不大于3米</w:t>
                  </w:r>
                  <w:r>
                    <w:rPr>
                      <w:rFonts w:hint="default" w:ascii="Times New Roman" w:hAnsi="Times New Roman" w:cs="Times New Roman"/>
                      <w:color w:val="auto"/>
                      <w:highlight w:val="none"/>
                      <w:lang w:eastAsia="zh-CN"/>
                    </w:rPr>
                    <w:t>）</w:t>
                  </w:r>
                </w:p>
              </w:tc>
              <w:tc>
                <w:tcPr>
                  <w:tcW w:w="869" w:type="dxa"/>
                  <w:tcBorders>
                    <w:tl2br w:val="nil"/>
                    <w:tr2bl w:val="nil"/>
                  </w:tcBorders>
                  <w:noWrap w:val="0"/>
                  <w:vAlign w:val="center"/>
                </w:tcPr>
                <w:p w14:paraId="0B6981FC">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r>
            <w:tr w14:paraId="08DB44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70FF6846">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7101519B">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编录</w:t>
                  </w:r>
                </w:p>
              </w:tc>
              <w:tc>
                <w:tcPr>
                  <w:tcW w:w="5468" w:type="dxa"/>
                  <w:tcBorders>
                    <w:tl2br w:val="nil"/>
                    <w:tr2bl w:val="nil"/>
                  </w:tcBorders>
                  <w:noWrap w:val="0"/>
                  <w:vAlign w:val="center"/>
                </w:tcPr>
                <w:p w14:paraId="029FF93A">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snapToGrid w:val="0"/>
                      <w:color w:val="000000"/>
                      <w:spacing w:val="4"/>
                      <w:kern w:val="0"/>
                    </w:rPr>
                  </w:pPr>
                  <w:r>
                    <w:rPr>
                      <w:rFonts w:hint="default" w:ascii="Times New Roman" w:hAnsi="Times New Roman" w:cs="Times New Roman"/>
                      <w:snapToGrid w:val="0"/>
                      <w:color w:val="000000"/>
                      <w:spacing w:val="4"/>
                      <w:kern w:val="0"/>
                    </w:rPr>
                    <w:t>对各施工</w:t>
                  </w:r>
                  <w:r>
                    <w:rPr>
                      <w:rFonts w:hint="eastAsia" w:ascii="Times New Roman" w:hAnsi="Times New Roman" w:cs="Times New Roman"/>
                      <w:snapToGrid w:val="0"/>
                      <w:color w:val="000000"/>
                      <w:spacing w:val="4"/>
                      <w:kern w:val="0"/>
                      <w:lang w:val="en-US" w:eastAsia="zh-CN"/>
                    </w:rPr>
                    <w:t>项目</w:t>
                  </w:r>
                  <w:r>
                    <w:rPr>
                      <w:rFonts w:hint="default" w:ascii="Times New Roman" w:hAnsi="Times New Roman" w:cs="Times New Roman"/>
                      <w:snapToGrid w:val="0"/>
                      <w:color w:val="000000"/>
                      <w:spacing w:val="4"/>
                      <w:kern w:val="0"/>
                    </w:rPr>
                    <w:t>开展简易水文地质观测，大致查明普查区水文地质条件</w:t>
                  </w:r>
                </w:p>
              </w:tc>
              <w:tc>
                <w:tcPr>
                  <w:tcW w:w="869" w:type="dxa"/>
                  <w:tcBorders>
                    <w:tl2br w:val="nil"/>
                    <w:tr2bl w:val="nil"/>
                  </w:tcBorders>
                  <w:noWrap w:val="0"/>
                  <w:vAlign w:val="center"/>
                </w:tcPr>
                <w:p w14:paraId="100411AD">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p>
              </w:tc>
            </w:tr>
            <w:tr w14:paraId="54E93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38D3CEFC">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6671A4A7">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kern w:val="2"/>
                      <w:sz w:val="21"/>
                      <w:szCs w:val="22"/>
                      <w:lang w:val="en-US" w:eastAsia="zh-CN" w:bidi="ar-SA"/>
                    </w:rPr>
                  </w:pPr>
                  <w:r>
                    <w:rPr>
                      <w:rFonts w:hint="default" w:ascii="Times New Roman" w:hAnsi="Times New Roman" w:cs="Times New Roman"/>
                      <w:color w:val="auto"/>
                      <w:lang w:val="en-US" w:eastAsia="zh-CN"/>
                    </w:rPr>
                    <w:t>采样测试</w:t>
                  </w:r>
                </w:p>
              </w:tc>
              <w:tc>
                <w:tcPr>
                  <w:tcW w:w="5468" w:type="dxa"/>
                  <w:tcBorders>
                    <w:tl2br w:val="nil"/>
                    <w:tr2bl w:val="nil"/>
                  </w:tcBorders>
                  <w:noWrap w:val="0"/>
                  <w:vAlign w:val="center"/>
                </w:tcPr>
                <w:p w14:paraId="1E79C0C8">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kern w:val="2"/>
                      <w:sz w:val="21"/>
                      <w:szCs w:val="22"/>
                      <w:highlight w:val="none"/>
                      <w:lang w:val="en-US" w:eastAsia="zh-CN" w:bidi="ar-SA"/>
                    </w:rPr>
                  </w:pPr>
                  <w:r>
                    <w:rPr>
                      <w:rFonts w:hint="default" w:ascii="Times New Roman" w:hAnsi="Times New Roman" w:cs="Times New Roman"/>
                      <w:color w:val="auto"/>
                      <w:sz w:val="21"/>
                      <w:szCs w:val="21"/>
                      <w:highlight w:val="none"/>
                    </w:rPr>
                    <w:t>样品化验工作</w:t>
                  </w:r>
                  <w:r>
                    <w:rPr>
                      <w:rFonts w:hint="default" w:ascii="Times New Roman" w:hAnsi="Times New Roman" w:cs="Times New Roman"/>
                      <w:color w:val="auto"/>
                      <w:sz w:val="21"/>
                      <w:szCs w:val="21"/>
                      <w:highlight w:val="none"/>
                      <w:lang w:val="en-US" w:eastAsia="zh-CN"/>
                    </w:rPr>
                    <w:t>委托有</w:t>
                  </w:r>
                  <w:r>
                    <w:rPr>
                      <w:rFonts w:hint="default" w:ascii="Times New Roman" w:hAnsi="Times New Roman" w:cs="Times New Roman"/>
                      <w:color w:val="auto"/>
                      <w:sz w:val="21"/>
                      <w:szCs w:val="21"/>
                      <w:highlight w:val="none"/>
                    </w:rPr>
                    <w:t>资质</w:t>
                  </w:r>
                  <w:r>
                    <w:rPr>
                      <w:rFonts w:hint="eastAsia" w:ascii="Times New Roman" w:hAnsi="Times New Roman" w:cs="Times New Roman"/>
                      <w:color w:val="auto"/>
                      <w:sz w:val="21"/>
                      <w:szCs w:val="21"/>
                      <w:highlight w:val="none"/>
                      <w:lang w:val="en-US" w:eastAsia="zh-CN"/>
                    </w:rPr>
                    <w:t>的</w:t>
                  </w:r>
                  <w:r>
                    <w:rPr>
                      <w:rFonts w:hint="default" w:ascii="Times New Roman" w:hAnsi="Times New Roman" w:cs="Times New Roman"/>
                      <w:color w:val="auto"/>
                      <w:sz w:val="21"/>
                      <w:szCs w:val="21"/>
                      <w:highlight w:val="none"/>
                      <w:lang w:val="en-US" w:eastAsia="zh-CN"/>
                    </w:rPr>
                    <w:t>第三方</w:t>
                  </w:r>
                  <w:r>
                    <w:rPr>
                      <w:rFonts w:hint="default" w:ascii="Times New Roman" w:hAnsi="Times New Roman" w:cs="Times New Roman"/>
                      <w:color w:val="auto"/>
                      <w:sz w:val="21"/>
                      <w:szCs w:val="21"/>
                      <w:highlight w:val="none"/>
                    </w:rPr>
                    <w:t>测试单位进行分析</w:t>
                  </w:r>
                </w:p>
              </w:tc>
              <w:tc>
                <w:tcPr>
                  <w:tcW w:w="869" w:type="dxa"/>
                  <w:tcBorders>
                    <w:tl2br w:val="nil"/>
                    <w:tr2bl w:val="nil"/>
                  </w:tcBorders>
                  <w:noWrap w:val="0"/>
                  <w:vAlign w:val="center"/>
                </w:tcPr>
                <w:p w14:paraId="6919061E">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r>
            <w:tr w14:paraId="69594B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tcBorders>
                    <w:tl2br w:val="nil"/>
                    <w:tr2bl w:val="nil"/>
                  </w:tcBorders>
                  <w:noWrap w:val="0"/>
                  <w:vAlign w:val="center"/>
                </w:tcPr>
                <w:p w14:paraId="147C64C9">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辅助工程</w:t>
                  </w:r>
                </w:p>
              </w:tc>
              <w:tc>
                <w:tcPr>
                  <w:tcW w:w="1127" w:type="dxa"/>
                  <w:tcBorders>
                    <w:tl2br w:val="nil"/>
                    <w:tr2bl w:val="nil"/>
                  </w:tcBorders>
                  <w:noWrap w:val="0"/>
                  <w:vAlign w:val="center"/>
                </w:tcPr>
                <w:p w14:paraId="4FDCAA01">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施工营地</w:t>
                  </w:r>
                </w:p>
              </w:tc>
              <w:tc>
                <w:tcPr>
                  <w:tcW w:w="5468" w:type="dxa"/>
                  <w:tcBorders>
                    <w:tl2br w:val="nil"/>
                    <w:tr2bl w:val="nil"/>
                  </w:tcBorders>
                  <w:noWrap w:val="0"/>
                  <w:vAlign w:val="center"/>
                </w:tcPr>
                <w:p w14:paraId="26593803">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rPr>
                    <w:t>本次探矿活动在探矿作业区内搭设临时帐篷用于施工人员休息使用</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lang w:val="en-US" w:eastAsia="zh-CN"/>
                    </w:rPr>
                    <w:t>占地面积（500m</w:t>
                  </w:r>
                  <w:r>
                    <w:rPr>
                      <w:rFonts w:hint="default" w:ascii="Times New Roman" w:hAnsi="Times New Roman" w:cs="Times New Roman"/>
                      <w:color w:val="auto"/>
                      <w:szCs w:val="21"/>
                      <w:vertAlign w:val="superscript"/>
                      <w:lang w:val="en-US" w:eastAsia="zh-CN"/>
                    </w:rPr>
                    <w:t>2</w:t>
                  </w:r>
                  <w:r>
                    <w:rPr>
                      <w:rFonts w:hint="default" w:ascii="Times New Roman" w:hAnsi="Times New Roman" w:cs="Times New Roman"/>
                      <w:color w:val="auto"/>
                      <w:szCs w:val="21"/>
                      <w:lang w:val="en-US" w:eastAsia="zh-CN"/>
                    </w:rPr>
                    <w:t>），施工营</w:t>
                  </w:r>
                  <w:r>
                    <w:rPr>
                      <w:rFonts w:hint="eastAsia" w:ascii="Times New Roman" w:hAnsi="Times New Roman" w:cs="Times New Roman"/>
                      <w:color w:val="auto"/>
                      <w:szCs w:val="21"/>
                      <w:lang w:val="en-US" w:eastAsia="zh-CN"/>
                    </w:rPr>
                    <w:t>地</w:t>
                  </w:r>
                  <w:r>
                    <w:rPr>
                      <w:rFonts w:hint="default" w:ascii="Times New Roman" w:hAnsi="Times New Roman" w:cs="Times New Roman"/>
                      <w:color w:val="auto"/>
                      <w:szCs w:val="21"/>
                      <w:lang w:val="en-US" w:eastAsia="zh-CN"/>
                    </w:rPr>
                    <w:t>选址地势平坦、避开陡坡和易发生地质灾害的区域</w:t>
                  </w:r>
                </w:p>
              </w:tc>
              <w:tc>
                <w:tcPr>
                  <w:tcW w:w="869" w:type="dxa"/>
                  <w:tcBorders>
                    <w:tl2br w:val="nil"/>
                    <w:tr2bl w:val="nil"/>
                  </w:tcBorders>
                  <w:noWrap w:val="0"/>
                  <w:vAlign w:val="center"/>
                </w:tcPr>
                <w:p w14:paraId="26ABAE91">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新建</w:t>
                  </w:r>
                </w:p>
              </w:tc>
            </w:tr>
            <w:tr w14:paraId="7BAFB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restart"/>
                  <w:tcBorders>
                    <w:tl2br w:val="nil"/>
                    <w:tr2bl w:val="nil"/>
                  </w:tcBorders>
                  <w:noWrap w:val="0"/>
                  <w:vAlign w:val="center"/>
                </w:tcPr>
                <w:p w14:paraId="00CE851D">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储运工程</w:t>
                  </w:r>
                </w:p>
              </w:tc>
              <w:tc>
                <w:tcPr>
                  <w:tcW w:w="1127" w:type="dxa"/>
                  <w:tcBorders>
                    <w:tl2br w:val="nil"/>
                    <w:tr2bl w:val="nil"/>
                  </w:tcBorders>
                  <w:noWrap w:val="0"/>
                  <w:vAlign w:val="center"/>
                </w:tcPr>
                <w:p w14:paraId="5610D02C">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施工道路</w:t>
                  </w:r>
                </w:p>
              </w:tc>
              <w:tc>
                <w:tcPr>
                  <w:tcW w:w="5468" w:type="dxa"/>
                  <w:tcBorders>
                    <w:tl2br w:val="nil"/>
                    <w:tr2bl w:val="nil"/>
                  </w:tcBorders>
                  <w:noWrap w:val="0"/>
                  <w:vAlign w:val="center"/>
                </w:tcPr>
                <w:p w14:paraId="00366676">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矿区内部</w:t>
                  </w:r>
                  <w:r>
                    <w:rPr>
                      <w:rFonts w:hint="default" w:ascii="Times New Roman" w:hAnsi="Times New Roman" w:cs="Times New Roman"/>
                      <w:color w:val="auto"/>
                      <w:highlight w:val="none"/>
                      <w:lang w:val="en-US" w:eastAsia="zh-CN"/>
                    </w:rPr>
                    <w:t>为简易道路（</w:t>
                  </w: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km，宽2.5m，对</w:t>
                  </w:r>
                  <w:r>
                    <w:rPr>
                      <w:rFonts w:hint="default" w:ascii="Times New Roman" w:hAnsi="Times New Roman" w:cs="Times New Roman"/>
                      <w:color w:val="auto"/>
                      <w:highlight w:val="none"/>
                    </w:rPr>
                    <w:t>矿区内部道路</w:t>
                  </w:r>
                  <w:r>
                    <w:rPr>
                      <w:rFonts w:hint="default" w:ascii="Times New Roman" w:hAnsi="Times New Roman" w:cs="Times New Roman"/>
                      <w:color w:val="auto"/>
                      <w:highlight w:val="none"/>
                      <w:lang w:val="en-US" w:eastAsia="zh-CN"/>
                    </w:rPr>
                    <w:t>进行简单</w:t>
                  </w:r>
                  <w:r>
                    <w:rPr>
                      <w:rFonts w:hint="default" w:ascii="Times New Roman" w:hAnsi="Times New Roman" w:cs="Times New Roman"/>
                      <w:color w:val="auto"/>
                      <w:highlight w:val="none"/>
                    </w:rPr>
                    <w:t>平整</w:t>
                  </w:r>
                  <w:r>
                    <w:rPr>
                      <w:rFonts w:hint="default" w:ascii="Times New Roman" w:hAnsi="Times New Roman" w:cs="Times New Roman"/>
                      <w:color w:val="auto"/>
                      <w:highlight w:val="none"/>
                      <w:lang w:val="en-US" w:eastAsia="zh-CN"/>
                    </w:rPr>
                    <w:t>）与外界连接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矿区外利用现有</w:t>
                  </w:r>
                  <w:r>
                    <w:rPr>
                      <w:rFonts w:hint="eastAsia" w:ascii="Times New Roman" w:hAnsi="Times New Roman" w:cs="Times New Roman"/>
                      <w:color w:val="auto"/>
                      <w:highlight w:val="none"/>
                      <w:lang w:val="en-US" w:eastAsia="zh-CN"/>
                    </w:rPr>
                    <w:t>道路</w:t>
                  </w:r>
                </w:p>
              </w:tc>
              <w:tc>
                <w:tcPr>
                  <w:tcW w:w="869" w:type="dxa"/>
                  <w:tcBorders>
                    <w:tl2br w:val="nil"/>
                    <w:tr2bl w:val="nil"/>
                  </w:tcBorders>
                  <w:noWrap w:val="0"/>
                  <w:vAlign w:val="center"/>
                </w:tcPr>
                <w:p w14:paraId="79CB8D1E">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新建</w:t>
                  </w:r>
                </w:p>
              </w:tc>
            </w:tr>
            <w:tr w14:paraId="4561F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65D6CCBE">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7EF69188">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临时堆场</w:t>
                  </w:r>
                </w:p>
              </w:tc>
              <w:tc>
                <w:tcPr>
                  <w:tcW w:w="5468" w:type="dxa"/>
                  <w:tcBorders>
                    <w:tl2br w:val="nil"/>
                    <w:tr2bl w:val="nil"/>
                  </w:tcBorders>
                  <w:noWrap w:val="0"/>
                  <w:vAlign w:val="center"/>
                </w:tcPr>
                <w:p w14:paraId="434D7B41">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开挖探槽产生的岩土，采用可降解编织袋装袋，依次堆码于探槽两侧2m～5m范围的较平缓稳定区域，堆放高度不宜超过2m，确保堆填边坡稳定</w:t>
                  </w:r>
                </w:p>
              </w:tc>
              <w:tc>
                <w:tcPr>
                  <w:tcW w:w="869" w:type="dxa"/>
                  <w:tcBorders>
                    <w:tl2br w:val="nil"/>
                    <w:tr2bl w:val="nil"/>
                  </w:tcBorders>
                  <w:noWrap w:val="0"/>
                  <w:vAlign w:val="center"/>
                </w:tcPr>
                <w:p w14:paraId="4BC6457E">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新建</w:t>
                  </w:r>
                </w:p>
              </w:tc>
            </w:tr>
            <w:tr w14:paraId="2C79D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203BA941">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2BE99B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highlight w:val="none"/>
                      <w:vertAlign w:val="baseline"/>
                      <w:lang w:val="en-US" w:eastAsia="zh-CN"/>
                    </w:rPr>
                    <w:t>柴油储运方式</w:t>
                  </w:r>
                </w:p>
              </w:tc>
              <w:tc>
                <w:tcPr>
                  <w:tcW w:w="5468" w:type="dxa"/>
                  <w:tcBorders>
                    <w:tl2br w:val="nil"/>
                    <w:tr2bl w:val="nil"/>
                  </w:tcBorders>
                  <w:noWrap w:val="0"/>
                  <w:vAlign w:val="center"/>
                </w:tcPr>
                <w:p w14:paraId="56DC46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lang w:val="en-US"/>
                    </w:rPr>
                  </w:pPr>
                  <w:r>
                    <w:rPr>
                      <w:rFonts w:hint="default" w:ascii="Times New Roman" w:hAnsi="Times New Roman" w:eastAsia="宋体" w:cs="Times New Roman"/>
                      <w:color w:val="auto"/>
                      <w:sz w:val="21"/>
                      <w:szCs w:val="21"/>
                      <w:highlight w:val="none"/>
                      <w:vertAlign w:val="baseline"/>
                      <w:lang w:val="en-US" w:eastAsia="zh-CN"/>
                    </w:rPr>
                    <w:t>生产</w:t>
                  </w:r>
                  <w:r>
                    <w:rPr>
                      <w:rFonts w:hint="eastAsia" w:ascii="Times New Roman" w:hAnsi="Times New Roman" w:eastAsia="宋体" w:cs="Times New Roman"/>
                      <w:color w:val="auto"/>
                      <w:sz w:val="21"/>
                      <w:szCs w:val="21"/>
                      <w:highlight w:val="none"/>
                      <w:vertAlign w:val="baseline"/>
                      <w:lang w:val="en-US" w:eastAsia="zh-CN"/>
                    </w:rPr>
                    <w:t>柴油</w:t>
                  </w:r>
                  <w:r>
                    <w:rPr>
                      <w:rFonts w:hint="default" w:ascii="Times New Roman" w:hAnsi="Times New Roman" w:eastAsia="宋体" w:cs="Times New Roman"/>
                      <w:color w:val="auto"/>
                      <w:sz w:val="21"/>
                      <w:szCs w:val="21"/>
                      <w:highlight w:val="none"/>
                      <w:vertAlign w:val="baseline"/>
                      <w:lang w:val="en-US" w:eastAsia="zh-CN"/>
                    </w:rPr>
                    <w:t>外购，</w:t>
                  </w:r>
                  <w:r>
                    <w:rPr>
                      <w:rFonts w:hint="eastAsia" w:ascii="Times New Roman" w:hAnsi="Times New Roman" w:eastAsia="宋体" w:cs="Times New Roman"/>
                      <w:color w:val="auto"/>
                      <w:sz w:val="21"/>
                      <w:szCs w:val="21"/>
                      <w:highlight w:val="none"/>
                      <w:vertAlign w:val="baseline"/>
                      <w:lang w:val="en-US" w:eastAsia="zh-CN"/>
                    </w:rPr>
                    <w:t>由一台</w:t>
                  </w:r>
                  <w:r>
                    <w:rPr>
                      <w:rFonts w:hint="eastAsia" w:ascii="Times New Roman" w:hAnsi="Times New Roman" w:eastAsia="宋体" w:cs="Times New Roman"/>
                      <w:color w:val="auto"/>
                      <w:sz w:val="21"/>
                      <w:szCs w:val="21"/>
                      <w:highlight w:val="none"/>
                    </w:rPr>
                    <w:t>运油车</w:t>
                  </w:r>
                  <w:r>
                    <w:rPr>
                      <w:rFonts w:hint="eastAsia" w:ascii="Times New Roman" w:hAnsi="Times New Roman" w:eastAsia="宋体" w:cs="Times New Roman"/>
                      <w:color w:val="auto"/>
                      <w:sz w:val="21"/>
                      <w:szCs w:val="21"/>
                      <w:highlight w:val="none"/>
                      <w:lang w:val="en-US" w:eastAsia="zh-CN"/>
                    </w:rPr>
                    <w:t>拉运（容量约</w:t>
                  </w:r>
                  <w:r>
                    <w:rPr>
                      <w:rFonts w:hint="eastAsia"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），拉运一次可满足项目用量，年用量约0.25t</w:t>
                  </w:r>
                </w:p>
              </w:tc>
              <w:tc>
                <w:tcPr>
                  <w:tcW w:w="869" w:type="dxa"/>
                  <w:tcBorders>
                    <w:tl2br w:val="nil"/>
                    <w:tr2bl w:val="nil"/>
                  </w:tcBorders>
                  <w:noWrap w:val="0"/>
                  <w:vAlign w:val="center"/>
                </w:tcPr>
                <w:p w14:paraId="6F0CD07D">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新建</w:t>
                  </w:r>
                </w:p>
              </w:tc>
            </w:tr>
            <w:tr w14:paraId="07A7ED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57E47DCA">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70D2CBFE">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highlight w:val="none"/>
                    </w:rPr>
                    <w:t>危废</w:t>
                  </w:r>
                  <w:r>
                    <w:rPr>
                      <w:rFonts w:hint="eastAsia" w:ascii="Times New Roman" w:hAnsi="Times New Roman" w:cs="Times New Roman"/>
                      <w:color w:val="auto"/>
                      <w:highlight w:val="none"/>
                      <w:lang w:val="en-US" w:eastAsia="zh-CN"/>
                    </w:rPr>
                    <w:t>贮存库</w:t>
                  </w:r>
                </w:p>
              </w:tc>
              <w:tc>
                <w:tcPr>
                  <w:tcW w:w="5468" w:type="dxa"/>
                  <w:tcBorders>
                    <w:tl2br w:val="nil"/>
                    <w:tr2bl w:val="nil"/>
                  </w:tcBorders>
                  <w:noWrap w:val="0"/>
                  <w:vAlign w:val="center"/>
                </w:tcPr>
                <w:p w14:paraId="38EBDE00">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highlight w:val="none"/>
                      <w:shd w:val="clear" w:color="auto" w:fill="FFFFFF"/>
                    </w:rPr>
                    <w:t>本项目</w:t>
                  </w:r>
                  <w:r>
                    <w:rPr>
                      <w:rFonts w:hint="default" w:ascii="Times New Roman" w:hAnsi="Times New Roman" w:cs="Times New Roman"/>
                      <w:color w:val="auto"/>
                      <w:highlight w:val="none"/>
                      <w:shd w:val="clear" w:color="auto" w:fill="FFFFFF"/>
                      <w:lang w:val="en-US" w:eastAsia="zh-CN"/>
                    </w:rPr>
                    <w:t>设置一座</w:t>
                  </w:r>
                  <w:r>
                    <w:rPr>
                      <w:rFonts w:hint="default" w:ascii="Times New Roman" w:hAnsi="Times New Roman" w:cs="Times New Roman"/>
                      <w:color w:val="auto"/>
                      <w:highlight w:val="none"/>
                      <w:shd w:val="clear" w:color="auto" w:fill="FFFFFF"/>
                    </w:rPr>
                    <w:t>危废</w:t>
                  </w:r>
                  <w:r>
                    <w:rPr>
                      <w:rFonts w:hint="eastAsia" w:ascii="Times New Roman" w:hAnsi="Times New Roman" w:cs="Times New Roman"/>
                      <w:color w:val="auto"/>
                      <w:highlight w:val="none"/>
                      <w:shd w:val="clear" w:color="auto" w:fill="FFFFFF"/>
                      <w:lang w:eastAsia="zh-CN"/>
                    </w:rPr>
                    <w:t>贮存库</w:t>
                  </w:r>
                  <w:r>
                    <w:rPr>
                      <w:rFonts w:hint="default" w:ascii="Times New Roman" w:hAnsi="Times New Roman" w:cs="Times New Roman"/>
                      <w:color w:val="auto"/>
                      <w:highlight w:val="none"/>
                      <w:shd w:val="clear" w:color="auto" w:fill="FFFFFF"/>
                      <w:lang w:val="en-US" w:eastAsia="zh-CN"/>
                    </w:rPr>
                    <w:t>5m</w:t>
                  </w:r>
                  <w:r>
                    <w:rPr>
                      <w:rFonts w:hint="default" w:ascii="Times New Roman" w:hAnsi="Times New Roman" w:cs="Times New Roman"/>
                      <w:color w:val="auto"/>
                      <w:highlight w:val="none"/>
                      <w:shd w:val="clear" w:color="auto" w:fill="FFFFFF"/>
                      <w:vertAlign w:val="superscript"/>
                      <w:lang w:val="en-US" w:eastAsia="zh-CN"/>
                    </w:rPr>
                    <w:t>2</w:t>
                  </w:r>
                  <w:r>
                    <w:rPr>
                      <w:rFonts w:hint="default" w:ascii="Times New Roman" w:hAnsi="Times New Roman" w:cs="Times New Roman"/>
                      <w:color w:val="auto"/>
                      <w:highlight w:val="none"/>
                      <w:shd w:val="clear" w:color="auto" w:fill="FFFFFF"/>
                    </w:rPr>
                    <w:t>，</w:t>
                  </w:r>
                  <w:r>
                    <w:rPr>
                      <w:rFonts w:hint="default" w:ascii="Times New Roman" w:hAnsi="Times New Roman" w:cs="Times New Roman"/>
                      <w:color w:val="auto"/>
                      <w:highlight w:val="none"/>
                      <w:shd w:val="clear" w:color="auto" w:fill="FFFFFF"/>
                      <w:lang w:val="en-US" w:eastAsia="zh-CN"/>
                    </w:rPr>
                    <w:t>用于临时存放</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p>
              </w:tc>
              <w:tc>
                <w:tcPr>
                  <w:tcW w:w="869" w:type="dxa"/>
                  <w:tcBorders>
                    <w:tl2br w:val="nil"/>
                    <w:tr2bl w:val="nil"/>
                  </w:tcBorders>
                  <w:noWrap w:val="0"/>
                  <w:vAlign w:val="center"/>
                </w:tcPr>
                <w:p w14:paraId="1F21BB36">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r>
                    <w:rPr>
                      <w:rFonts w:hint="default" w:ascii="Times New Roman" w:hAnsi="Times New Roman" w:cs="Times New Roman"/>
                      <w:color w:val="auto"/>
                      <w:lang w:val="en-US" w:eastAsia="zh-CN"/>
                    </w:rPr>
                    <w:t>/</w:t>
                  </w:r>
                </w:p>
              </w:tc>
            </w:tr>
            <w:tr w14:paraId="73F4F6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restart"/>
                  <w:tcBorders>
                    <w:tl2br w:val="nil"/>
                    <w:tr2bl w:val="nil"/>
                  </w:tcBorders>
                  <w:noWrap w:val="0"/>
                  <w:vAlign w:val="center"/>
                </w:tcPr>
                <w:p w14:paraId="6592072B">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公用工程</w:t>
                  </w:r>
                </w:p>
              </w:tc>
              <w:tc>
                <w:tcPr>
                  <w:tcW w:w="1127" w:type="dxa"/>
                  <w:tcBorders>
                    <w:tl2br w:val="nil"/>
                    <w:tr2bl w:val="nil"/>
                  </w:tcBorders>
                  <w:noWrap w:val="0"/>
                  <w:vAlign w:val="center"/>
                </w:tcPr>
                <w:p w14:paraId="4DD6288A">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供电</w:t>
                  </w:r>
                </w:p>
              </w:tc>
              <w:tc>
                <w:tcPr>
                  <w:tcW w:w="5468" w:type="dxa"/>
                  <w:tcBorders>
                    <w:tl2br w:val="nil"/>
                    <w:tr2bl w:val="nil"/>
                  </w:tcBorders>
                  <w:noWrap w:val="0"/>
                  <w:vAlign w:val="center"/>
                </w:tcPr>
                <w:p w14:paraId="55FBAFD6">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设置柴油发电机，提供用电</w:t>
                  </w:r>
                </w:p>
              </w:tc>
              <w:tc>
                <w:tcPr>
                  <w:tcW w:w="869" w:type="dxa"/>
                  <w:tcBorders>
                    <w:tl2br w:val="nil"/>
                    <w:tr2bl w:val="nil"/>
                  </w:tcBorders>
                  <w:noWrap w:val="0"/>
                  <w:vAlign w:val="center"/>
                </w:tcPr>
                <w:p w14:paraId="78E14703">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w:t>
                  </w:r>
                </w:p>
              </w:tc>
            </w:tr>
            <w:tr w14:paraId="2D007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2025AA67">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3B48086F">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供水</w:t>
                  </w:r>
                </w:p>
              </w:tc>
              <w:tc>
                <w:tcPr>
                  <w:tcW w:w="5468" w:type="dxa"/>
                  <w:tcBorders>
                    <w:tl2br w:val="nil"/>
                    <w:tr2bl w:val="nil"/>
                  </w:tcBorders>
                  <w:noWrap w:val="0"/>
                  <w:vAlign w:val="center"/>
                </w:tcPr>
                <w:p w14:paraId="5AF4D206">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jc w:val="center"/>
                    <w:textAlignment w:val="center"/>
                    <w:rPr>
                      <w:rFonts w:hint="default" w:ascii="Times New Roman" w:hAnsi="Times New Roman" w:cs="Times New Roman"/>
                      <w:color w:val="auto"/>
                      <w:lang w:val="en-US"/>
                    </w:rPr>
                  </w:pPr>
                  <w:r>
                    <w:rPr>
                      <w:rFonts w:hint="default" w:ascii="Times New Roman" w:hAnsi="Times New Roman" w:cs="Times New Roman"/>
                      <w:lang w:val="en-US" w:eastAsia="zh-CN"/>
                    </w:rPr>
                    <w:t>生产及生活用水从和静县</w:t>
                  </w:r>
                  <w:r>
                    <w:rPr>
                      <w:rFonts w:hint="eastAsia" w:ascii="Times New Roman" w:hAnsi="Times New Roman" w:cs="Times New Roman"/>
                      <w:lang w:val="en-US" w:eastAsia="zh-CN"/>
                    </w:rPr>
                    <w:t>克尔古提乡</w:t>
                  </w:r>
                  <w:r>
                    <w:rPr>
                      <w:rFonts w:hint="default" w:ascii="Times New Roman" w:hAnsi="Times New Roman" w:cs="Times New Roman"/>
                      <w:lang w:val="en-US" w:eastAsia="zh-CN"/>
                    </w:rPr>
                    <w:t>拉运，生产用水使用水罐车储存，容积10m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，生活用水桶装纯净水</w:t>
                  </w:r>
                </w:p>
              </w:tc>
              <w:tc>
                <w:tcPr>
                  <w:tcW w:w="869" w:type="dxa"/>
                  <w:tcBorders>
                    <w:tl2br w:val="nil"/>
                    <w:tr2bl w:val="nil"/>
                  </w:tcBorders>
                  <w:noWrap w:val="0"/>
                  <w:vAlign w:val="center"/>
                </w:tcPr>
                <w:p w14:paraId="169640AC">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r>
            <w:tr w14:paraId="01CD0B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3FBD25C1">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1F447C50">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排水</w:t>
                  </w:r>
                </w:p>
              </w:tc>
              <w:tc>
                <w:tcPr>
                  <w:tcW w:w="5468" w:type="dxa"/>
                  <w:tcBorders>
                    <w:tl2br w:val="nil"/>
                    <w:tr2bl w:val="nil"/>
                  </w:tcBorders>
                  <w:noWrap w:val="0"/>
                  <w:vAlign w:val="center"/>
                </w:tcPr>
                <w:p w14:paraId="7444B5E6">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本项目工人在矿区搭设临时帐篷。</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p>
              </w:tc>
              <w:tc>
                <w:tcPr>
                  <w:tcW w:w="869" w:type="dxa"/>
                  <w:tcBorders>
                    <w:tl2br w:val="nil"/>
                    <w:tr2bl w:val="nil"/>
                  </w:tcBorders>
                  <w:noWrap w:val="0"/>
                  <w:vAlign w:val="center"/>
                </w:tcPr>
                <w:p w14:paraId="303BFCE7">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r>
            <w:tr w14:paraId="34FC5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vMerge w:val="restart"/>
                  <w:tcBorders>
                    <w:tl2br w:val="nil"/>
                    <w:tr2bl w:val="nil"/>
                  </w:tcBorders>
                  <w:noWrap w:val="0"/>
                  <w:vAlign w:val="center"/>
                </w:tcPr>
                <w:p w14:paraId="6EFE4B21">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环保工程</w:t>
                  </w:r>
                </w:p>
              </w:tc>
              <w:tc>
                <w:tcPr>
                  <w:tcW w:w="1127" w:type="dxa"/>
                  <w:tcBorders>
                    <w:tl2br w:val="nil"/>
                    <w:tr2bl w:val="nil"/>
                  </w:tcBorders>
                  <w:noWrap w:val="0"/>
                  <w:vAlign w:val="center"/>
                </w:tcPr>
                <w:p w14:paraId="22E30FFD">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废气</w:t>
                  </w:r>
                </w:p>
              </w:tc>
              <w:tc>
                <w:tcPr>
                  <w:tcW w:w="5468" w:type="dxa"/>
                  <w:tcBorders>
                    <w:tl2br w:val="nil"/>
                    <w:tr2bl w:val="nil"/>
                  </w:tcBorders>
                  <w:noWrap w:val="0"/>
                  <w:vAlign w:val="center"/>
                </w:tcPr>
                <w:p w14:paraId="6DC46EBB">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rPr>
                    <w:t>扬尘</w:t>
                  </w:r>
                  <w:r>
                    <w:rPr>
                      <w:rFonts w:hint="default" w:ascii="Times New Roman" w:hAnsi="Times New Roman" w:cs="Times New Roman"/>
                      <w:color w:val="auto"/>
                      <w:lang w:eastAsia="zh-CN"/>
                    </w:rPr>
                    <w:t>：</w:t>
                  </w:r>
                  <w:r>
                    <w:rPr>
                      <w:rFonts w:hint="default" w:ascii="Times New Roman" w:hAnsi="Times New Roman" w:cs="Times New Roman"/>
                      <w:color w:val="auto"/>
                    </w:rPr>
                    <w:t>采取洒水降尘措施后</w:t>
                  </w:r>
                  <w:r>
                    <w:rPr>
                      <w:rFonts w:hint="default" w:ascii="Times New Roman" w:hAnsi="Times New Roman" w:cs="Times New Roman"/>
                      <w:color w:val="auto"/>
                      <w:lang w:val="en-US" w:eastAsia="zh-CN"/>
                    </w:rPr>
                    <w:t>能减少</w:t>
                  </w:r>
                  <w:r>
                    <w:rPr>
                      <w:rFonts w:hint="default" w:ascii="Times New Roman" w:hAnsi="Times New Roman" w:cs="Times New Roman"/>
                      <w:color w:val="auto"/>
                    </w:rPr>
                    <w:t>粉尘的排放</w:t>
                  </w:r>
                  <w:r>
                    <w:rPr>
                      <w:rFonts w:hint="default" w:ascii="Times New Roman" w:hAnsi="Times New Roman" w:cs="Times New Roman"/>
                      <w:color w:val="auto"/>
                      <w:lang w:eastAsia="zh-CN"/>
                    </w:rPr>
                    <w:t>。</w:t>
                  </w:r>
                </w:p>
                <w:p w14:paraId="6ABCA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lang w:val="en-US" w:eastAsia="zh-CN"/>
                    </w:rPr>
                  </w:pPr>
                  <w:r>
                    <w:rPr>
                      <w:rFonts w:hint="default" w:ascii="Times New Roman" w:hAnsi="Times New Roman" w:eastAsia="宋体" w:cs="Times New Roman"/>
                      <w:color w:val="auto"/>
                      <w:kern w:val="2"/>
                      <w:sz w:val="21"/>
                      <w:szCs w:val="22"/>
                      <w:lang w:val="en-US" w:eastAsia="zh-CN" w:bidi="ar-SA"/>
                    </w:rPr>
                    <w:t>燃油废气：对柴油发电机及运输车辆定期维护保养，使用正品燃油，减少尾气排放</w:t>
                  </w:r>
                </w:p>
              </w:tc>
              <w:tc>
                <w:tcPr>
                  <w:tcW w:w="869" w:type="dxa"/>
                  <w:tcBorders>
                    <w:tl2br w:val="nil"/>
                    <w:tr2bl w:val="nil"/>
                  </w:tcBorders>
                  <w:noWrap w:val="0"/>
                  <w:vAlign w:val="center"/>
                </w:tcPr>
                <w:p w14:paraId="2A8451D1">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r>
            <w:tr w14:paraId="11FFC5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38A0CA95">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107F2ADB">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废水</w:t>
                  </w:r>
                </w:p>
              </w:tc>
              <w:tc>
                <w:tcPr>
                  <w:tcW w:w="5468" w:type="dxa"/>
                  <w:tcBorders>
                    <w:tl2br w:val="nil"/>
                    <w:tr2bl w:val="nil"/>
                  </w:tcBorders>
                  <w:noWrap w:val="0"/>
                  <w:vAlign w:val="center"/>
                </w:tcPr>
                <w:p w14:paraId="77658005">
                  <w:pPr>
                    <w:pStyle w:val="68"/>
                    <w:keepNext w:val="0"/>
                    <w:keepLines w:val="0"/>
                    <w:suppressLineNumbers w:val="0"/>
                    <w:spacing w:before="0" w:beforeAutospacing="0" w:after="0" w:afterAutospacing="0"/>
                    <w:ind w:right="0"/>
                    <w:jc w:val="center"/>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本项目工人在矿区搭设临时帐篷。</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p>
              </w:tc>
              <w:tc>
                <w:tcPr>
                  <w:tcW w:w="869" w:type="dxa"/>
                  <w:tcBorders>
                    <w:tl2br w:val="nil"/>
                    <w:tr2bl w:val="nil"/>
                  </w:tcBorders>
                  <w:noWrap w:val="0"/>
                  <w:vAlign w:val="center"/>
                </w:tcPr>
                <w:p w14:paraId="5BAA6D0E">
                  <w:pPr>
                    <w:pStyle w:val="68"/>
                    <w:keepNext w:val="0"/>
                    <w:keepLines w:val="0"/>
                    <w:suppressLineNumbers w:val="0"/>
                    <w:spacing w:before="0" w:beforeAutospacing="0" w:after="0" w:afterAutospacing="0"/>
                    <w:ind w:right="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w:t>
                  </w:r>
                </w:p>
              </w:tc>
            </w:tr>
            <w:tr w14:paraId="5E74AC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3" w:type="dxa"/>
                  <w:vMerge w:val="continue"/>
                  <w:tcBorders>
                    <w:tl2br w:val="nil"/>
                    <w:tr2bl w:val="nil"/>
                  </w:tcBorders>
                  <w:noWrap w:val="0"/>
                  <w:vAlign w:val="center"/>
                </w:tcPr>
                <w:p w14:paraId="5FF39100">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tcBorders>
                    <w:tl2br w:val="nil"/>
                    <w:tr2bl w:val="nil"/>
                  </w:tcBorders>
                  <w:noWrap w:val="0"/>
                  <w:vAlign w:val="center"/>
                </w:tcPr>
                <w:p w14:paraId="35407D35">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5468" w:type="dxa"/>
                  <w:tcBorders>
                    <w:tl2br w:val="nil"/>
                    <w:tr2bl w:val="nil"/>
                  </w:tcBorders>
                  <w:noWrap w:val="0"/>
                  <w:vAlign w:val="center"/>
                </w:tcPr>
                <w:p w14:paraId="620304D9">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低噪声设备，</w:t>
                  </w:r>
                  <w:r>
                    <w:rPr>
                      <w:rFonts w:hint="eastAsia" w:ascii="Times New Roman" w:hAnsi="Times New Roman" w:cs="Times New Roman"/>
                      <w:color w:val="auto"/>
                      <w:lang w:val="en-US" w:eastAsia="zh-CN"/>
                    </w:rPr>
                    <w:t>应</w:t>
                  </w:r>
                  <w:r>
                    <w:rPr>
                      <w:rFonts w:hint="default" w:ascii="Times New Roman" w:hAnsi="Times New Roman" w:cs="Times New Roman"/>
                      <w:color w:val="auto"/>
                    </w:rPr>
                    <w:t>对设备及时保养和维修，使设备处于良好的技术状态</w:t>
                  </w:r>
                </w:p>
              </w:tc>
              <w:tc>
                <w:tcPr>
                  <w:tcW w:w="869" w:type="dxa"/>
                  <w:tcBorders>
                    <w:tl2br w:val="nil"/>
                    <w:tr2bl w:val="nil"/>
                  </w:tcBorders>
                  <w:noWrap w:val="0"/>
                  <w:vAlign w:val="center"/>
                </w:tcPr>
                <w:p w14:paraId="4B6C2370">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w:t>
                  </w:r>
                </w:p>
              </w:tc>
            </w:tr>
            <w:tr w14:paraId="5B5CD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23" w:type="dxa"/>
                  <w:vMerge w:val="continue"/>
                  <w:tcBorders>
                    <w:tl2br w:val="nil"/>
                    <w:tr2bl w:val="nil"/>
                  </w:tcBorders>
                  <w:noWrap w:val="0"/>
                  <w:vAlign w:val="center"/>
                </w:tcPr>
                <w:p w14:paraId="176A2FCB">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vMerge w:val="restart"/>
                  <w:tcBorders>
                    <w:tl2br w:val="nil"/>
                    <w:tr2bl w:val="nil"/>
                  </w:tcBorders>
                  <w:noWrap w:val="0"/>
                  <w:vAlign w:val="center"/>
                </w:tcPr>
                <w:p w14:paraId="7FFC483D">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固废</w:t>
                  </w:r>
                </w:p>
              </w:tc>
              <w:tc>
                <w:tcPr>
                  <w:tcW w:w="6337" w:type="dxa"/>
                  <w:gridSpan w:val="2"/>
                  <w:tcBorders>
                    <w:tl2br w:val="nil"/>
                    <w:tr2bl w:val="nil"/>
                  </w:tcBorders>
                  <w:noWrap w:val="0"/>
                  <w:vAlign w:val="center"/>
                </w:tcPr>
                <w:p w14:paraId="7104A053">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lang w:eastAsia="zh-CN"/>
                    </w:rPr>
                  </w:pPr>
                  <w:r>
                    <w:rPr>
                      <w:rFonts w:hint="default" w:ascii="Times New Roman" w:hAnsi="Times New Roman" w:cs="Times New Roman"/>
                      <w:color w:val="auto"/>
                    </w:rPr>
                    <w:t>剥离废石全部堆放至</w:t>
                  </w:r>
                  <w:r>
                    <w:rPr>
                      <w:rFonts w:hint="eastAsia" w:ascii="Times New Roman" w:hAnsi="Times New Roman" w:cs="Times New Roman"/>
                      <w:color w:val="auto"/>
                      <w:lang w:val="en-US" w:eastAsia="zh-CN"/>
                    </w:rPr>
                    <w:t>探槽附近</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并用篷布覆盖</w:t>
                  </w:r>
                  <w:r>
                    <w:rPr>
                      <w:rFonts w:hint="default" w:ascii="Times New Roman" w:hAnsi="Times New Roman" w:cs="Times New Roman"/>
                      <w:color w:val="auto"/>
                    </w:rPr>
                    <w:t>，</w:t>
                  </w:r>
                  <w:r>
                    <w:rPr>
                      <w:rFonts w:hint="default" w:ascii="Times New Roman" w:hAnsi="Times New Roman" w:cs="Times New Roman"/>
                      <w:color w:val="auto"/>
                      <w:lang w:val="en-US" w:eastAsia="zh-CN"/>
                    </w:rPr>
                    <w:t>每个作业点</w:t>
                  </w:r>
                  <w:r>
                    <w:rPr>
                      <w:rFonts w:hint="eastAsia"/>
                      <w:lang w:val="en-US" w:eastAsia="zh-CN"/>
                    </w:rPr>
                    <w:t>勘查</w:t>
                  </w:r>
                  <w:r>
                    <w:rPr>
                      <w:rFonts w:hint="default" w:ascii="Times New Roman" w:hAnsi="Times New Roman" w:cs="Times New Roman"/>
                      <w:color w:val="auto"/>
                      <w:lang w:val="en-US" w:eastAsia="zh-CN"/>
                    </w:rPr>
                    <w:t>结束后立即回填</w:t>
                  </w:r>
                </w:p>
              </w:tc>
            </w:tr>
            <w:tr w14:paraId="54729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23" w:type="dxa"/>
                  <w:vMerge w:val="continue"/>
                  <w:tcBorders>
                    <w:tl2br w:val="nil"/>
                    <w:tr2bl w:val="nil"/>
                  </w:tcBorders>
                  <w:noWrap w:val="0"/>
                  <w:vAlign w:val="center"/>
                </w:tcPr>
                <w:p w14:paraId="1B10F681">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vMerge w:val="continue"/>
                  <w:tcBorders>
                    <w:tl2br w:val="nil"/>
                    <w:tr2bl w:val="nil"/>
                  </w:tcBorders>
                  <w:noWrap w:val="0"/>
                  <w:vAlign w:val="center"/>
                </w:tcPr>
                <w:p w14:paraId="4451F867">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6337" w:type="dxa"/>
                  <w:gridSpan w:val="2"/>
                  <w:tcBorders>
                    <w:tl2br w:val="nil"/>
                    <w:tr2bl w:val="nil"/>
                  </w:tcBorders>
                  <w:noWrap w:val="0"/>
                  <w:vAlign w:val="center"/>
                </w:tcPr>
                <w:p w14:paraId="0B082E98">
                  <w:pPr>
                    <w:pStyle w:val="68"/>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生活污水一体化处理设施</w:t>
                  </w:r>
                  <w:r>
                    <w:rPr>
                      <w:rFonts w:hint="eastAsia" w:ascii="Times New Roman" w:hAnsi="Times New Roman" w:eastAsia="宋体" w:cs="Times New Roman"/>
                      <w:color w:val="auto"/>
                      <w:lang w:val="en-US" w:eastAsia="zh-CN"/>
                    </w:rPr>
                    <w:t>产生的</w:t>
                  </w:r>
                  <w:r>
                    <w:rPr>
                      <w:rFonts w:hint="default" w:ascii="Times New Roman" w:hAnsi="Times New Roman" w:eastAsia="宋体" w:cs="Times New Roman"/>
                      <w:color w:val="auto"/>
                      <w:lang w:val="en-US" w:eastAsia="zh-CN"/>
                    </w:rPr>
                    <w:t>底泥，定期清掏用于周边植被绿化</w:t>
                  </w:r>
                </w:p>
              </w:tc>
            </w:tr>
            <w:tr w14:paraId="1B529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23" w:type="dxa"/>
                  <w:vMerge w:val="continue"/>
                  <w:tcBorders>
                    <w:tl2br w:val="nil"/>
                    <w:tr2bl w:val="nil"/>
                  </w:tcBorders>
                  <w:noWrap w:val="0"/>
                  <w:vAlign w:val="center"/>
                </w:tcPr>
                <w:p w14:paraId="4538F174">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1127" w:type="dxa"/>
                  <w:vMerge w:val="continue"/>
                  <w:tcBorders>
                    <w:tl2br w:val="nil"/>
                    <w:tr2bl w:val="nil"/>
                  </w:tcBorders>
                  <w:noWrap w:val="0"/>
                  <w:vAlign w:val="center"/>
                </w:tcPr>
                <w:p w14:paraId="312B2C04">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p>
              </w:tc>
              <w:tc>
                <w:tcPr>
                  <w:tcW w:w="6337" w:type="dxa"/>
                  <w:gridSpan w:val="2"/>
                  <w:tcBorders>
                    <w:tl2br w:val="nil"/>
                    <w:tr2bl w:val="nil"/>
                  </w:tcBorders>
                  <w:noWrap w:val="0"/>
                  <w:vAlign w:val="center"/>
                </w:tcPr>
                <w:p w14:paraId="577422EE">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val="en-US" w:eastAsia="zh-CN"/>
                    </w:rPr>
                    <w:t>项目生活垃圾采用垃圾袋集中收集后定期清运至</w:t>
                  </w:r>
                  <w:r>
                    <w:rPr>
                      <w:rFonts w:hint="eastAsia" w:cs="Times New Roman"/>
                      <w:color w:val="auto"/>
                      <w:kern w:val="0"/>
                      <w:szCs w:val="21"/>
                      <w:lang w:val="en-US" w:eastAsia="zh-CN"/>
                    </w:rPr>
                    <w:t>就近</w:t>
                  </w:r>
                  <w:r>
                    <w:rPr>
                      <w:rFonts w:hint="eastAsia" w:ascii="Times New Roman" w:hAnsi="Times New Roman" w:cs="Times New Roman"/>
                      <w:color w:val="auto"/>
                      <w:kern w:val="0"/>
                      <w:szCs w:val="21"/>
                      <w:lang w:val="en-US" w:eastAsia="zh-CN"/>
                    </w:rPr>
                    <w:t>垃圾收集点</w:t>
                  </w:r>
                  <w:r>
                    <w:rPr>
                      <w:rFonts w:hint="default" w:ascii="Times New Roman" w:hAnsi="Times New Roman" w:cs="Times New Roman"/>
                      <w:color w:val="auto"/>
                    </w:rPr>
                    <w:t>。</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default" w:ascii="Times New Roman" w:hAnsi="Times New Roman" w:cs="Times New Roman"/>
                      <w:color w:val="auto"/>
                      <w:highlight w:val="none"/>
                    </w:rPr>
                    <w:t>暂存于</w:t>
                  </w:r>
                  <w:r>
                    <w:rPr>
                      <w:rFonts w:hint="eastAsia" w:ascii="Times New Roman" w:hAnsi="Times New Roman" w:cs="Times New Roman"/>
                      <w:color w:val="auto"/>
                      <w:highlight w:val="none"/>
                      <w:lang w:eastAsia="zh-CN"/>
                    </w:rPr>
                    <w:t>危废贮存库</w:t>
                  </w:r>
                  <w:r>
                    <w:rPr>
                      <w:rFonts w:hint="default" w:ascii="Times New Roman" w:hAnsi="Times New Roman" w:cs="Times New Roman"/>
                      <w:color w:val="auto"/>
                      <w:highlight w:val="none"/>
                    </w:rPr>
                    <w:t>（5m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），交由有危废处置资质单位处理</w:t>
                  </w:r>
                </w:p>
              </w:tc>
            </w:tr>
          </w:tbl>
          <w:p w14:paraId="0A83C7E1">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ascii="Times New Roman" w:hAnsi="Times New Roman" w:cs="Times New Roman"/>
                <w:color w:val="auto"/>
              </w:rPr>
            </w:pPr>
            <w:r>
              <w:rPr>
                <w:rFonts w:hint="eastAsia" w:cs="Times New Roman"/>
                <w:color w:val="auto"/>
                <w:lang w:val="en-US" w:eastAsia="zh-CN"/>
              </w:rPr>
              <w:t>2.5</w:t>
            </w:r>
            <w:r>
              <w:rPr>
                <w:rFonts w:hint="default" w:ascii="Times New Roman" w:hAnsi="Times New Roman" w:cs="Times New Roman"/>
                <w:color w:val="auto"/>
              </w:rPr>
              <w:t>主要设备</w:t>
            </w:r>
          </w:p>
          <w:p w14:paraId="7AD2C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本项目主要设备见表</w:t>
            </w:r>
            <w:r>
              <w:rPr>
                <w:rFonts w:hint="default" w:ascii="Times New Roman" w:hAnsi="Times New Roman" w:cs="Times New Roman"/>
                <w:color w:val="auto"/>
                <w:lang w:val="en-US" w:eastAsia="zh-CN"/>
              </w:rPr>
              <w:t>2</w:t>
            </w:r>
            <w:r>
              <w:rPr>
                <w:rFonts w:hint="eastAsia" w:ascii="Times New Roman" w:hAnsi="Times New Roman" w:cs="Times New Roman"/>
                <w:color w:val="auto"/>
                <w:lang w:val="en-US" w:eastAsia="zh-CN"/>
              </w:rPr>
              <w:t>-4</w:t>
            </w:r>
            <w:r>
              <w:rPr>
                <w:rFonts w:hint="default" w:ascii="Times New Roman" w:hAnsi="Times New Roman" w:cs="Times New Roman"/>
                <w:color w:val="auto"/>
              </w:rPr>
              <w:t>。</w:t>
            </w:r>
          </w:p>
          <w:p w14:paraId="29C4BC83">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ascii="Times New Roman" w:hAnsi="Times New Roman" w:cs="Times New Roman"/>
                <w:color w:val="auto"/>
              </w:rPr>
            </w:pPr>
            <w:r>
              <w:rPr>
                <w:rFonts w:hint="default" w:ascii="Times New Roman" w:hAnsi="Times New Roman" w:cs="Times New Roman"/>
                <w:color w:val="auto"/>
              </w:rPr>
              <w:t>表</w:t>
            </w:r>
            <w:r>
              <w:rPr>
                <w:rFonts w:hint="eastAsia" w:cs="Times New Roman"/>
                <w:color w:val="auto"/>
                <w:lang w:val="en-US" w:eastAsia="zh-CN"/>
              </w:rPr>
              <w:t>2-4</w:t>
            </w:r>
            <w:r>
              <w:rPr>
                <w:rFonts w:hint="default" w:ascii="Times New Roman" w:hAnsi="Times New Roman" w:cs="Times New Roman"/>
                <w:color w:val="auto"/>
              </w:rPr>
              <w:t xml:space="preserve">   主要设备一览表</w:t>
            </w:r>
          </w:p>
          <w:tbl>
            <w:tblPr>
              <w:tblStyle w:val="28"/>
              <w:tblW w:w="8187" w:type="dxa"/>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5054"/>
              <w:gridCol w:w="1041"/>
              <w:gridCol w:w="1042"/>
            </w:tblGrid>
            <w:tr w14:paraId="7D75C8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6045D668">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5054" w:type="dxa"/>
                  <w:tcBorders>
                    <w:tl2br w:val="nil"/>
                    <w:tr2bl w:val="nil"/>
                  </w:tcBorders>
                  <w:noWrap w:val="0"/>
                  <w:vAlign w:val="top"/>
                </w:tcPr>
                <w:p w14:paraId="39DD6C79">
                  <w:pPr>
                    <w:pStyle w:val="68"/>
                    <w:keepNext w:val="0"/>
                    <w:keepLines w:val="0"/>
                    <w:suppressLineNumbers w:val="0"/>
                    <w:spacing w:before="0" w:beforeAutospacing="0" w:after="0" w:afterAutospacing="0"/>
                    <w:ind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设备名称</w:t>
                  </w:r>
                </w:p>
              </w:tc>
              <w:tc>
                <w:tcPr>
                  <w:tcW w:w="1041" w:type="dxa"/>
                  <w:tcBorders>
                    <w:tl2br w:val="nil"/>
                    <w:tr2bl w:val="nil"/>
                  </w:tcBorders>
                  <w:noWrap w:val="0"/>
                  <w:vAlign w:val="top"/>
                </w:tcPr>
                <w:p w14:paraId="7CA3D284">
                  <w:pPr>
                    <w:pStyle w:val="68"/>
                    <w:keepNext w:val="0"/>
                    <w:keepLines w:val="0"/>
                    <w:suppressLineNumbers w:val="0"/>
                    <w:spacing w:before="0" w:beforeAutospacing="0" w:after="0" w:afterAutospacing="0"/>
                    <w:ind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w:t>
                  </w:r>
                </w:p>
              </w:tc>
              <w:tc>
                <w:tcPr>
                  <w:tcW w:w="1042" w:type="dxa"/>
                  <w:tcBorders>
                    <w:tl2br w:val="nil"/>
                    <w:tr2bl w:val="nil"/>
                  </w:tcBorders>
                  <w:noWrap w:val="0"/>
                  <w:vAlign w:val="top"/>
                </w:tcPr>
                <w:p w14:paraId="1A3801E4">
                  <w:pPr>
                    <w:pStyle w:val="68"/>
                    <w:keepNext w:val="0"/>
                    <w:keepLines w:val="0"/>
                    <w:suppressLineNumbers w:val="0"/>
                    <w:spacing w:before="0" w:beforeAutospacing="0" w:after="0" w:afterAutospacing="0"/>
                    <w:ind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数量</w:t>
                  </w:r>
                </w:p>
              </w:tc>
            </w:tr>
            <w:tr w14:paraId="1C3FD1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050" w:type="dxa"/>
                  <w:tcBorders>
                    <w:tl2br w:val="nil"/>
                    <w:tr2bl w:val="nil"/>
                  </w:tcBorders>
                  <w:noWrap w:val="0"/>
                  <w:vAlign w:val="center"/>
                </w:tcPr>
                <w:p w14:paraId="32B7E584">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lang w:bidi="ar"/>
                    </w:rPr>
                    <w:t>1</w:t>
                  </w:r>
                </w:p>
              </w:tc>
              <w:tc>
                <w:tcPr>
                  <w:tcW w:w="5054" w:type="dxa"/>
                  <w:tcBorders>
                    <w:tl2br w:val="nil"/>
                    <w:tr2bl w:val="nil"/>
                  </w:tcBorders>
                  <w:noWrap w:val="0"/>
                  <w:vAlign w:val="center"/>
                </w:tcPr>
                <w:p w14:paraId="2467CE9D">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bidi="ar"/>
                    </w:rPr>
                    <w:t>大疆DJM350RTK</w:t>
                  </w:r>
                </w:p>
              </w:tc>
              <w:tc>
                <w:tcPr>
                  <w:tcW w:w="1041" w:type="dxa"/>
                  <w:tcBorders>
                    <w:tl2br w:val="nil"/>
                    <w:tr2bl w:val="nil"/>
                  </w:tcBorders>
                  <w:noWrap w:val="0"/>
                  <w:vAlign w:val="center"/>
                </w:tcPr>
                <w:p w14:paraId="3C37EB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31F709DB">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lang w:bidi="ar"/>
                    </w:rPr>
                    <w:t>1</w:t>
                  </w:r>
                </w:p>
              </w:tc>
            </w:tr>
            <w:tr w14:paraId="421A8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0B6FA49F">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lang w:bidi="ar"/>
                    </w:rPr>
                    <w:t>2</w:t>
                  </w:r>
                </w:p>
              </w:tc>
              <w:tc>
                <w:tcPr>
                  <w:tcW w:w="5054" w:type="dxa"/>
                  <w:tcBorders>
                    <w:tl2br w:val="nil"/>
                    <w:tr2bl w:val="nil"/>
                  </w:tcBorders>
                  <w:noWrap w:val="0"/>
                  <w:vAlign w:val="center"/>
                </w:tcPr>
                <w:p w14:paraId="755BF7A7">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R3航空磁力仪</w:t>
                  </w:r>
                </w:p>
              </w:tc>
              <w:tc>
                <w:tcPr>
                  <w:tcW w:w="1041" w:type="dxa"/>
                  <w:tcBorders>
                    <w:tl2br w:val="nil"/>
                    <w:tr2bl w:val="nil"/>
                  </w:tcBorders>
                  <w:noWrap w:val="0"/>
                  <w:vAlign w:val="center"/>
                </w:tcPr>
                <w:p w14:paraId="669F0A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5EDD9E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20281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3CB81AAD">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lang w:bidi="ar"/>
                    </w:rPr>
                    <w:t>3</w:t>
                  </w:r>
                </w:p>
              </w:tc>
              <w:tc>
                <w:tcPr>
                  <w:tcW w:w="5054" w:type="dxa"/>
                  <w:tcBorders>
                    <w:tl2br w:val="nil"/>
                    <w:tr2bl w:val="nil"/>
                  </w:tcBorders>
                  <w:noWrap w:val="0"/>
                  <w:vAlign w:val="center"/>
                </w:tcPr>
                <w:p w14:paraId="7DC9BD05">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DN-PPK机载导航定位系统</w:t>
                  </w:r>
                </w:p>
              </w:tc>
              <w:tc>
                <w:tcPr>
                  <w:tcW w:w="1041" w:type="dxa"/>
                  <w:tcBorders>
                    <w:tl2br w:val="nil"/>
                    <w:tr2bl w:val="nil"/>
                  </w:tcBorders>
                  <w:noWrap w:val="0"/>
                  <w:vAlign w:val="center"/>
                </w:tcPr>
                <w:p w14:paraId="1FE6D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184FE1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3097B5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48F7C094">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4</w:t>
                  </w:r>
                </w:p>
              </w:tc>
              <w:tc>
                <w:tcPr>
                  <w:tcW w:w="5054" w:type="dxa"/>
                  <w:tcBorders>
                    <w:tl2br w:val="nil"/>
                    <w:tr2bl w:val="nil"/>
                  </w:tcBorders>
                  <w:noWrap w:val="0"/>
                  <w:vAlign w:val="center"/>
                </w:tcPr>
                <w:p w14:paraId="2A5FF5A3">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MZC-4质子磁力仪</w:t>
                  </w:r>
                </w:p>
              </w:tc>
              <w:tc>
                <w:tcPr>
                  <w:tcW w:w="1041" w:type="dxa"/>
                  <w:tcBorders>
                    <w:tl2br w:val="nil"/>
                    <w:tr2bl w:val="nil"/>
                  </w:tcBorders>
                  <w:noWrap w:val="0"/>
                  <w:vAlign w:val="center"/>
                </w:tcPr>
                <w:p w14:paraId="138D37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7BEB09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13ECB7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6DA5C75D">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5</w:t>
                  </w:r>
                </w:p>
              </w:tc>
              <w:tc>
                <w:tcPr>
                  <w:tcW w:w="5054" w:type="dxa"/>
                  <w:tcBorders>
                    <w:tl2br w:val="nil"/>
                    <w:tr2bl w:val="nil"/>
                  </w:tcBorders>
                  <w:noWrap w:val="0"/>
                  <w:vAlign w:val="center"/>
                </w:tcPr>
                <w:p w14:paraId="51E6D0DB">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iRTK4接收机</w:t>
                  </w:r>
                </w:p>
              </w:tc>
              <w:tc>
                <w:tcPr>
                  <w:tcW w:w="1041" w:type="dxa"/>
                  <w:tcBorders>
                    <w:tl2br w:val="nil"/>
                    <w:tr2bl w:val="nil"/>
                  </w:tcBorders>
                  <w:noWrap w:val="0"/>
                  <w:vAlign w:val="center"/>
                </w:tcPr>
                <w:p w14:paraId="52D9BCA0">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48A942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42579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01A06157">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6</w:t>
                  </w:r>
                </w:p>
              </w:tc>
              <w:tc>
                <w:tcPr>
                  <w:tcW w:w="5054" w:type="dxa"/>
                  <w:tcBorders>
                    <w:tl2br w:val="nil"/>
                    <w:tr2bl w:val="nil"/>
                  </w:tcBorders>
                  <w:noWrap w:val="0"/>
                  <w:vAlign w:val="center"/>
                </w:tcPr>
                <w:p w14:paraId="424EFCD0">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GARMIN62S手持</w:t>
                  </w:r>
                  <w:r>
                    <w:rPr>
                      <w:rFonts w:hint="eastAsia" w:cs="Times New Roman"/>
                      <w:color w:val="auto"/>
                      <w:sz w:val="21"/>
                      <w:szCs w:val="21"/>
                      <w:lang w:val="en-US" w:eastAsia="zh-CN"/>
                    </w:rPr>
                    <w:t>GPS</w:t>
                  </w:r>
                </w:p>
              </w:tc>
              <w:tc>
                <w:tcPr>
                  <w:tcW w:w="1041" w:type="dxa"/>
                  <w:tcBorders>
                    <w:tl2br w:val="nil"/>
                    <w:tr2bl w:val="nil"/>
                  </w:tcBorders>
                  <w:noWrap w:val="0"/>
                  <w:vAlign w:val="center"/>
                </w:tcPr>
                <w:p w14:paraId="4284F348">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454D5E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6310A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2ADAFD39">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7</w:t>
                  </w:r>
                </w:p>
              </w:tc>
              <w:tc>
                <w:tcPr>
                  <w:tcW w:w="5054" w:type="dxa"/>
                  <w:tcBorders>
                    <w:tl2br w:val="nil"/>
                    <w:tr2bl w:val="nil"/>
                  </w:tcBorders>
                  <w:noWrap w:val="0"/>
                  <w:vAlign w:val="center"/>
                </w:tcPr>
                <w:p w14:paraId="4FC8AD69">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sz w:val="21"/>
                      <w:szCs w:val="21"/>
                      <w:lang w:bidi="ar"/>
                    </w:rPr>
                    <w:t>DDF20-1型20</w:t>
                  </w:r>
                  <w:r>
                    <w:rPr>
                      <w:rFonts w:hint="eastAsia" w:cs="Times New Roman"/>
                      <w:sz w:val="21"/>
                      <w:szCs w:val="21"/>
                      <w:lang w:eastAsia="zh-CN" w:bidi="ar"/>
                    </w:rPr>
                    <w:t>kW</w:t>
                  </w:r>
                  <w:r>
                    <w:rPr>
                      <w:rFonts w:hint="default" w:ascii="Times New Roman" w:hAnsi="Times New Roman" w:cs="Times New Roman"/>
                      <w:sz w:val="21"/>
                      <w:szCs w:val="21"/>
                      <w:lang w:bidi="ar"/>
                    </w:rPr>
                    <w:t>大功率激电系统</w:t>
                  </w:r>
                </w:p>
              </w:tc>
              <w:tc>
                <w:tcPr>
                  <w:tcW w:w="1041" w:type="dxa"/>
                  <w:tcBorders>
                    <w:tl2br w:val="nil"/>
                    <w:tr2bl w:val="nil"/>
                  </w:tcBorders>
                  <w:noWrap w:val="0"/>
                  <w:vAlign w:val="center"/>
                </w:tcPr>
                <w:p w14:paraId="7DAD47CE">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3823C2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48C6F6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4CF76CFC">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8</w:t>
                  </w:r>
                </w:p>
              </w:tc>
              <w:tc>
                <w:tcPr>
                  <w:tcW w:w="5054" w:type="dxa"/>
                  <w:tcBorders>
                    <w:tl2br w:val="nil"/>
                    <w:tr2bl w:val="nil"/>
                  </w:tcBorders>
                  <w:noWrap w:val="0"/>
                  <w:vAlign w:val="center"/>
                </w:tcPr>
                <w:p w14:paraId="0894CEE6">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科力达天行1型多频RTK接收机</w:t>
                  </w:r>
                </w:p>
              </w:tc>
              <w:tc>
                <w:tcPr>
                  <w:tcW w:w="1041" w:type="dxa"/>
                  <w:tcBorders>
                    <w:tl2br w:val="nil"/>
                    <w:tr2bl w:val="nil"/>
                  </w:tcBorders>
                  <w:noWrap w:val="0"/>
                  <w:vAlign w:val="center"/>
                </w:tcPr>
                <w:p w14:paraId="24662DBF">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1498AE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sz w:val="21"/>
                      <w:szCs w:val="21"/>
                      <w:lang w:bidi="ar"/>
                    </w:rPr>
                    <w:t>1</w:t>
                  </w:r>
                </w:p>
              </w:tc>
            </w:tr>
            <w:tr w14:paraId="478B2A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1D07F7DD">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9</w:t>
                  </w:r>
                </w:p>
              </w:tc>
              <w:tc>
                <w:tcPr>
                  <w:tcW w:w="5054" w:type="dxa"/>
                  <w:tcBorders>
                    <w:tl2br w:val="nil"/>
                    <w:tr2bl w:val="nil"/>
                  </w:tcBorders>
                  <w:noWrap w:val="0"/>
                  <w:vAlign w:val="center"/>
                </w:tcPr>
                <w:p w14:paraId="10693FF4">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PMG-2质子磁力仪</w:t>
                  </w:r>
                </w:p>
              </w:tc>
              <w:tc>
                <w:tcPr>
                  <w:tcW w:w="1041" w:type="dxa"/>
                  <w:tcBorders>
                    <w:tl2br w:val="nil"/>
                    <w:tr2bl w:val="nil"/>
                  </w:tcBorders>
                  <w:noWrap w:val="0"/>
                  <w:vAlign w:val="center"/>
                </w:tcPr>
                <w:p w14:paraId="5F1BE05B">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4C17F1E9">
                  <w:pPr>
                    <w:keepNext w:val="0"/>
                    <w:keepLines w:val="0"/>
                    <w:widowControl/>
                    <w:suppressLineNumbers w:val="0"/>
                    <w:spacing w:before="0" w:beforeAutospacing="0" w:after="0" w:afterAutospacing="0" w:line="200" w:lineRule="atLeast"/>
                    <w:ind w:left="0" w:right="0" w:firstLine="0" w:firstLineChars="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cs="Times New Roman"/>
                      <w:sz w:val="21"/>
                      <w:szCs w:val="21"/>
                      <w:lang w:val="en-US" w:eastAsia="zh-CN" w:bidi="ar"/>
                    </w:rPr>
                    <w:t>2</w:t>
                  </w:r>
                </w:p>
              </w:tc>
            </w:tr>
            <w:tr w14:paraId="72E24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3752EBC7">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10</w:t>
                  </w:r>
                </w:p>
              </w:tc>
              <w:tc>
                <w:tcPr>
                  <w:tcW w:w="5054" w:type="dxa"/>
                  <w:tcBorders>
                    <w:tl2br w:val="nil"/>
                    <w:tr2bl w:val="nil"/>
                  </w:tcBorders>
                  <w:noWrap w:val="0"/>
                  <w:vAlign w:val="center"/>
                </w:tcPr>
                <w:p w14:paraId="66040580">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sz w:val="21"/>
                      <w:szCs w:val="21"/>
                      <w:lang w:bidi="ar"/>
                    </w:rPr>
                    <w:t>发电机</w:t>
                  </w:r>
                </w:p>
              </w:tc>
              <w:tc>
                <w:tcPr>
                  <w:tcW w:w="1041" w:type="dxa"/>
                  <w:tcBorders>
                    <w:tl2br w:val="nil"/>
                    <w:tr2bl w:val="nil"/>
                  </w:tcBorders>
                  <w:noWrap w:val="0"/>
                  <w:vAlign w:val="center"/>
                </w:tcPr>
                <w:p w14:paraId="30208FFC">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7905C122">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sz w:val="21"/>
                      <w:szCs w:val="21"/>
                      <w:lang w:bidi="ar"/>
                    </w:rPr>
                    <w:t>2</w:t>
                  </w:r>
                </w:p>
              </w:tc>
            </w:tr>
            <w:tr w14:paraId="3B4B7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41446090">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0"/>
                      <w:sz w:val="21"/>
                      <w:szCs w:val="21"/>
                      <w:lang w:val="en-US" w:eastAsia="zh-CN" w:bidi="ar"/>
                    </w:rPr>
                    <w:t>11</w:t>
                  </w:r>
                </w:p>
              </w:tc>
              <w:tc>
                <w:tcPr>
                  <w:tcW w:w="5054" w:type="dxa"/>
                  <w:tcBorders>
                    <w:tl2br w:val="nil"/>
                    <w:tr2bl w:val="nil"/>
                  </w:tcBorders>
                  <w:noWrap w:val="0"/>
                  <w:vAlign w:val="center"/>
                </w:tcPr>
                <w:p w14:paraId="050E6A34">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sz w:val="21"/>
                      <w:szCs w:val="21"/>
                      <w:lang w:bidi="ar"/>
                    </w:rPr>
                    <w:t>租用车辆</w:t>
                  </w:r>
                </w:p>
              </w:tc>
              <w:tc>
                <w:tcPr>
                  <w:tcW w:w="1041" w:type="dxa"/>
                  <w:tcBorders>
                    <w:tl2br w:val="nil"/>
                    <w:tr2bl w:val="nil"/>
                  </w:tcBorders>
                  <w:noWrap w:val="0"/>
                  <w:vAlign w:val="center"/>
                </w:tcPr>
                <w:p w14:paraId="37561293">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sz w:val="21"/>
                      <w:szCs w:val="21"/>
                      <w:lang w:bidi="ar"/>
                    </w:rPr>
                    <w:t>辆</w:t>
                  </w:r>
                </w:p>
              </w:tc>
              <w:tc>
                <w:tcPr>
                  <w:tcW w:w="1042" w:type="dxa"/>
                  <w:tcBorders>
                    <w:tl2br w:val="nil"/>
                    <w:tr2bl w:val="nil"/>
                  </w:tcBorders>
                  <w:noWrap w:val="0"/>
                  <w:vAlign w:val="center"/>
                </w:tcPr>
                <w:p w14:paraId="73AD2387">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sz w:val="21"/>
                      <w:szCs w:val="21"/>
                      <w:lang w:bidi="ar"/>
                    </w:rPr>
                    <w:t>3</w:t>
                  </w:r>
                </w:p>
              </w:tc>
            </w:tr>
            <w:tr w14:paraId="7E7C87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0" w:type="dxa"/>
                  <w:tcBorders>
                    <w:tl2br w:val="nil"/>
                    <w:tr2bl w:val="nil"/>
                  </w:tcBorders>
                  <w:noWrap w:val="0"/>
                  <w:vAlign w:val="center"/>
                </w:tcPr>
                <w:p w14:paraId="2B882300">
                  <w:pPr>
                    <w:keepNext w:val="0"/>
                    <w:keepLines w:val="0"/>
                    <w:widowControl/>
                    <w:suppressLineNumbers w:val="0"/>
                    <w:adjustRightInd w:val="0"/>
                    <w:snapToGrid w:val="0"/>
                    <w:spacing w:before="0" w:beforeAutospacing="0" w:after="0" w:afterAutospacing="0"/>
                    <w:ind w:left="0" w:leftChars="0" w:right="0" w:firstLine="0" w:firstLineChars="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0"/>
                      <w:sz w:val="21"/>
                      <w:szCs w:val="21"/>
                      <w:lang w:val="en-US" w:eastAsia="zh-CN" w:bidi="ar"/>
                    </w:rPr>
                    <w:t>12</w:t>
                  </w:r>
                </w:p>
              </w:tc>
              <w:tc>
                <w:tcPr>
                  <w:tcW w:w="5054" w:type="dxa"/>
                  <w:tcBorders>
                    <w:tl2br w:val="nil"/>
                    <w:tr2bl w:val="nil"/>
                  </w:tcBorders>
                  <w:noWrap w:val="0"/>
                  <w:vAlign w:val="center"/>
                </w:tcPr>
                <w:p w14:paraId="50C7D383">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sz w:val="21"/>
                      <w:szCs w:val="21"/>
                      <w:lang w:bidi="ar"/>
                    </w:rPr>
                    <w:t>租用挖掘机</w:t>
                  </w:r>
                </w:p>
              </w:tc>
              <w:tc>
                <w:tcPr>
                  <w:tcW w:w="1041" w:type="dxa"/>
                  <w:tcBorders>
                    <w:tl2br w:val="nil"/>
                    <w:tr2bl w:val="nil"/>
                  </w:tcBorders>
                  <w:noWrap w:val="0"/>
                  <w:vAlign w:val="center"/>
                </w:tcPr>
                <w:p w14:paraId="60495997">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sz w:val="21"/>
                      <w:szCs w:val="21"/>
                      <w:lang w:bidi="ar"/>
                    </w:rPr>
                    <w:t>台</w:t>
                  </w:r>
                </w:p>
              </w:tc>
              <w:tc>
                <w:tcPr>
                  <w:tcW w:w="1042" w:type="dxa"/>
                  <w:tcBorders>
                    <w:tl2br w:val="nil"/>
                    <w:tr2bl w:val="nil"/>
                  </w:tcBorders>
                  <w:noWrap w:val="0"/>
                  <w:vAlign w:val="center"/>
                </w:tcPr>
                <w:p w14:paraId="50DA5BE9">
                  <w:pPr>
                    <w:keepNext w:val="0"/>
                    <w:keepLines w:val="0"/>
                    <w:widowControl/>
                    <w:suppressLineNumbers w:val="0"/>
                    <w:spacing w:before="0" w:beforeAutospacing="0" w:after="0" w:afterAutospacing="0" w:line="200" w:lineRule="atLeast"/>
                    <w:ind w:left="0" w:right="0"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sz w:val="21"/>
                      <w:szCs w:val="21"/>
                      <w:lang w:bidi="ar"/>
                    </w:rPr>
                    <w:t>1</w:t>
                  </w:r>
                </w:p>
              </w:tc>
            </w:tr>
          </w:tbl>
          <w:p w14:paraId="45E0978F">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ascii="Times New Roman" w:hAnsi="Times New Roman" w:cs="Times New Roman"/>
                <w:color w:val="auto"/>
                <w:szCs w:val="21"/>
              </w:rPr>
            </w:pPr>
            <w:r>
              <w:rPr>
                <w:rFonts w:hint="eastAsia" w:cs="Times New Roman"/>
                <w:color w:val="auto"/>
                <w:lang w:val="en-US" w:eastAsia="zh-CN" w:bidi="ar"/>
              </w:rPr>
              <w:t>2.6</w:t>
            </w:r>
            <w:r>
              <w:rPr>
                <w:rFonts w:hint="default" w:ascii="Times New Roman" w:hAnsi="Times New Roman" w:cs="Times New Roman"/>
                <w:color w:val="auto"/>
                <w:lang w:bidi="ar"/>
              </w:rPr>
              <w:t>公用工程</w:t>
            </w:r>
          </w:p>
          <w:p w14:paraId="042EA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1</w:t>
            </w:r>
            <w:r>
              <w:rPr>
                <w:rFonts w:hint="default" w:ascii="Times New Roman" w:hAnsi="Times New Roman" w:cs="Times New Roman"/>
                <w:color w:val="auto"/>
                <w:lang w:eastAsia="zh-CN"/>
              </w:rPr>
              <w:t>）</w:t>
            </w:r>
            <w:r>
              <w:rPr>
                <w:rFonts w:hint="default" w:ascii="Times New Roman" w:hAnsi="Times New Roman" w:cs="Times New Roman"/>
                <w:color w:val="auto"/>
              </w:rPr>
              <w:t>给水工程</w:t>
            </w:r>
          </w:p>
          <w:p w14:paraId="00B7DF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项目生产用水、生活用水均不从勘查区现场直接开采地下水、地表水，不设置水井、集水等取水工程设施，全部采用罐车从</w:t>
            </w:r>
            <w:r>
              <w:rPr>
                <w:rFonts w:hint="default" w:ascii="Times New Roman" w:hAnsi="Times New Roman" w:cs="Times New Roman"/>
                <w:lang w:val="en-US" w:eastAsia="zh-CN"/>
              </w:rPr>
              <w:t>和静县</w:t>
            </w:r>
            <w:r>
              <w:rPr>
                <w:rFonts w:hint="eastAsia" w:ascii="Times New Roman" w:hAnsi="Times New Roman" w:cs="Times New Roman"/>
                <w:lang w:val="en-US" w:eastAsia="zh-CN"/>
              </w:rPr>
              <w:t>克尔古提乡</w:t>
            </w:r>
            <w:r>
              <w:rPr>
                <w:rFonts w:hint="default" w:ascii="Times New Roman" w:hAnsi="Times New Roman" w:cs="Times New Roman"/>
                <w:color w:val="auto"/>
              </w:rPr>
              <w:t>合规供水点外购拉运至矿区，生产用水使用10m</w:t>
            </w:r>
            <w:r>
              <w:rPr>
                <w:rFonts w:hint="eastAsia" w:ascii="Times New Roman" w:hAnsi="Times New Roman" w:cs="Times New Roman"/>
                <w:color w:val="auto"/>
                <w:vertAlign w:val="superscript"/>
                <w:lang w:val="en-US" w:eastAsia="zh-CN"/>
              </w:rPr>
              <w:t>3</w:t>
            </w:r>
            <w:r>
              <w:rPr>
                <w:rFonts w:hint="default" w:ascii="Times New Roman" w:hAnsi="Times New Roman" w:cs="Times New Roman"/>
                <w:color w:val="auto"/>
              </w:rPr>
              <w:t>密闭水罐车储存，生活用水采用桶装纯净水供应。</w:t>
            </w:r>
          </w:p>
          <w:p w14:paraId="20CD65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用水来源为</w:t>
            </w:r>
            <w:r>
              <w:rPr>
                <w:rFonts w:hint="default" w:ascii="Times New Roman" w:hAnsi="Times New Roman" w:cs="Times New Roman"/>
                <w:lang w:val="en-US" w:eastAsia="zh-CN"/>
              </w:rPr>
              <w:t>和静县</w:t>
            </w:r>
            <w:r>
              <w:rPr>
                <w:rFonts w:hint="eastAsia" w:ascii="Times New Roman" w:hAnsi="Times New Roman" w:cs="Times New Roman"/>
                <w:lang w:val="en-US" w:eastAsia="zh-CN"/>
              </w:rPr>
              <w:t>克尔古提乡</w:t>
            </w:r>
            <w:r>
              <w:rPr>
                <w:rFonts w:hint="default" w:ascii="Times New Roman" w:hAnsi="Times New Roman" w:cs="Times New Roman"/>
                <w:color w:val="auto"/>
              </w:rPr>
              <w:t>合法供水，供水方已落实取水许可、水资源税缴纳等法定手续，本项目仅外购成品水，建设单位与供水单位建立供水供应关系，运输采用密闭罐车，杜绝沿途跑冒滴漏。</w:t>
            </w:r>
          </w:p>
          <w:p w14:paraId="0B00C3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宋体" w:hAnsi="宋体" w:eastAsia="宋体" w:cs="宋体"/>
                <w:sz w:val="24"/>
                <w:szCs w:val="24"/>
              </w:rPr>
              <w:t>项目生活污水处理后用于草地灌溉，野外不设置排污口；落实节水、水罐密闭防泄漏措施，勘查结束全部供水设施撤离场地。</w:t>
            </w:r>
          </w:p>
          <w:p w14:paraId="12239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2</w:t>
            </w:r>
            <w:r>
              <w:rPr>
                <w:rFonts w:hint="default" w:ascii="Times New Roman" w:hAnsi="Times New Roman" w:cs="Times New Roman"/>
                <w:color w:val="auto"/>
                <w:lang w:eastAsia="zh-CN"/>
              </w:rPr>
              <w:t>）</w:t>
            </w:r>
            <w:r>
              <w:rPr>
                <w:rFonts w:hint="default" w:ascii="Times New Roman" w:hAnsi="Times New Roman" w:cs="Times New Roman"/>
                <w:color w:val="auto"/>
              </w:rPr>
              <w:t>排水工程</w:t>
            </w:r>
          </w:p>
          <w:p w14:paraId="308C73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本项目工人在矿区搭设临时帐篷。</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r>
              <w:rPr>
                <w:rFonts w:hint="default" w:ascii="Times New Roman" w:hAnsi="Times New Roman" w:cs="Times New Roman"/>
                <w:color w:val="auto"/>
              </w:rPr>
              <w:t>。</w:t>
            </w:r>
          </w:p>
          <w:p w14:paraId="62F3B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3</w:t>
            </w:r>
            <w:r>
              <w:rPr>
                <w:rFonts w:hint="default" w:ascii="Times New Roman" w:hAnsi="Times New Roman" w:cs="Times New Roman"/>
                <w:color w:val="auto"/>
                <w:lang w:eastAsia="zh-CN"/>
              </w:rPr>
              <w:t>）</w:t>
            </w:r>
            <w:r>
              <w:rPr>
                <w:rFonts w:hint="default" w:ascii="Times New Roman" w:hAnsi="Times New Roman" w:cs="Times New Roman"/>
                <w:color w:val="auto"/>
              </w:rPr>
              <w:t>供电工程</w:t>
            </w:r>
          </w:p>
          <w:p w14:paraId="76D68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设置柴油发电机，提供用电。</w:t>
            </w:r>
          </w:p>
          <w:p w14:paraId="0963D3D4">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ascii="Times New Roman" w:hAnsi="Times New Roman" w:eastAsia="宋体" w:cs="Times New Roman"/>
                <w:b/>
                <w:bCs/>
                <w:color w:val="auto"/>
                <w:lang w:val="en-US" w:eastAsia="zh-CN" w:bidi="ar"/>
              </w:rPr>
            </w:pPr>
            <w:r>
              <w:rPr>
                <w:rFonts w:hint="eastAsia" w:eastAsia="宋体" w:cs="Times New Roman"/>
                <w:b/>
                <w:bCs/>
                <w:color w:val="auto"/>
                <w:lang w:val="en-US" w:eastAsia="zh-CN" w:bidi="ar"/>
              </w:rPr>
              <w:t>2.7</w:t>
            </w:r>
            <w:r>
              <w:rPr>
                <w:rFonts w:hint="default" w:ascii="Times New Roman" w:hAnsi="Times New Roman" w:eastAsia="宋体" w:cs="Times New Roman"/>
                <w:b/>
                <w:bCs/>
                <w:color w:val="auto"/>
                <w:lang w:val="en-US" w:eastAsia="zh-CN" w:bidi="ar"/>
              </w:rPr>
              <w:t>原辅料及能源消耗</w:t>
            </w:r>
          </w:p>
          <w:p w14:paraId="16A3CA1D">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ascii="Times New Roman" w:hAnsi="Times New Roman" w:cs="Times New Roman"/>
                <w:color w:val="auto"/>
              </w:rPr>
            </w:pPr>
            <w:r>
              <w:rPr>
                <w:rFonts w:hint="default" w:ascii="Times New Roman" w:hAnsi="Times New Roman" w:cs="Times New Roman"/>
                <w:color w:val="auto"/>
              </w:rPr>
              <w:t>表</w:t>
            </w:r>
            <w:r>
              <w:rPr>
                <w:rFonts w:hint="eastAsia" w:cs="Times New Roman"/>
                <w:color w:val="auto"/>
                <w:lang w:val="en-US" w:eastAsia="zh-CN"/>
              </w:rPr>
              <w:t>2-5</w:t>
            </w:r>
            <w:r>
              <w:rPr>
                <w:rFonts w:hint="default" w:ascii="Times New Roman" w:hAnsi="Times New Roman" w:cs="Times New Roman"/>
                <w:color w:val="auto"/>
              </w:rPr>
              <w:t xml:space="preserve">   </w:t>
            </w:r>
            <w:r>
              <w:rPr>
                <w:rFonts w:hint="default" w:ascii="Times New Roman" w:hAnsi="Times New Roman" w:cs="Times New Roman"/>
                <w:color w:val="auto"/>
                <w:lang w:val="en-US" w:eastAsia="zh-CN"/>
              </w:rPr>
              <w:t>原辅材料及能源消耗量一</w:t>
            </w:r>
            <w:r>
              <w:rPr>
                <w:rFonts w:hint="default" w:ascii="Times New Roman" w:hAnsi="Times New Roman" w:cs="Times New Roman"/>
                <w:color w:val="auto"/>
              </w:rPr>
              <w:t>览表</w:t>
            </w:r>
          </w:p>
          <w:tbl>
            <w:tblPr>
              <w:tblStyle w:val="28"/>
              <w:tblW w:w="83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7"/>
              <w:gridCol w:w="787"/>
              <w:gridCol w:w="1293"/>
              <w:gridCol w:w="870"/>
              <w:gridCol w:w="725"/>
              <w:gridCol w:w="1800"/>
              <w:gridCol w:w="2176"/>
            </w:tblGrid>
            <w:tr w14:paraId="104F9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57" w:type="dxa"/>
                  <w:tcBorders>
                    <w:tl2br w:val="nil"/>
                    <w:tr2bl w:val="nil"/>
                  </w:tcBorders>
                  <w:noWrap w:val="0"/>
                  <w:vAlign w:val="center"/>
                </w:tcPr>
                <w:p w14:paraId="71CA4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序号</w:t>
                  </w:r>
                </w:p>
              </w:tc>
              <w:tc>
                <w:tcPr>
                  <w:tcW w:w="787" w:type="dxa"/>
                  <w:tcBorders>
                    <w:tl2br w:val="nil"/>
                    <w:tr2bl w:val="nil"/>
                  </w:tcBorders>
                  <w:noWrap w:val="0"/>
                  <w:vAlign w:val="center"/>
                </w:tcPr>
                <w:p w14:paraId="2962D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类别</w:t>
                  </w:r>
                </w:p>
              </w:tc>
              <w:tc>
                <w:tcPr>
                  <w:tcW w:w="1293" w:type="dxa"/>
                  <w:tcBorders>
                    <w:tl2br w:val="nil"/>
                    <w:tr2bl w:val="nil"/>
                  </w:tcBorders>
                  <w:noWrap w:val="0"/>
                  <w:vAlign w:val="center"/>
                </w:tcPr>
                <w:p w14:paraId="58C02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名称</w:t>
                  </w:r>
                </w:p>
              </w:tc>
              <w:tc>
                <w:tcPr>
                  <w:tcW w:w="870" w:type="dxa"/>
                  <w:tcBorders>
                    <w:tl2br w:val="nil"/>
                    <w:tr2bl w:val="nil"/>
                  </w:tcBorders>
                  <w:noWrap w:val="0"/>
                  <w:vAlign w:val="center"/>
                </w:tcPr>
                <w:p w14:paraId="19508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消耗量</w:t>
                  </w:r>
                </w:p>
              </w:tc>
              <w:tc>
                <w:tcPr>
                  <w:tcW w:w="725" w:type="dxa"/>
                  <w:tcBorders>
                    <w:tl2br w:val="nil"/>
                    <w:tr2bl w:val="nil"/>
                  </w:tcBorders>
                  <w:noWrap w:val="0"/>
                  <w:vAlign w:val="center"/>
                </w:tcPr>
                <w:p w14:paraId="11021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单位</w:t>
                  </w:r>
                </w:p>
              </w:tc>
              <w:tc>
                <w:tcPr>
                  <w:tcW w:w="1800" w:type="dxa"/>
                  <w:tcBorders>
                    <w:tl2br w:val="nil"/>
                    <w:tr2bl w:val="nil"/>
                  </w:tcBorders>
                  <w:noWrap w:val="0"/>
                  <w:vAlign w:val="center"/>
                </w:tcPr>
                <w:p w14:paraId="469D11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来源</w:t>
                  </w:r>
                </w:p>
              </w:tc>
              <w:tc>
                <w:tcPr>
                  <w:tcW w:w="2176" w:type="dxa"/>
                  <w:tcBorders>
                    <w:tl2br w:val="nil"/>
                    <w:tr2bl w:val="nil"/>
                  </w:tcBorders>
                  <w:noWrap w:val="0"/>
                  <w:vAlign w:val="center"/>
                </w:tcPr>
                <w:p w14:paraId="60957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b w:val="0"/>
                      <w:bCs/>
                      <w:color w:val="auto"/>
                      <w:sz w:val="21"/>
                      <w:szCs w:val="21"/>
                      <w:lang w:val="en-US" w:eastAsia="zh-CN"/>
                    </w:rPr>
                    <w:t>备注</w:t>
                  </w:r>
                </w:p>
              </w:tc>
            </w:tr>
            <w:tr w14:paraId="112B8E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57" w:type="dxa"/>
                  <w:tcBorders>
                    <w:tl2br w:val="nil"/>
                    <w:tr2bl w:val="nil"/>
                  </w:tcBorders>
                  <w:noWrap w:val="0"/>
                  <w:vAlign w:val="center"/>
                </w:tcPr>
                <w:p w14:paraId="475EEF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787" w:type="dxa"/>
                  <w:tcBorders>
                    <w:tl2br w:val="nil"/>
                    <w:tr2bl w:val="nil"/>
                  </w:tcBorders>
                  <w:noWrap w:val="0"/>
                  <w:vAlign w:val="center"/>
                </w:tcPr>
                <w:p w14:paraId="481BB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能源</w:t>
                  </w:r>
                </w:p>
              </w:tc>
              <w:tc>
                <w:tcPr>
                  <w:tcW w:w="1293" w:type="dxa"/>
                  <w:tcBorders>
                    <w:tl2br w:val="nil"/>
                    <w:tr2bl w:val="nil"/>
                  </w:tcBorders>
                  <w:noWrap w:val="0"/>
                  <w:vAlign w:val="center"/>
                </w:tcPr>
                <w:p w14:paraId="13240E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柴油</w:t>
                  </w:r>
                </w:p>
              </w:tc>
              <w:tc>
                <w:tcPr>
                  <w:tcW w:w="870" w:type="dxa"/>
                  <w:tcBorders>
                    <w:tl2br w:val="nil"/>
                    <w:tr2bl w:val="nil"/>
                  </w:tcBorders>
                  <w:noWrap w:val="0"/>
                  <w:vAlign w:val="center"/>
                </w:tcPr>
                <w:p w14:paraId="4FC76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0.25</w:t>
                  </w:r>
                </w:p>
              </w:tc>
              <w:tc>
                <w:tcPr>
                  <w:tcW w:w="725" w:type="dxa"/>
                  <w:tcBorders>
                    <w:tl2br w:val="nil"/>
                    <w:tr2bl w:val="nil"/>
                  </w:tcBorders>
                  <w:noWrap w:val="0"/>
                  <w:vAlign w:val="center"/>
                </w:tcPr>
                <w:p w14:paraId="7A748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t</w:t>
                  </w:r>
                  <w:r>
                    <w:rPr>
                      <w:rFonts w:hint="default" w:ascii="Times New Roman" w:hAnsi="Times New Roman" w:cs="Times New Roman"/>
                      <w:color w:val="auto"/>
                      <w:sz w:val="21"/>
                      <w:szCs w:val="21"/>
                      <w:lang w:val="en-US" w:eastAsia="zh-CN"/>
                    </w:rPr>
                    <w:t>/a</w:t>
                  </w:r>
                </w:p>
              </w:tc>
              <w:tc>
                <w:tcPr>
                  <w:tcW w:w="1800" w:type="dxa"/>
                  <w:tcBorders>
                    <w:tl2br w:val="nil"/>
                    <w:tr2bl w:val="nil"/>
                  </w:tcBorders>
                  <w:noWrap w:val="0"/>
                  <w:vAlign w:val="center"/>
                </w:tcPr>
                <w:p w14:paraId="706F05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外购</w:t>
                  </w:r>
                </w:p>
              </w:tc>
              <w:tc>
                <w:tcPr>
                  <w:tcW w:w="2176" w:type="dxa"/>
                  <w:tcBorders>
                    <w:tl2br w:val="nil"/>
                    <w:tr2bl w:val="nil"/>
                  </w:tcBorders>
                  <w:noWrap w:val="0"/>
                  <w:vAlign w:val="center"/>
                </w:tcPr>
                <w:p w14:paraId="1D10E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06B94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57" w:type="dxa"/>
                  <w:tcBorders>
                    <w:tl2br w:val="nil"/>
                    <w:tr2bl w:val="nil"/>
                  </w:tcBorders>
                  <w:noWrap w:val="0"/>
                  <w:vAlign w:val="center"/>
                </w:tcPr>
                <w:p w14:paraId="72005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787" w:type="dxa"/>
                  <w:tcBorders>
                    <w:tl2br w:val="nil"/>
                    <w:tr2bl w:val="nil"/>
                  </w:tcBorders>
                  <w:noWrap w:val="0"/>
                  <w:vAlign w:val="center"/>
                </w:tcPr>
                <w:p w14:paraId="31ECDF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能源</w:t>
                  </w:r>
                </w:p>
              </w:tc>
              <w:tc>
                <w:tcPr>
                  <w:tcW w:w="1293" w:type="dxa"/>
                  <w:tcBorders>
                    <w:tl2br w:val="nil"/>
                    <w:tr2bl w:val="nil"/>
                  </w:tcBorders>
                  <w:noWrap w:val="0"/>
                  <w:vAlign w:val="center"/>
                </w:tcPr>
                <w:p w14:paraId="2E18B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水</w:t>
                  </w:r>
                </w:p>
              </w:tc>
              <w:tc>
                <w:tcPr>
                  <w:tcW w:w="870" w:type="dxa"/>
                  <w:tcBorders>
                    <w:tl2br w:val="nil"/>
                    <w:tr2bl w:val="nil"/>
                  </w:tcBorders>
                  <w:noWrap w:val="0"/>
                  <w:vAlign w:val="center"/>
                </w:tcPr>
                <w:p w14:paraId="5D9A1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405</w:t>
                  </w:r>
                </w:p>
              </w:tc>
              <w:tc>
                <w:tcPr>
                  <w:tcW w:w="725" w:type="dxa"/>
                  <w:tcBorders>
                    <w:tl2br w:val="nil"/>
                    <w:tr2bl w:val="nil"/>
                  </w:tcBorders>
                  <w:noWrap w:val="0"/>
                  <w:vAlign w:val="center"/>
                </w:tcPr>
                <w:p w14:paraId="61964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t</w:t>
                  </w:r>
                  <w:r>
                    <w:rPr>
                      <w:rFonts w:hint="default" w:ascii="Times New Roman" w:hAnsi="Times New Roman" w:cs="Times New Roman"/>
                      <w:color w:val="auto"/>
                      <w:sz w:val="21"/>
                      <w:szCs w:val="21"/>
                      <w:lang w:val="en-US" w:eastAsia="zh-CN"/>
                    </w:rPr>
                    <w:t>/a</w:t>
                  </w:r>
                </w:p>
              </w:tc>
              <w:tc>
                <w:tcPr>
                  <w:tcW w:w="1800" w:type="dxa"/>
                  <w:tcBorders>
                    <w:tl2br w:val="nil"/>
                    <w:tr2bl w:val="nil"/>
                  </w:tcBorders>
                  <w:noWrap w:val="0"/>
                  <w:vAlign w:val="center"/>
                </w:tcPr>
                <w:p w14:paraId="36A8D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外购</w:t>
                  </w:r>
                </w:p>
              </w:tc>
              <w:tc>
                <w:tcPr>
                  <w:tcW w:w="2176" w:type="dxa"/>
                  <w:tcBorders>
                    <w:tl2br w:val="nil"/>
                    <w:tr2bl w:val="nil"/>
                  </w:tcBorders>
                  <w:noWrap w:val="0"/>
                  <w:vAlign w:val="center"/>
                </w:tcPr>
                <w:p w14:paraId="67273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7BF46C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57" w:type="dxa"/>
                  <w:tcBorders>
                    <w:tl2br w:val="nil"/>
                    <w:tr2bl w:val="nil"/>
                  </w:tcBorders>
                  <w:noWrap w:val="0"/>
                  <w:vAlign w:val="center"/>
                </w:tcPr>
                <w:p w14:paraId="5CC9A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787" w:type="dxa"/>
                  <w:tcBorders>
                    <w:tl2br w:val="nil"/>
                    <w:tr2bl w:val="nil"/>
                  </w:tcBorders>
                  <w:noWrap w:val="0"/>
                  <w:vAlign w:val="center"/>
                </w:tcPr>
                <w:p w14:paraId="710F5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能源</w:t>
                  </w:r>
                </w:p>
              </w:tc>
              <w:tc>
                <w:tcPr>
                  <w:tcW w:w="1293" w:type="dxa"/>
                  <w:tcBorders>
                    <w:tl2br w:val="nil"/>
                    <w:tr2bl w:val="nil"/>
                  </w:tcBorders>
                  <w:noWrap w:val="0"/>
                  <w:vAlign w:val="center"/>
                </w:tcPr>
                <w:p w14:paraId="21227A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碎石</w:t>
                  </w:r>
                </w:p>
              </w:tc>
              <w:tc>
                <w:tcPr>
                  <w:tcW w:w="870" w:type="dxa"/>
                  <w:tcBorders>
                    <w:tl2br w:val="nil"/>
                    <w:tr2bl w:val="nil"/>
                  </w:tcBorders>
                  <w:noWrap w:val="0"/>
                  <w:vAlign w:val="center"/>
                </w:tcPr>
                <w:p w14:paraId="6489C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800</w:t>
                  </w:r>
                </w:p>
              </w:tc>
              <w:tc>
                <w:tcPr>
                  <w:tcW w:w="725" w:type="dxa"/>
                  <w:tcBorders>
                    <w:tl2br w:val="nil"/>
                    <w:tr2bl w:val="nil"/>
                  </w:tcBorders>
                  <w:noWrap w:val="0"/>
                  <w:vAlign w:val="center"/>
                </w:tcPr>
                <w:p w14:paraId="0E87BE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/a</w:t>
                  </w:r>
                </w:p>
              </w:tc>
              <w:tc>
                <w:tcPr>
                  <w:tcW w:w="1800" w:type="dxa"/>
                  <w:tcBorders>
                    <w:tl2br w:val="nil"/>
                    <w:tr2bl w:val="nil"/>
                  </w:tcBorders>
                  <w:noWrap w:val="0"/>
                  <w:vAlign w:val="center"/>
                </w:tcPr>
                <w:p w14:paraId="1F8763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项目产生</w:t>
                  </w:r>
                </w:p>
              </w:tc>
              <w:tc>
                <w:tcPr>
                  <w:tcW w:w="2176" w:type="dxa"/>
                  <w:tcBorders>
                    <w:tl2br w:val="nil"/>
                    <w:tr2bl w:val="nil"/>
                  </w:tcBorders>
                  <w:noWrap w:val="0"/>
                  <w:vAlign w:val="center"/>
                </w:tcPr>
                <w:p w14:paraId="3122F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勘查结束后立即回填</w:t>
                  </w:r>
                </w:p>
              </w:tc>
            </w:tr>
          </w:tbl>
          <w:p w14:paraId="3A473285">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ascii="Times New Roman" w:hAnsi="Times New Roman" w:cs="Times New Roman"/>
                <w:color w:val="auto"/>
              </w:rPr>
            </w:pPr>
            <w:r>
              <w:rPr>
                <w:rFonts w:hint="eastAsia" w:cs="Times New Roman"/>
                <w:color w:val="auto"/>
                <w:lang w:val="en-US" w:eastAsia="zh-CN"/>
              </w:rPr>
              <w:t>2.8</w:t>
            </w:r>
            <w:r>
              <w:rPr>
                <w:rFonts w:hint="default" w:ascii="Times New Roman" w:hAnsi="Times New Roman" w:cs="Times New Roman"/>
                <w:color w:val="auto"/>
              </w:rPr>
              <w:t>土石方平衡分析</w:t>
            </w:r>
          </w:p>
          <w:p w14:paraId="3BD0A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lang w:eastAsia="zh-CN"/>
              </w:rPr>
            </w:pPr>
            <w:r>
              <w:rPr>
                <w:rFonts w:hint="default" w:ascii="Times New Roman" w:hAnsi="Times New Roman" w:cs="Times New Roman"/>
                <w:color w:val="auto"/>
              </w:rPr>
              <w:t>本项目主要产生土石方的工程为</w:t>
            </w:r>
            <w:r>
              <w:rPr>
                <w:rFonts w:hint="default" w:ascii="Times New Roman" w:hAnsi="Times New Roman" w:cs="Times New Roman"/>
                <w:color w:val="auto"/>
                <w:lang w:val="en-US" w:eastAsia="zh-CN"/>
              </w:rPr>
              <w:t>槽探</w:t>
            </w:r>
            <w:r>
              <w:rPr>
                <w:rFonts w:hint="default" w:ascii="Times New Roman" w:hAnsi="Times New Roman" w:cs="Times New Roman"/>
                <w:color w:val="auto"/>
                <w:lang w:eastAsia="zh-CN"/>
              </w:rPr>
              <w:t>。</w:t>
            </w:r>
          </w:p>
          <w:p w14:paraId="31EE4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lang w:eastAsia="zh-CN"/>
              </w:rPr>
            </w:pPr>
            <w:r>
              <w:rPr>
                <w:rFonts w:hint="default" w:ascii="Times New Roman" w:hAnsi="Times New Roman" w:cs="Times New Roman"/>
                <w:color w:val="auto"/>
              </w:rPr>
              <w:t>槽探总工程量为</w:t>
            </w:r>
            <w:r>
              <w:rPr>
                <w:rFonts w:hint="eastAsia" w:cs="Times New Roman"/>
                <w:color w:val="auto"/>
                <w:lang w:val="en-US" w:eastAsia="zh-CN"/>
              </w:rPr>
              <w:t>8</w:t>
            </w:r>
            <w:r>
              <w:rPr>
                <w:rFonts w:hint="eastAsia" w:ascii="Times New Roman" w:hAnsi="Times New Roman" w:cs="Times New Roman"/>
                <w:color w:val="auto"/>
                <w:lang w:val="en-US" w:eastAsia="zh-CN"/>
              </w:rPr>
              <w:t>00</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w:t>
            </w:r>
          </w:p>
          <w:p w14:paraId="26578A1B">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ascii="Times New Roman" w:hAnsi="Times New Roman" w:cs="Times New Roman"/>
                <w:color w:val="auto"/>
              </w:rPr>
            </w:pPr>
            <w:r>
              <w:rPr>
                <w:rFonts w:hint="default" w:ascii="Times New Roman" w:hAnsi="Times New Roman" w:cs="Times New Roman"/>
                <w:color w:val="auto"/>
              </w:rPr>
              <w:t>表</w:t>
            </w:r>
            <w:r>
              <w:rPr>
                <w:rFonts w:hint="eastAsia" w:cs="Times New Roman"/>
                <w:color w:val="auto"/>
                <w:lang w:val="en-US" w:eastAsia="zh-CN"/>
              </w:rPr>
              <w:t>2-6</w:t>
            </w:r>
            <w:r>
              <w:rPr>
                <w:rFonts w:hint="default" w:ascii="Times New Roman" w:hAnsi="Times New Roman" w:cs="Times New Roman"/>
                <w:color w:val="auto"/>
              </w:rPr>
              <w:t xml:space="preserve">   土石方平衡一览表</w:t>
            </w:r>
          </w:p>
          <w:tbl>
            <w:tblPr>
              <w:tblStyle w:val="2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3"/>
              <w:gridCol w:w="977"/>
              <w:gridCol w:w="854"/>
              <w:gridCol w:w="704"/>
              <w:gridCol w:w="710"/>
              <w:gridCol w:w="802"/>
              <w:gridCol w:w="679"/>
              <w:gridCol w:w="661"/>
              <w:gridCol w:w="741"/>
              <w:gridCol w:w="693"/>
              <w:gridCol w:w="720"/>
            </w:tblGrid>
            <w:tr w14:paraId="22976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tblHeader/>
                <w:jc w:val="center"/>
              </w:trPr>
              <w:tc>
                <w:tcPr>
                  <w:tcW w:w="392" w:type="pct"/>
                  <w:vMerge w:val="restart"/>
                  <w:tcBorders>
                    <w:tl2br w:val="nil"/>
                    <w:tr2bl w:val="nil"/>
                  </w:tcBorders>
                  <w:noWrap w:val="0"/>
                  <w:vAlign w:val="center"/>
                </w:tcPr>
                <w:p w14:paraId="5291345F">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项目</w:t>
                  </w:r>
                </w:p>
              </w:tc>
              <w:tc>
                <w:tcPr>
                  <w:tcW w:w="596" w:type="pct"/>
                  <w:vMerge w:val="restart"/>
                  <w:tcBorders>
                    <w:tl2br w:val="nil"/>
                    <w:tr2bl w:val="nil"/>
                  </w:tcBorders>
                  <w:noWrap w:val="0"/>
                  <w:vAlign w:val="center"/>
                </w:tcPr>
                <w:p w14:paraId="397C40B4">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挖方m</w:t>
                  </w:r>
                  <w:r>
                    <w:rPr>
                      <w:rFonts w:hint="default" w:ascii="Times New Roman" w:hAnsi="Times New Roman" w:eastAsia="宋体" w:cs="Times New Roman"/>
                      <w:color w:val="auto"/>
                      <w:kern w:val="2"/>
                      <w:sz w:val="21"/>
                      <w:szCs w:val="22"/>
                      <w:vertAlign w:val="superscript"/>
                      <w:lang w:val="en-US" w:eastAsia="zh-CN" w:bidi="ar-SA"/>
                    </w:rPr>
                    <w:t>3</w:t>
                  </w:r>
                </w:p>
              </w:tc>
              <w:tc>
                <w:tcPr>
                  <w:tcW w:w="521" w:type="pct"/>
                  <w:vMerge w:val="restart"/>
                  <w:tcBorders>
                    <w:tl2br w:val="nil"/>
                    <w:tr2bl w:val="nil"/>
                  </w:tcBorders>
                  <w:noWrap w:val="0"/>
                  <w:vAlign w:val="center"/>
                </w:tcPr>
                <w:p w14:paraId="1C1D6777">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填方m</w:t>
                  </w:r>
                  <w:r>
                    <w:rPr>
                      <w:rFonts w:hint="default" w:ascii="Times New Roman" w:hAnsi="Times New Roman" w:eastAsia="宋体" w:cs="Times New Roman"/>
                      <w:color w:val="auto"/>
                      <w:kern w:val="2"/>
                      <w:sz w:val="21"/>
                      <w:szCs w:val="22"/>
                      <w:vertAlign w:val="superscript"/>
                      <w:lang w:val="en-US" w:eastAsia="zh-CN" w:bidi="ar-SA"/>
                    </w:rPr>
                    <w:t>3</w:t>
                  </w:r>
                </w:p>
              </w:tc>
              <w:tc>
                <w:tcPr>
                  <w:tcW w:w="863" w:type="pct"/>
                  <w:gridSpan w:val="2"/>
                  <w:tcBorders>
                    <w:tl2br w:val="nil"/>
                    <w:tr2bl w:val="nil"/>
                  </w:tcBorders>
                  <w:noWrap w:val="0"/>
                  <w:vAlign w:val="center"/>
                </w:tcPr>
                <w:p w14:paraId="05B7E594">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调入</w:t>
                  </w:r>
                </w:p>
              </w:tc>
              <w:tc>
                <w:tcPr>
                  <w:tcW w:w="904" w:type="pct"/>
                  <w:gridSpan w:val="2"/>
                  <w:tcBorders>
                    <w:tl2br w:val="nil"/>
                    <w:tr2bl w:val="nil"/>
                  </w:tcBorders>
                  <w:noWrap w:val="0"/>
                  <w:vAlign w:val="center"/>
                </w:tcPr>
                <w:p w14:paraId="5A082759">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调出</w:t>
                  </w:r>
                </w:p>
              </w:tc>
              <w:tc>
                <w:tcPr>
                  <w:tcW w:w="856" w:type="pct"/>
                  <w:gridSpan w:val="2"/>
                  <w:tcBorders>
                    <w:tl2br w:val="nil"/>
                    <w:tr2bl w:val="nil"/>
                  </w:tcBorders>
                  <w:noWrap w:val="0"/>
                  <w:vAlign w:val="center"/>
                </w:tcPr>
                <w:p w14:paraId="00A440C1">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借方</w:t>
                  </w:r>
                </w:p>
              </w:tc>
              <w:tc>
                <w:tcPr>
                  <w:tcW w:w="863" w:type="pct"/>
                  <w:gridSpan w:val="2"/>
                  <w:tcBorders>
                    <w:tl2br w:val="nil"/>
                    <w:tr2bl w:val="nil"/>
                  </w:tcBorders>
                  <w:noWrap w:val="0"/>
                  <w:vAlign w:val="center"/>
                </w:tcPr>
                <w:p w14:paraId="21F39CC3">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弃方</w:t>
                  </w:r>
                </w:p>
              </w:tc>
            </w:tr>
            <w:tr w14:paraId="2B3C6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tblHeader/>
                <w:jc w:val="center"/>
              </w:trPr>
              <w:tc>
                <w:tcPr>
                  <w:tcW w:w="392" w:type="pct"/>
                  <w:vMerge w:val="continue"/>
                  <w:tcBorders>
                    <w:tl2br w:val="nil"/>
                    <w:tr2bl w:val="nil"/>
                  </w:tcBorders>
                  <w:noWrap w:val="0"/>
                  <w:vAlign w:val="center"/>
                </w:tcPr>
                <w:p w14:paraId="34720BC1">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p>
              </w:tc>
              <w:tc>
                <w:tcPr>
                  <w:tcW w:w="596" w:type="pct"/>
                  <w:vMerge w:val="continue"/>
                  <w:tcBorders>
                    <w:tl2br w:val="nil"/>
                    <w:tr2bl w:val="nil"/>
                  </w:tcBorders>
                  <w:noWrap w:val="0"/>
                  <w:vAlign w:val="center"/>
                </w:tcPr>
                <w:p w14:paraId="79CEBD8E">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p>
              </w:tc>
              <w:tc>
                <w:tcPr>
                  <w:tcW w:w="521" w:type="pct"/>
                  <w:vMerge w:val="continue"/>
                  <w:tcBorders>
                    <w:tl2br w:val="nil"/>
                    <w:tr2bl w:val="nil"/>
                  </w:tcBorders>
                  <w:noWrap w:val="0"/>
                  <w:vAlign w:val="center"/>
                </w:tcPr>
                <w:p w14:paraId="7956902F">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p>
              </w:tc>
              <w:tc>
                <w:tcPr>
                  <w:tcW w:w="430" w:type="pct"/>
                  <w:tcBorders>
                    <w:tl2br w:val="nil"/>
                    <w:tr2bl w:val="nil"/>
                  </w:tcBorders>
                  <w:noWrap w:val="0"/>
                  <w:vAlign w:val="center"/>
                </w:tcPr>
                <w:p w14:paraId="5CB6772E">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数量m</w:t>
                  </w:r>
                  <w:r>
                    <w:rPr>
                      <w:rFonts w:hint="default" w:ascii="Times New Roman" w:hAnsi="Times New Roman" w:eastAsia="宋体" w:cs="Times New Roman"/>
                      <w:color w:val="auto"/>
                      <w:kern w:val="2"/>
                      <w:sz w:val="21"/>
                      <w:szCs w:val="22"/>
                      <w:vertAlign w:val="superscript"/>
                      <w:lang w:val="en-US" w:eastAsia="zh-CN" w:bidi="ar-SA"/>
                    </w:rPr>
                    <w:t>3</w:t>
                  </w:r>
                </w:p>
              </w:tc>
              <w:tc>
                <w:tcPr>
                  <w:tcW w:w="433" w:type="pct"/>
                  <w:tcBorders>
                    <w:tl2br w:val="nil"/>
                    <w:tr2bl w:val="nil"/>
                  </w:tcBorders>
                  <w:noWrap w:val="0"/>
                  <w:vAlign w:val="center"/>
                </w:tcPr>
                <w:p w14:paraId="5D2BAF1E">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来源</w:t>
                  </w:r>
                </w:p>
              </w:tc>
              <w:tc>
                <w:tcPr>
                  <w:tcW w:w="489" w:type="pct"/>
                  <w:tcBorders>
                    <w:tl2br w:val="nil"/>
                    <w:tr2bl w:val="nil"/>
                  </w:tcBorders>
                  <w:noWrap w:val="0"/>
                  <w:vAlign w:val="center"/>
                </w:tcPr>
                <w:p w14:paraId="199F60DE">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数量m</w:t>
                  </w:r>
                  <w:r>
                    <w:rPr>
                      <w:rFonts w:hint="default" w:ascii="Times New Roman" w:hAnsi="Times New Roman" w:eastAsia="宋体" w:cs="Times New Roman"/>
                      <w:color w:val="auto"/>
                      <w:kern w:val="2"/>
                      <w:sz w:val="21"/>
                      <w:szCs w:val="22"/>
                      <w:vertAlign w:val="superscript"/>
                      <w:lang w:val="en-US" w:eastAsia="zh-CN" w:bidi="ar-SA"/>
                    </w:rPr>
                    <w:t>3</w:t>
                  </w:r>
                </w:p>
              </w:tc>
              <w:tc>
                <w:tcPr>
                  <w:tcW w:w="414" w:type="pct"/>
                  <w:tcBorders>
                    <w:tl2br w:val="nil"/>
                    <w:tr2bl w:val="nil"/>
                  </w:tcBorders>
                  <w:noWrap w:val="0"/>
                  <w:vAlign w:val="center"/>
                </w:tcPr>
                <w:p w14:paraId="77778CDC">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去向</w:t>
                  </w:r>
                </w:p>
              </w:tc>
              <w:tc>
                <w:tcPr>
                  <w:tcW w:w="403" w:type="pct"/>
                  <w:tcBorders>
                    <w:tl2br w:val="nil"/>
                    <w:tr2bl w:val="nil"/>
                  </w:tcBorders>
                  <w:noWrap w:val="0"/>
                  <w:vAlign w:val="center"/>
                </w:tcPr>
                <w:p w14:paraId="22D3D66F">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数量m</w:t>
                  </w:r>
                  <w:r>
                    <w:rPr>
                      <w:rFonts w:hint="default" w:ascii="Times New Roman" w:hAnsi="Times New Roman" w:eastAsia="宋体" w:cs="Times New Roman"/>
                      <w:color w:val="auto"/>
                      <w:kern w:val="2"/>
                      <w:sz w:val="21"/>
                      <w:szCs w:val="22"/>
                      <w:vertAlign w:val="superscript"/>
                      <w:lang w:val="en-US" w:eastAsia="zh-CN" w:bidi="ar-SA"/>
                    </w:rPr>
                    <w:t>3</w:t>
                  </w:r>
                </w:p>
              </w:tc>
              <w:tc>
                <w:tcPr>
                  <w:tcW w:w="452" w:type="pct"/>
                  <w:tcBorders>
                    <w:tl2br w:val="nil"/>
                    <w:tr2bl w:val="nil"/>
                  </w:tcBorders>
                  <w:noWrap w:val="0"/>
                  <w:vAlign w:val="center"/>
                </w:tcPr>
                <w:p w14:paraId="73BA6C2B">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来源</w:t>
                  </w:r>
                </w:p>
              </w:tc>
              <w:tc>
                <w:tcPr>
                  <w:tcW w:w="423" w:type="pct"/>
                  <w:tcBorders>
                    <w:tl2br w:val="nil"/>
                    <w:tr2bl w:val="nil"/>
                  </w:tcBorders>
                  <w:noWrap w:val="0"/>
                  <w:vAlign w:val="center"/>
                </w:tcPr>
                <w:p w14:paraId="7584FEA2">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数量m</w:t>
                  </w:r>
                  <w:r>
                    <w:rPr>
                      <w:rFonts w:hint="default" w:ascii="Times New Roman" w:hAnsi="Times New Roman" w:eastAsia="宋体" w:cs="Times New Roman"/>
                      <w:color w:val="auto"/>
                      <w:kern w:val="2"/>
                      <w:sz w:val="21"/>
                      <w:szCs w:val="22"/>
                      <w:vertAlign w:val="superscript"/>
                      <w:lang w:val="en-US" w:eastAsia="zh-CN" w:bidi="ar-SA"/>
                    </w:rPr>
                    <w:t>3</w:t>
                  </w:r>
                </w:p>
              </w:tc>
              <w:tc>
                <w:tcPr>
                  <w:tcW w:w="439" w:type="pct"/>
                  <w:tcBorders>
                    <w:tl2br w:val="nil"/>
                    <w:tr2bl w:val="nil"/>
                  </w:tcBorders>
                  <w:noWrap w:val="0"/>
                  <w:vAlign w:val="center"/>
                </w:tcPr>
                <w:p w14:paraId="09989B39">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去向</w:t>
                  </w:r>
                </w:p>
              </w:tc>
            </w:tr>
            <w:tr w14:paraId="4CE63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blHeader/>
                <w:jc w:val="center"/>
              </w:trPr>
              <w:tc>
                <w:tcPr>
                  <w:tcW w:w="392" w:type="pct"/>
                  <w:tcBorders>
                    <w:tl2br w:val="nil"/>
                    <w:tr2bl w:val="nil"/>
                  </w:tcBorders>
                  <w:noWrap w:val="0"/>
                  <w:vAlign w:val="center"/>
                </w:tcPr>
                <w:p w14:paraId="6B71FD8C">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cs="Times New Roman"/>
                      <w:color w:val="auto"/>
                    </w:rPr>
                    <w:t>槽探</w:t>
                  </w:r>
                </w:p>
              </w:tc>
              <w:tc>
                <w:tcPr>
                  <w:tcW w:w="596" w:type="pct"/>
                  <w:tcBorders>
                    <w:tl2br w:val="nil"/>
                    <w:tr2bl w:val="nil"/>
                  </w:tcBorders>
                  <w:noWrap w:val="0"/>
                  <w:vAlign w:val="center"/>
                </w:tcPr>
                <w:p w14:paraId="72414D34">
                  <w:pPr>
                    <w:pStyle w:val="68"/>
                    <w:keepNext w:val="0"/>
                    <w:keepLines w:val="0"/>
                    <w:suppressLineNumbers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8</w:t>
                  </w:r>
                  <w:r>
                    <w:rPr>
                      <w:rFonts w:hint="eastAsia" w:ascii="Times New Roman" w:hAnsi="Times New Roman" w:cs="Times New Roman"/>
                      <w:color w:val="auto"/>
                      <w:lang w:val="en-US" w:eastAsia="zh-CN"/>
                    </w:rPr>
                    <w:t>00</w:t>
                  </w:r>
                </w:p>
              </w:tc>
              <w:tc>
                <w:tcPr>
                  <w:tcW w:w="521" w:type="pct"/>
                  <w:tcBorders>
                    <w:tl2br w:val="nil"/>
                    <w:tr2bl w:val="nil"/>
                  </w:tcBorders>
                  <w:noWrap w:val="0"/>
                  <w:vAlign w:val="center"/>
                </w:tcPr>
                <w:p w14:paraId="5B09168E">
                  <w:pPr>
                    <w:pStyle w:val="68"/>
                    <w:keepNext w:val="0"/>
                    <w:keepLines w:val="0"/>
                    <w:suppressLineNumbers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8</w:t>
                  </w:r>
                  <w:r>
                    <w:rPr>
                      <w:rFonts w:hint="eastAsia" w:ascii="Times New Roman" w:hAnsi="Times New Roman" w:cs="Times New Roman"/>
                      <w:color w:val="auto"/>
                      <w:lang w:val="en-US" w:eastAsia="zh-CN"/>
                    </w:rPr>
                    <w:t>00</w:t>
                  </w:r>
                </w:p>
              </w:tc>
              <w:tc>
                <w:tcPr>
                  <w:tcW w:w="430" w:type="pct"/>
                  <w:tcBorders>
                    <w:tl2br w:val="nil"/>
                    <w:tr2bl w:val="nil"/>
                  </w:tcBorders>
                  <w:noWrap w:val="0"/>
                  <w:vAlign w:val="center"/>
                </w:tcPr>
                <w:p w14:paraId="67E58E2B">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33" w:type="pct"/>
                  <w:tcBorders>
                    <w:tl2br w:val="nil"/>
                    <w:tr2bl w:val="nil"/>
                  </w:tcBorders>
                  <w:noWrap w:val="0"/>
                  <w:vAlign w:val="center"/>
                </w:tcPr>
                <w:p w14:paraId="6D80E142">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89" w:type="pct"/>
                  <w:tcBorders>
                    <w:tl2br w:val="nil"/>
                    <w:tr2bl w:val="nil"/>
                  </w:tcBorders>
                  <w:noWrap w:val="0"/>
                  <w:vAlign w:val="center"/>
                </w:tcPr>
                <w:p w14:paraId="54613A68">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14" w:type="pct"/>
                  <w:tcBorders>
                    <w:tl2br w:val="nil"/>
                    <w:tr2bl w:val="nil"/>
                  </w:tcBorders>
                  <w:noWrap w:val="0"/>
                  <w:vAlign w:val="center"/>
                </w:tcPr>
                <w:p w14:paraId="0D090BDA">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03" w:type="pct"/>
                  <w:tcBorders>
                    <w:tl2br w:val="nil"/>
                    <w:tr2bl w:val="nil"/>
                  </w:tcBorders>
                  <w:noWrap w:val="0"/>
                  <w:vAlign w:val="center"/>
                </w:tcPr>
                <w:p w14:paraId="1E5E7754">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52" w:type="pct"/>
                  <w:tcBorders>
                    <w:tl2br w:val="nil"/>
                    <w:tr2bl w:val="nil"/>
                  </w:tcBorders>
                  <w:noWrap w:val="0"/>
                  <w:vAlign w:val="center"/>
                </w:tcPr>
                <w:p w14:paraId="75EE995B">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23" w:type="pct"/>
                  <w:tcBorders>
                    <w:tl2br w:val="nil"/>
                    <w:tr2bl w:val="nil"/>
                  </w:tcBorders>
                  <w:noWrap w:val="0"/>
                  <w:vAlign w:val="center"/>
                </w:tcPr>
                <w:p w14:paraId="0DF3FA0B">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c>
                <w:tcPr>
                  <w:tcW w:w="439" w:type="pct"/>
                  <w:tcBorders>
                    <w:tl2br w:val="nil"/>
                    <w:tr2bl w:val="nil"/>
                  </w:tcBorders>
                  <w:noWrap w:val="0"/>
                  <w:vAlign w:val="center"/>
                </w:tcPr>
                <w:p w14:paraId="2424EB0F">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w:t>
                  </w:r>
                </w:p>
              </w:tc>
            </w:tr>
            <w:tr w14:paraId="385988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blHeader/>
                <w:jc w:val="center"/>
              </w:trPr>
              <w:tc>
                <w:tcPr>
                  <w:tcW w:w="392" w:type="pct"/>
                  <w:tcBorders>
                    <w:tl2br w:val="nil"/>
                    <w:tr2bl w:val="nil"/>
                  </w:tcBorders>
                  <w:noWrap w:val="0"/>
                  <w:vAlign w:val="center"/>
                </w:tcPr>
                <w:p w14:paraId="02EEC254">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eastAsia="宋体" w:cs="Times New Roman"/>
                      <w:color w:val="auto"/>
                      <w:kern w:val="2"/>
                      <w:sz w:val="21"/>
                      <w:szCs w:val="22"/>
                      <w:lang w:val="en-US" w:eastAsia="zh-CN" w:bidi="ar-SA"/>
                    </w:rPr>
                    <w:t>合计</w:t>
                  </w:r>
                </w:p>
              </w:tc>
              <w:tc>
                <w:tcPr>
                  <w:tcW w:w="596" w:type="pct"/>
                  <w:tcBorders>
                    <w:tl2br w:val="nil"/>
                    <w:tr2bl w:val="nil"/>
                  </w:tcBorders>
                  <w:noWrap w:val="0"/>
                  <w:vAlign w:val="center"/>
                </w:tcPr>
                <w:p w14:paraId="2D004EC8">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eastAsia" w:cs="Times New Roman"/>
                      <w:color w:val="auto"/>
                      <w:kern w:val="2"/>
                      <w:sz w:val="21"/>
                      <w:szCs w:val="22"/>
                      <w:lang w:val="en-US" w:eastAsia="zh-CN" w:bidi="ar-SA"/>
                    </w:rPr>
                    <w:t>8</w:t>
                  </w:r>
                  <w:r>
                    <w:rPr>
                      <w:rFonts w:hint="eastAsia" w:ascii="Times New Roman" w:hAnsi="Times New Roman" w:eastAsia="宋体" w:cs="Times New Roman"/>
                      <w:color w:val="auto"/>
                      <w:kern w:val="2"/>
                      <w:sz w:val="21"/>
                      <w:szCs w:val="22"/>
                      <w:lang w:val="en-US" w:eastAsia="zh-CN" w:bidi="ar-SA"/>
                    </w:rPr>
                    <w:t>00</w:t>
                  </w:r>
                </w:p>
              </w:tc>
              <w:tc>
                <w:tcPr>
                  <w:tcW w:w="4010" w:type="pct"/>
                  <w:gridSpan w:val="9"/>
                  <w:tcBorders>
                    <w:tl2br w:val="nil"/>
                    <w:tr2bl w:val="nil"/>
                  </w:tcBorders>
                  <w:noWrap w:val="0"/>
                  <w:vAlign w:val="center"/>
                </w:tcPr>
                <w:p w14:paraId="7B281163">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kern w:val="2"/>
                      <w:sz w:val="21"/>
                      <w:szCs w:val="22"/>
                      <w:lang w:val="en-US" w:eastAsia="zh-CN" w:bidi="ar-SA"/>
                    </w:rPr>
                  </w:pPr>
                  <w:r>
                    <w:rPr>
                      <w:rFonts w:hint="eastAsia" w:cs="Times New Roman"/>
                      <w:color w:val="auto"/>
                      <w:kern w:val="2"/>
                      <w:sz w:val="21"/>
                      <w:szCs w:val="22"/>
                      <w:lang w:val="en-US" w:eastAsia="zh-CN" w:bidi="ar-SA"/>
                    </w:rPr>
                    <w:t>8</w:t>
                  </w:r>
                  <w:r>
                    <w:rPr>
                      <w:rFonts w:hint="eastAsia" w:ascii="Times New Roman" w:hAnsi="Times New Roman" w:eastAsia="宋体" w:cs="Times New Roman"/>
                      <w:color w:val="auto"/>
                      <w:kern w:val="2"/>
                      <w:sz w:val="21"/>
                      <w:szCs w:val="22"/>
                      <w:lang w:val="en-US" w:eastAsia="zh-CN" w:bidi="ar-SA"/>
                    </w:rPr>
                    <w:t>00</w:t>
                  </w:r>
                </w:p>
              </w:tc>
            </w:tr>
          </w:tbl>
          <w:p w14:paraId="7FEF6A5A">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ascii="Times New Roman" w:hAnsi="Times New Roman" w:cs="Times New Roman"/>
                <w:color w:val="auto"/>
              </w:rPr>
            </w:pPr>
            <w:r>
              <w:rPr>
                <w:rFonts w:hint="eastAsia" w:cs="Times New Roman"/>
                <w:color w:val="auto"/>
                <w:lang w:val="en-US" w:eastAsia="zh-CN"/>
              </w:rPr>
              <w:t>2.9</w:t>
            </w:r>
            <w:r>
              <w:rPr>
                <w:rFonts w:hint="default" w:ascii="Times New Roman" w:hAnsi="Times New Roman" w:cs="Times New Roman"/>
                <w:color w:val="auto"/>
              </w:rPr>
              <w:t>工作制度和职工人数</w:t>
            </w:r>
          </w:p>
          <w:p w14:paraId="1FB85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highlight w:val="none"/>
              </w:rPr>
              <w:t>本项目工作人数</w:t>
            </w:r>
            <w:r>
              <w:rPr>
                <w:rFonts w:hint="eastAsia" w:cs="Times New Roman"/>
                <w:color w:val="auto"/>
                <w:highlight w:val="none"/>
                <w:lang w:val="en-US" w:eastAsia="zh-CN"/>
              </w:rPr>
              <w:t>10</w:t>
            </w:r>
            <w:r>
              <w:rPr>
                <w:rFonts w:hint="default" w:ascii="Times New Roman" w:hAnsi="Times New Roman" w:cs="Times New Roman"/>
                <w:color w:val="auto"/>
                <w:highlight w:val="none"/>
              </w:rPr>
              <w:t>人，年工作</w:t>
            </w:r>
            <w:r>
              <w:rPr>
                <w:rFonts w:hint="eastAsia" w:cs="Times New Roman"/>
                <w:color w:val="auto"/>
                <w:highlight w:val="none"/>
                <w:lang w:val="en-US" w:eastAsia="zh-CN"/>
              </w:rPr>
              <w:t>270</w:t>
            </w:r>
            <w:r>
              <w:rPr>
                <w:rFonts w:hint="default" w:ascii="Times New Roman" w:hAnsi="Times New Roman" w:cs="Times New Roman"/>
                <w:color w:val="auto"/>
                <w:highlight w:val="none"/>
              </w:rPr>
              <w:t>天，每天8小时。</w:t>
            </w:r>
          </w:p>
        </w:tc>
      </w:tr>
      <w:tr w14:paraId="361FC2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 w:type="dxa"/>
            <w:noWrap w:val="0"/>
            <w:vAlign w:val="center"/>
          </w:tcPr>
          <w:p w14:paraId="0D4AFEB3">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sz w:val="24"/>
                <w:szCs w:val="24"/>
              </w:rPr>
              <w:t>总平面及现场布置</w:t>
            </w:r>
          </w:p>
        </w:tc>
        <w:tc>
          <w:tcPr>
            <w:tcW w:w="8423" w:type="dxa"/>
            <w:noWrap w:val="0"/>
            <w:vAlign w:val="top"/>
          </w:tcPr>
          <w:p w14:paraId="395460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在</w:t>
            </w:r>
            <w:r>
              <w:rPr>
                <w:rFonts w:hint="default" w:ascii="Times New Roman" w:hAnsi="Times New Roman" w:cs="Times New Roman"/>
                <w:color w:val="auto"/>
                <w:lang w:val="en-US" w:eastAsia="zh-CN"/>
              </w:rPr>
              <w:t>槽探</w:t>
            </w:r>
            <w:r>
              <w:rPr>
                <w:rFonts w:hint="default" w:ascii="Times New Roman" w:hAnsi="Times New Roman" w:cs="Times New Roman"/>
                <w:color w:val="auto"/>
              </w:rPr>
              <w:t>附近设置临时堆场，用于存放</w:t>
            </w:r>
            <w:r>
              <w:rPr>
                <w:rFonts w:hint="default" w:ascii="Times New Roman" w:hAnsi="Times New Roman" w:cs="Times New Roman"/>
                <w:color w:val="auto"/>
                <w:lang w:val="en-US" w:eastAsia="zh-CN"/>
              </w:rPr>
              <w:t>槽探</w:t>
            </w:r>
            <w:r>
              <w:rPr>
                <w:rFonts w:hint="default" w:ascii="Times New Roman" w:hAnsi="Times New Roman" w:cs="Times New Roman"/>
                <w:color w:val="auto"/>
              </w:rPr>
              <w:t>过程挖出的土方，待施工期结束后用于回填。矿区内部</w:t>
            </w:r>
            <w:r>
              <w:rPr>
                <w:rFonts w:hint="eastAsia" w:cs="Times New Roman"/>
                <w:color w:val="auto"/>
                <w:lang w:val="en-US" w:eastAsia="zh-CN"/>
              </w:rPr>
              <w:t>新建</w:t>
            </w:r>
            <w:r>
              <w:rPr>
                <w:rFonts w:hint="default" w:ascii="Times New Roman" w:hAnsi="Times New Roman" w:cs="Times New Roman"/>
                <w:color w:val="auto"/>
              </w:rPr>
              <w:t>简易道路，作为探矿期临时道路；本次探矿活动在探矿作业区内搭设临时帐篷，随工程施工点位移动。</w:t>
            </w:r>
            <w:r>
              <w:rPr>
                <w:rFonts w:hint="default" w:ascii="Times New Roman" w:hAnsi="Times New Roman" w:cs="Times New Roman"/>
                <w:lang w:val="en-US" w:eastAsia="zh-CN"/>
              </w:rPr>
              <w:t>生产及生活用水从和静县</w:t>
            </w:r>
            <w:r>
              <w:rPr>
                <w:rFonts w:hint="eastAsia" w:ascii="Times New Roman" w:hAnsi="Times New Roman" w:cs="Times New Roman"/>
                <w:lang w:val="en-US" w:eastAsia="zh-CN"/>
              </w:rPr>
              <w:t>克尔古提乡</w:t>
            </w:r>
            <w:r>
              <w:rPr>
                <w:rFonts w:hint="default" w:ascii="Times New Roman" w:hAnsi="Times New Roman" w:cs="Times New Roman"/>
                <w:lang w:val="en-US" w:eastAsia="zh-CN"/>
              </w:rPr>
              <w:t>拉运</w:t>
            </w:r>
            <w:r>
              <w:rPr>
                <w:rFonts w:hint="default" w:ascii="Times New Roman" w:hAnsi="Times New Roman" w:cs="Times New Roman"/>
                <w:color w:val="auto"/>
              </w:rPr>
              <w:t>。项目探矿区设置柴油发电机，提供用电。本项目工程布局合理。</w:t>
            </w:r>
          </w:p>
          <w:p w14:paraId="74CFE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施工区域不占用耕地，无风景名胜区，无珍稀保护动、植物，对周边环境影响较小。由于本项目</w:t>
            </w:r>
            <w:r>
              <w:rPr>
                <w:rFonts w:hint="eastAsia"/>
                <w:lang w:val="en-US" w:eastAsia="zh-CN"/>
              </w:rPr>
              <w:t>工作量</w:t>
            </w:r>
            <w:r>
              <w:rPr>
                <w:rFonts w:hint="default" w:ascii="Times New Roman" w:hAnsi="Times New Roman" w:cs="Times New Roman"/>
                <w:color w:val="auto"/>
              </w:rPr>
              <w:t>较少，对周围环境影响甚微。</w:t>
            </w:r>
          </w:p>
          <w:p w14:paraId="0E4DB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综上所述，项目各</w:t>
            </w:r>
            <w:r>
              <w:rPr>
                <w:rFonts w:hint="eastAsia"/>
                <w:lang w:val="en-US" w:eastAsia="zh-CN"/>
              </w:rPr>
              <w:t>勘查</w:t>
            </w:r>
            <w:r>
              <w:rPr>
                <w:rFonts w:hint="default" w:ascii="Times New Roman" w:hAnsi="Times New Roman" w:cs="Times New Roman"/>
                <w:color w:val="auto"/>
              </w:rPr>
              <w:t>活动影响范围内无自然保护区、风景名胜保护区、饮用水源地等敏感点。探矿范围内多为山区，矿区范围内无珍稀保护植物、未发现珍稀保护动物。在探矿过程中采取相应的保护措施后，对矿区周边的居民及生态环境影响较小。从环境保护角度分析项目选址是合理可行的，不存在制约性因素。</w:t>
            </w:r>
          </w:p>
        </w:tc>
      </w:tr>
      <w:tr w14:paraId="0E195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 w:type="dxa"/>
            <w:noWrap w:val="0"/>
            <w:vAlign w:val="center"/>
          </w:tcPr>
          <w:p w14:paraId="0B28E1D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sz w:val="24"/>
                <w:szCs w:val="24"/>
              </w:rPr>
              <w:t>施工方案</w:t>
            </w:r>
          </w:p>
        </w:tc>
        <w:tc>
          <w:tcPr>
            <w:tcW w:w="8423" w:type="dxa"/>
            <w:noWrap w:val="0"/>
            <w:vAlign w:val="top"/>
          </w:tcPr>
          <w:p w14:paraId="1747D0FB">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default" w:ascii="Times New Roman" w:hAnsi="Times New Roman" w:cs="Times New Roman"/>
                <w:color w:val="auto"/>
              </w:rPr>
            </w:pPr>
            <w:r>
              <w:rPr>
                <w:rFonts w:hint="eastAsia" w:cs="Times New Roman"/>
                <w:color w:val="auto"/>
                <w:lang w:val="en-US" w:eastAsia="zh-CN"/>
              </w:rPr>
              <w:t>2.10</w:t>
            </w:r>
            <w:r>
              <w:rPr>
                <w:rFonts w:hint="default" w:ascii="Times New Roman" w:hAnsi="Times New Roman" w:cs="Times New Roman"/>
                <w:color w:val="auto"/>
              </w:rPr>
              <w:t>工艺流程</w:t>
            </w:r>
          </w:p>
          <w:p w14:paraId="377205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rPr>
            </w:pPr>
            <w:r>
              <w:rPr>
                <w:rFonts w:hint="default" w:ascii="Times New Roman" w:hAnsi="Times New Roman" w:cs="Times New Roman"/>
                <w:color w:val="auto"/>
              </w:rPr>
              <w:t>本项目产生环境影响的时段主要为野外</w:t>
            </w:r>
            <w:r>
              <w:rPr>
                <w:rFonts w:hint="eastAsia" w:cs="Times New Roman"/>
                <w:color w:val="auto"/>
                <w:lang w:val="en-US" w:eastAsia="zh-CN"/>
              </w:rPr>
              <w:t>勘查</w:t>
            </w:r>
            <w:r>
              <w:rPr>
                <w:rFonts w:hint="default" w:ascii="Times New Roman" w:hAnsi="Times New Roman" w:cs="Times New Roman"/>
                <w:color w:val="auto"/>
              </w:rPr>
              <w:t>期。探矿工作主要包括地质</w:t>
            </w:r>
            <w:r>
              <w:rPr>
                <w:rFonts w:hint="eastAsia" w:ascii="Times New Roman" w:hAnsi="Times New Roman" w:cs="Times New Roman"/>
                <w:color w:val="auto"/>
                <w:lang w:val="en-US" w:eastAsia="zh-CN"/>
              </w:rPr>
              <w:t>测量</w:t>
            </w:r>
            <w:r>
              <w:rPr>
                <w:rFonts w:hint="default" w:ascii="Times New Roman" w:hAnsi="Times New Roman" w:cs="Times New Roman"/>
                <w:color w:val="auto"/>
              </w:rPr>
              <w:t>及槽探，工程实施过程中主要的污染来</w:t>
            </w:r>
            <w:r>
              <w:rPr>
                <w:rFonts w:hint="default" w:ascii="Times New Roman" w:hAnsi="Times New Roman" w:cs="Times New Roman"/>
                <w:color w:val="auto"/>
                <w:lang w:val="en-US" w:eastAsia="zh-CN"/>
              </w:rPr>
              <w:t>自槽探</w:t>
            </w:r>
            <w:r>
              <w:rPr>
                <w:rFonts w:hint="default" w:ascii="Times New Roman" w:hAnsi="Times New Roman" w:cs="Times New Roman"/>
                <w:color w:val="auto"/>
              </w:rPr>
              <w:t>过程中扬尘、机械噪声及工作人员在地质</w:t>
            </w:r>
            <w:r>
              <w:rPr>
                <w:rFonts w:hint="eastAsia" w:ascii="Times New Roman" w:hAnsi="Times New Roman" w:cs="Times New Roman"/>
                <w:color w:val="auto"/>
                <w:lang w:val="en-US" w:eastAsia="zh-CN"/>
              </w:rPr>
              <w:t>测量</w:t>
            </w:r>
            <w:r>
              <w:rPr>
                <w:rFonts w:hint="default" w:ascii="Times New Roman" w:hAnsi="Times New Roman" w:cs="Times New Roman"/>
                <w:color w:val="auto"/>
              </w:rPr>
              <w:t>和生活过程中产生的生活污水和垃圾。本次评价对象为矿产资源</w:t>
            </w:r>
            <w:r>
              <w:rPr>
                <w:rFonts w:hint="eastAsia"/>
                <w:lang w:val="en-US" w:eastAsia="zh-CN"/>
              </w:rPr>
              <w:t>勘查</w:t>
            </w:r>
            <w:r>
              <w:rPr>
                <w:rFonts w:hint="default" w:ascii="Times New Roman" w:hAnsi="Times New Roman" w:cs="Times New Roman"/>
                <w:color w:val="auto"/>
              </w:rPr>
              <w:t>期间可能产生的</w:t>
            </w:r>
            <w:r>
              <w:rPr>
                <w:rFonts w:hint="eastAsia" w:ascii="Times New Roman" w:hAnsi="Times New Roman" w:cs="Times New Roman"/>
                <w:color w:val="auto"/>
                <w:lang w:eastAsia="zh-CN"/>
              </w:rPr>
              <w:t>“</w:t>
            </w:r>
            <w:r>
              <w:rPr>
                <w:rFonts w:hint="default" w:ascii="Times New Roman" w:hAnsi="Times New Roman" w:cs="Times New Roman"/>
                <w:color w:val="auto"/>
              </w:rPr>
              <w:t>三废</w:t>
            </w:r>
            <w:r>
              <w:rPr>
                <w:rFonts w:hint="eastAsia" w:ascii="Times New Roman" w:hAnsi="Times New Roman" w:cs="Times New Roman"/>
                <w:color w:val="auto"/>
                <w:lang w:eastAsia="zh-CN"/>
              </w:rPr>
              <w:t>”</w:t>
            </w:r>
            <w:r>
              <w:rPr>
                <w:rFonts w:hint="default" w:ascii="Times New Roman" w:hAnsi="Times New Roman" w:cs="Times New Roman"/>
                <w:color w:val="auto"/>
              </w:rPr>
              <w:t>污染及生态破坏、水土流失对项目周围的环境影响。</w:t>
            </w:r>
          </w:p>
          <w:p w14:paraId="198759EC">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2.11地质测量工艺及产污流程</w:t>
            </w:r>
          </w:p>
          <w:p w14:paraId="145A3562">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地质测量主要分为地质测量（简测）和遥感地质两部分。通过航空磁力仪和大疆遥感飞机，提取矿区遥感蚀变信息，并结合前人填图成果，进一步查明普查区的地层、构造、岩浆岩及矿化蚀变带、矿（化）体分布情况，在前期预查成果的基础上，确定1:10000地质草测，设计工作量为</w:t>
            </w:r>
            <w:r>
              <w:rPr>
                <w:rFonts w:hint="eastAsia" w:cs="Times New Roman"/>
                <w:b w:val="0"/>
                <w:bCs w:val="0"/>
                <w:color w:val="auto"/>
                <w:lang w:val="en-US" w:eastAsia="zh-CN"/>
              </w:rPr>
              <w:t>12.12</w:t>
            </w:r>
            <w:r>
              <w:rPr>
                <w:rFonts w:hint="default" w:ascii="Times New Roman" w:hAnsi="Times New Roman" w:cs="Times New Roman"/>
                <w:b w:val="0"/>
                <w:bCs w:val="0"/>
                <w:color w:val="auto"/>
                <w:lang w:val="en-US" w:eastAsia="zh-CN"/>
              </w:rPr>
              <w:t>km</w:t>
            </w:r>
            <w:r>
              <w:rPr>
                <w:rFonts w:hint="default" w:ascii="Times New Roman" w:hAnsi="Times New Roman" w:cs="Times New Roman"/>
                <w:b w:val="0"/>
                <w:bCs w:val="0"/>
                <w:color w:val="auto"/>
                <w:vertAlign w:val="superscript"/>
                <w:lang w:val="en-US" w:eastAsia="zh-CN"/>
              </w:rPr>
              <w:t>2</w:t>
            </w:r>
            <w:r>
              <w:rPr>
                <w:rFonts w:hint="default" w:ascii="Times New Roman" w:hAnsi="Times New Roman" w:cs="Times New Roman"/>
                <w:b w:val="0"/>
                <w:bCs w:val="0"/>
                <w:color w:val="auto"/>
                <w:lang w:val="en-US" w:eastAsia="zh-CN"/>
              </w:rPr>
              <w:t>，通过1:2000地质剖面</w:t>
            </w:r>
            <w:r>
              <w:rPr>
                <w:rFonts w:hint="eastAsia" w:cs="Times New Roman"/>
                <w:b w:val="0"/>
                <w:bCs w:val="0"/>
                <w:color w:val="auto"/>
                <w:lang w:val="en-US" w:eastAsia="zh-CN"/>
              </w:rPr>
              <w:t>和1:2000地化（岩石）剖面</w:t>
            </w:r>
            <w:r>
              <w:rPr>
                <w:rFonts w:hint="default" w:ascii="Times New Roman" w:hAnsi="Times New Roman" w:cs="Times New Roman"/>
                <w:b w:val="0"/>
                <w:bCs w:val="0"/>
                <w:color w:val="auto"/>
                <w:lang w:val="en-US" w:eastAsia="zh-CN"/>
              </w:rPr>
              <w:t>测量，确定含矿岩性层，查明矿化蚀变的种类及强度，确定主要工作区。</w:t>
            </w:r>
          </w:p>
          <w:p w14:paraId="336339A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该流程无污染物产生，只有航空和遥感设备运行噪声，随着作业结束而消失。</w:t>
            </w:r>
          </w:p>
          <w:p w14:paraId="0163BB14">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eastAsia" w:cs="Times New Roman"/>
                <w:color w:val="auto"/>
                <w:lang w:val="en-US" w:eastAsia="zh-CN"/>
              </w:rPr>
              <w:t>12</w:t>
            </w:r>
            <w:r>
              <w:rPr>
                <w:rFonts w:hint="default" w:ascii="Times New Roman" w:hAnsi="Times New Roman" w:cs="Times New Roman"/>
                <w:color w:val="auto"/>
              </w:rPr>
              <w:t>槽探施工工艺及产污流程</w:t>
            </w:r>
          </w:p>
          <w:p w14:paraId="237C22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lang w:eastAsia="zh-CN"/>
              </w:rPr>
            </w:pPr>
            <w:r>
              <w:rPr>
                <w:rFonts w:hint="eastAsia" w:ascii="Times New Roman" w:hAnsi="Times New Roman" w:cs="Times New Roman"/>
                <w:color w:val="auto"/>
                <w:lang w:val="en-US" w:eastAsia="zh-CN"/>
              </w:rPr>
              <w:t>槽探</w:t>
            </w:r>
            <w:r>
              <w:rPr>
                <w:rFonts w:hint="default" w:ascii="Times New Roman" w:hAnsi="Times New Roman" w:cs="Times New Roman"/>
                <w:color w:val="auto"/>
              </w:rPr>
              <w:t>施工顺序为：表土剥离→槽探开挖、土石堆放→取样编录→回填。</w:t>
            </w:r>
          </w:p>
          <w:p w14:paraId="5C211D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1</w:t>
            </w:r>
            <w:r>
              <w:rPr>
                <w:rFonts w:hint="default" w:ascii="Times New Roman" w:hAnsi="Times New Roman" w:cs="Times New Roman"/>
                <w:color w:val="auto"/>
                <w:lang w:eastAsia="zh-CN"/>
              </w:rPr>
              <w:t>）</w:t>
            </w:r>
            <w:r>
              <w:rPr>
                <w:rFonts w:hint="default" w:ascii="Times New Roman" w:hAnsi="Times New Roman" w:cs="Times New Roman"/>
                <w:color w:val="auto"/>
              </w:rPr>
              <w:t>探前工程</w:t>
            </w:r>
          </w:p>
          <w:p w14:paraId="6E7234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本项目进行</w:t>
            </w:r>
            <w:r>
              <w:rPr>
                <w:rFonts w:hint="eastAsia"/>
                <w:lang w:val="en-US" w:eastAsia="zh-CN"/>
              </w:rPr>
              <w:t>勘查</w:t>
            </w:r>
            <w:r>
              <w:rPr>
                <w:rFonts w:hint="default" w:ascii="Times New Roman" w:hAnsi="Times New Roman" w:cs="Times New Roman"/>
                <w:color w:val="auto"/>
              </w:rPr>
              <w:t>作业前首先需要修建简易道路，对道路进行填平压实，保证探矿车辆安全通过。简易道路施工顺序为：施工放样→地面掘除清理→地表平整压实。</w:t>
            </w:r>
          </w:p>
          <w:p w14:paraId="70CDD5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2</w:t>
            </w:r>
            <w:r>
              <w:rPr>
                <w:rFonts w:hint="default" w:ascii="Times New Roman" w:hAnsi="Times New Roman" w:cs="Times New Roman"/>
                <w:color w:val="auto"/>
                <w:lang w:eastAsia="zh-CN"/>
              </w:rPr>
              <w:t>）</w:t>
            </w:r>
            <w:r>
              <w:rPr>
                <w:rFonts w:hint="default" w:ascii="Times New Roman" w:hAnsi="Times New Roman" w:cs="Times New Roman"/>
                <w:color w:val="auto"/>
              </w:rPr>
              <w:t>槽探</w:t>
            </w:r>
          </w:p>
          <w:p w14:paraId="6B3AE7C7">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槽探工程主要用于揭露地表矿体、矿化蚀变带及查证物探异常，以控制矿体厚度、品位的变化情况及发现新矿体，探槽长度以能控制矿体、矿化体出露宽度为原则。其布置原则为：垂直并贯穿矿</w:t>
            </w:r>
            <w:r>
              <w:rPr>
                <w:rFonts w:hint="default" w:ascii="Times New Roman" w:hAnsi="Times New Roman" w:cs="Times New Roman"/>
                <w:color w:val="auto"/>
                <w:lang w:eastAsia="zh-CN"/>
              </w:rPr>
              <w:t>（</w:t>
            </w:r>
            <w:r>
              <w:rPr>
                <w:rFonts w:hint="default" w:ascii="Times New Roman" w:hAnsi="Times New Roman" w:cs="Times New Roman"/>
                <w:color w:val="auto"/>
              </w:rPr>
              <w:t>化</w:t>
            </w:r>
            <w:r>
              <w:rPr>
                <w:rFonts w:hint="default" w:ascii="Times New Roman" w:hAnsi="Times New Roman" w:cs="Times New Roman"/>
                <w:color w:val="auto"/>
                <w:lang w:eastAsia="zh-CN"/>
              </w:rPr>
              <w:t>）</w:t>
            </w:r>
            <w:r>
              <w:rPr>
                <w:rFonts w:hint="default" w:ascii="Times New Roman" w:hAnsi="Times New Roman" w:cs="Times New Roman"/>
                <w:color w:val="auto"/>
              </w:rPr>
              <w:t>体、主要蚀变带、重要地质体，工程布置既有系统性，又有有限性</w:t>
            </w:r>
            <w:r>
              <w:rPr>
                <w:rFonts w:hint="default" w:ascii="Times New Roman" w:hAnsi="Times New Roman" w:cs="Times New Roman"/>
                <w:color w:val="auto"/>
                <w:lang w:eastAsia="zh-CN"/>
              </w:rPr>
              <w:t>（</w:t>
            </w:r>
            <w:r>
              <w:rPr>
                <w:rFonts w:hint="default" w:ascii="Times New Roman" w:hAnsi="Times New Roman" w:cs="Times New Roman"/>
                <w:color w:val="auto"/>
              </w:rPr>
              <w:t>一般以2—3条稀疏控制矿体</w:t>
            </w:r>
            <w:r>
              <w:rPr>
                <w:rFonts w:hint="default" w:ascii="Times New Roman" w:hAnsi="Times New Roman" w:cs="Times New Roman"/>
                <w:color w:val="auto"/>
                <w:lang w:eastAsia="zh-CN"/>
              </w:rPr>
              <w:t>）</w:t>
            </w:r>
            <w:r>
              <w:rPr>
                <w:rFonts w:hint="default" w:ascii="Times New Roman" w:hAnsi="Times New Roman" w:cs="Times New Roman"/>
                <w:color w:val="auto"/>
              </w:rPr>
              <w:t>。施工探槽在横向上控制了矿体的长度，纵向上均揭露了矿体顶底板。</w:t>
            </w:r>
          </w:p>
          <w:p w14:paraId="714861F5">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工程完工验收合格后及时进行编录。编录采用皮尺基线法素描一壁一底，比例尺1∶50或1∶100。素描图要详细标定地质界线、产状要素、样品位置，力求文图一致。其技术方法按《固体矿产勘查原始地质编录规程》（DZ/T0078—2015）及《固体矿产</w:t>
            </w:r>
            <w:r>
              <w:rPr>
                <w:rFonts w:hint="eastAsia" w:ascii="Times New Roman" w:hAnsi="Times New Roman" w:eastAsia="宋体" w:cs="Times New Roman"/>
                <w:color w:val="auto"/>
                <w:kern w:val="2"/>
                <w:sz w:val="24"/>
                <w:szCs w:val="24"/>
                <w:lang w:val="en-US" w:eastAsia="zh-CN" w:bidi="ar-SA"/>
              </w:rPr>
              <w:t>地质勘查规范总则</w:t>
            </w:r>
            <w:r>
              <w:rPr>
                <w:rFonts w:hint="default" w:ascii="Times New Roman" w:hAnsi="Times New Roman" w:eastAsia="宋体" w:cs="Times New Roman"/>
                <w:color w:val="auto"/>
                <w:kern w:val="2"/>
                <w:sz w:val="24"/>
                <w:szCs w:val="24"/>
                <w:lang w:val="en-US" w:eastAsia="zh-CN" w:bidi="ar-SA"/>
              </w:rPr>
              <w:t>》（GB/T13908—2020）规定执行。系统采集化学分析样，以便正确圈定矿体。在工程结束后要将槽探产生的土石方进行回填，严格对表层土实行分层回填，最大限度</w:t>
            </w:r>
            <w:r>
              <w:rPr>
                <w:rFonts w:hint="eastAsia" w:ascii="Times New Roman" w:hAnsi="Times New Roman" w:eastAsia="宋体" w:cs="Times New Roman"/>
                <w:color w:val="auto"/>
                <w:kern w:val="2"/>
                <w:sz w:val="24"/>
                <w:szCs w:val="24"/>
                <w:lang w:val="en-US" w:eastAsia="zh-CN" w:bidi="ar-SA"/>
              </w:rPr>
              <w:t>地</w:t>
            </w:r>
            <w:r>
              <w:rPr>
                <w:rFonts w:hint="default" w:ascii="Times New Roman" w:hAnsi="Times New Roman" w:eastAsia="宋体" w:cs="Times New Roman"/>
                <w:color w:val="auto"/>
                <w:kern w:val="2"/>
                <w:sz w:val="24"/>
                <w:szCs w:val="24"/>
                <w:lang w:val="en-US" w:eastAsia="zh-CN" w:bidi="ar-SA"/>
              </w:rPr>
              <w:t>减小对土壤肥力的影响。</w:t>
            </w:r>
            <w:r>
              <w:rPr>
                <w:rFonts w:hint="default" w:ascii="Times New Roman" w:hAnsi="Times New Roman" w:eastAsia="宋体" w:cs="Times New Roman"/>
                <w:color w:val="auto"/>
                <w:kern w:val="2"/>
                <w:sz w:val="24"/>
                <w:szCs w:val="24"/>
                <w:highlight w:val="none"/>
                <w:lang w:val="en-US" w:eastAsia="zh-CN" w:bidi="ar-SA"/>
              </w:rPr>
              <w:t>项目设计开挖探槽</w:t>
            </w:r>
            <w:r>
              <w:rPr>
                <w:rFonts w:hint="eastAsia"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条，工作量</w:t>
            </w:r>
            <w:r>
              <w:rPr>
                <w:rFonts w:hint="eastAsia" w:cs="Times New Roman"/>
                <w:color w:val="auto"/>
                <w:kern w:val="2"/>
                <w:sz w:val="24"/>
                <w:szCs w:val="24"/>
                <w:highlight w:val="none"/>
                <w:lang w:val="en-US" w:eastAsia="zh-CN" w:bidi="ar-SA"/>
              </w:rPr>
              <w:t>8</w:t>
            </w:r>
            <w:r>
              <w:rPr>
                <w:rFonts w:hint="default" w:ascii="Times New Roman" w:hAnsi="Times New Roman" w:eastAsia="宋体" w:cs="Times New Roman"/>
                <w:color w:val="auto"/>
                <w:kern w:val="2"/>
                <w:sz w:val="24"/>
                <w:szCs w:val="24"/>
                <w:highlight w:val="none"/>
                <w:lang w:val="en-US" w:eastAsia="zh-CN" w:bidi="ar-SA"/>
              </w:rPr>
              <w:t>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lang w:val="en-US" w:eastAsia="zh-CN" w:bidi="ar-SA"/>
              </w:rPr>
              <w:t>本项目槽探施工分别挖掘不同规格的探槽（开口1.2-1.5米，槽底宽0.8-1米，深度不大于3米）</w:t>
            </w:r>
            <w:r>
              <w:rPr>
                <w:rFonts w:hint="eastAsia" w:ascii="Times New Roman" w:hAnsi="Times New Roman" w:eastAsia="宋体" w:cs="Times New Roman"/>
                <w:color w:val="auto"/>
                <w:kern w:val="2"/>
                <w:sz w:val="24"/>
                <w:szCs w:val="24"/>
                <w:lang w:val="en-US" w:eastAsia="zh-CN" w:bidi="ar-SA"/>
              </w:rPr>
              <w:t>。</w:t>
            </w:r>
          </w:p>
          <w:p w14:paraId="07662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rPr>
            </w:pPr>
            <w:r>
              <w:rPr>
                <w:rFonts w:hint="default" w:ascii="Times New Roman" w:hAnsi="Times New Roman" w:cs="Times New Roman"/>
                <w:b/>
                <w:bCs/>
                <w:color w:val="auto"/>
                <w:sz w:val="21"/>
                <w:szCs w:val="21"/>
              </w:rPr>
              <w:object>
                <v:shape id="_x0000_i1025" o:spt="75" type="#_x0000_t75" style="height:85.8pt;width:387.6pt;" o:ole="t" filled="f" o:preferrelative="t" stroked="t" coordsize="21600,21600">
                  <v:path/>
                  <v:fill on="f" focussize="0,0"/>
                  <v:stroke joinstyle="miter"/>
                  <v:imagedata r:id="rId15" o:title=""/>
                  <o:lock v:ext="edit" aspectratio="f"/>
                  <w10:wrap type="none"/>
                  <w10:anchorlock/>
                </v:shape>
                <o:OLEObject Type="Embed" ProgID="Visio.Drawing.15" ShapeID="_x0000_i1025" DrawAspect="Content" ObjectID="_1468075725" r:id="rId14">
                  <o:LockedField>false</o:LockedField>
                </o:OLEObject>
              </w:object>
            </w:r>
          </w:p>
          <w:p w14:paraId="42EE99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rPr>
            </w:pPr>
            <w:r>
              <w:rPr>
                <w:rFonts w:hint="default" w:ascii="Times New Roman" w:hAnsi="Times New Roman" w:cs="Times New Roman"/>
                <w:b/>
                <w:bCs/>
                <w:color w:val="auto"/>
                <w:sz w:val="21"/>
                <w:szCs w:val="21"/>
              </w:rPr>
              <w:t>图</w:t>
            </w:r>
            <w:r>
              <w:rPr>
                <w:rFonts w:hint="eastAsia" w:ascii="Times New Roman" w:hAnsi="Times New Roman" w:cs="Times New Roman"/>
                <w:b/>
                <w:bCs/>
                <w:color w:val="auto"/>
                <w:sz w:val="21"/>
                <w:szCs w:val="21"/>
                <w:lang w:val="en-US" w:eastAsia="zh-CN"/>
              </w:rPr>
              <w:t>2.12-1</w:t>
            </w:r>
            <w:r>
              <w:rPr>
                <w:rFonts w:hint="default" w:ascii="Times New Roman" w:hAnsi="Times New Roman" w:cs="Times New Roman"/>
                <w:b/>
                <w:bCs/>
                <w:color w:val="auto"/>
                <w:sz w:val="21"/>
                <w:szCs w:val="21"/>
              </w:rPr>
              <w:t xml:space="preserve">  </w:t>
            </w:r>
            <w:r>
              <w:rPr>
                <w:rFonts w:hint="default"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工艺流程及产污环节图</w:t>
            </w:r>
          </w:p>
        </w:tc>
      </w:tr>
      <w:tr w14:paraId="010246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 w:type="dxa"/>
            <w:noWrap w:val="0"/>
            <w:vAlign w:val="center"/>
          </w:tcPr>
          <w:p w14:paraId="6F87B39B">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sz w:val="24"/>
                <w:szCs w:val="24"/>
              </w:rPr>
              <w:t>其他</w:t>
            </w:r>
          </w:p>
        </w:tc>
        <w:tc>
          <w:tcPr>
            <w:tcW w:w="8423" w:type="dxa"/>
            <w:noWrap w:val="0"/>
            <w:vAlign w:val="center"/>
          </w:tcPr>
          <w:p w14:paraId="56AEBE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jc w:val="center"/>
              <w:textAlignment w:val="auto"/>
              <w:rPr>
                <w:rFonts w:hint="default" w:ascii="Times New Roman" w:hAnsi="Times New Roman" w:cs="Times New Roman"/>
                <w:bCs/>
                <w:color w:val="auto"/>
              </w:rPr>
            </w:pPr>
            <w:r>
              <w:rPr>
                <w:rFonts w:hint="default" w:ascii="Times New Roman" w:hAnsi="Times New Roman" w:cs="Times New Roman"/>
                <w:bCs/>
                <w:color w:val="auto"/>
              </w:rPr>
              <w:t>无</w:t>
            </w:r>
          </w:p>
        </w:tc>
      </w:tr>
    </w:tbl>
    <w:p w14:paraId="579A40E7">
      <w:pPr>
        <w:pStyle w:val="23"/>
        <w:ind w:firstLine="720"/>
        <w:jc w:val="center"/>
        <w:rPr>
          <w:rFonts w:ascii="黑体" w:hAnsi="黑体"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5254FE69">
      <w:pPr>
        <w:pStyle w:val="2"/>
        <w:rPr>
          <w:snapToGrid w:val="0"/>
          <w:color w:val="auto"/>
        </w:rPr>
      </w:pPr>
      <w:r>
        <w:rPr>
          <w:rFonts w:hint="eastAsia"/>
          <w:snapToGrid w:val="0"/>
          <w:color w:val="auto"/>
        </w:rPr>
        <w:t>三、生态环境现状、保护目标及评价标准</w:t>
      </w:r>
    </w:p>
    <w:tbl>
      <w:tblPr>
        <w:tblStyle w:val="28"/>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14:paraId="64BFC4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800" w:type="dxa"/>
            <w:noWrap w:val="0"/>
            <w:tcMar>
              <w:left w:w="28" w:type="dxa"/>
              <w:right w:w="28" w:type="dxa"/>
            </w:tcMar>
            <w:vAlign w:val="center"/>
          </w:tcPr>
          <w:p w14:paraId="1833BC55">
            <w:pPr>
              <w:pStyle w:val="68"/>
              <w:keepNext w:val="0"/>
              <w:keepLines w:val="0"/>
              <w:suppressLineNumbers w:val="0"/>
              <w:spacing w:before="0" w:beforeAutospacing="0" w:after="0" w:afterAutospacing="0"/>
              <w:ind w:right="0"/>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生态</w:t>
            </w:r>
          </w:p>
          <w:p w14:paraId="48391927">
            <w:pPr>
              <w:pStyle w:val="68"/>
              <w:keepNext w:val="0"/>
              <w:keepLines w:val="0"/>
              <w:suppressLineNumbers w:val="0"/>
              <w:spacing w:before="0" w:beforeAutospacing="0" w:after="0" w:afterAutospacing="0"/>
              <w:ind w:right="0"/>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环境</w:t>
            </w:r>
          </w:p>
          <w:p w14:paraId="3D4EA42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sz w:val="24"/>
                <w:szCs w:val="24"/>
              </w:rPr>
              <w:t>现状</w:t>
            </w:r>
          </w:p>
        </w:tc>
        <w:tc>
          <w:tcPr>
            <w:tcW w:w="8190" w:type="dxa"/>
            <w:noWrap w:val="0"/>
            <w:vAlign w:val="center"/>
          </w:tcPr>
          <w:p w14:paraId="3D7D16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leftChars="0" w:right="0" w:firstLine="0" w:firstLineChars="0"/>
              <w:textAlignment w:val="auto"/>
              <w:rPr>
                <w:rFonts w:hint="default" w:ascii="Times New Roman" w:hAnsi="Times New Roman" w:cs="Times New Roman"/>
                <w:b/>
                <w:bCs/>
                <w:color w:val="auto"/>
              </w:rPr>
            </w:pPr>
            <w:r>
              <w:rPr>
                <w:rFonts w:hint="default" w:ascii="Times New Roman" w:hAnsi="Times New Roman" w:cs="Times New Roman"/>
                <w:b/>
                <w:bCs/>
                <w:color w:val="auto"/>
                <w:lang w:val="en-US" w:eastAsia="zh-CN"/>
              </w:rPr>
              <w:t>3.1</w:t>
            </w:r>
            <w:r>
              <w:rPr>
                <w:rFonts w:hint="default" w:ascii="Times New Roman" w:hAnsi="Times New Roman" w:cs="Times New Roman"/>
                <w:b/>
                <w:bCs/>
                <w:color w:val="auto"/>
              </w:rPr>
              <w:t>与主体功能规划相符性</w:t>
            </w:r>
          </w:p>
          <w:p w14:paraId="03C1F1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根据《新疆维吾尔自治区主体功能区规划》，新疆主体功能区按开发方式，分为重点开发区域、限制开发区域和禁止开发区域；按开发内容，分为城市化地区、农产品主产区和重点生态功能区三类；按层级，分为国家和自治区级两个层面。</w:t>
            </w:r>
          </w:p>
          <w:p w14:paraId="577BB0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本项目位于</w:t>
            </w:r>
            <w:r>
              <w:rPr>
                <w:rFonts w:hint="eastAsia" w:ascii="Times New Roman" w:hAnsi="Times New Roman" w:cs="Times New Roman"/>
                <w:color w:val="auto"/>
              </w:rPr>
              <w:t>新疆维吾尔自治区巴音郭楞蒙古自治州</w:t>
            </w:r>
            <w:r>
              <w:rPr>
                <w:rFonts w:hint="eastAsia" w:ascii="Times New Roman" w:hAnsi="Times New Roman" w:cs="Times New Roman"/>
                <w:color w:val="auto"/>
                <w:lang w:val="en-US" w:eastAsia="zh-CN"/>
              </w:rPr>
              <w:t>和静县克尔古提乡</w:t>
            </w:r>
            <w:r>
              <w:rPr>
                <w:rFonts w:hint="eastAsia" w:cs="Times New Roman"/>
                <w:color w:val="auto"/>
                <w:lang w:val="en-US" w:eastAsia="zh-CN"/>
              </w:rPr>
              <w:t>，</w:t>
            </w:r>
            <w:r>
              <w:rPr>
                <w:rFonts w:hint="eastAsia" w:ascii="Times New Roman" w:hAnsi="Times New Roman" w:cs="Times New Roman"/>
                <w:color w:val="auto"/>
                <w:lang w:val="en-US" w:eastAsia="zh-CN"/>
              </w:rPr>
              <w:t>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default" w:ascii="Times New Roman" w:hAnsi="Times New Roman" w:cs="Times New Roman"/>
                <w:color w:val="auto"/>
              </w:rPr>
              <w:t>，行政区划属巴音郭楞蒙古自治州</w:t>
            </w:r>
            <w:r>
              <w:rPr>
                <w:rFonts w:hint="default" w:ascii="Times New Roman" w:hAnsi="Times New Roman" w:cs="Times New Roman"/>
                <w:color w:val="auto"/>
                <w:lang w:val="en-US" w:eastAsia="zh-CN"/>
              </w:rPr>
              <w:t>和静</w:t>
            </w:r>
            <w:r>
              <w:rPr>
                <w:rFonts w:hint="default" w:ascii="Times New Roman" w:hAnsi="Times New Roman" w:cs="Times New Roman"/>
                <w:color w:val="auto"/>
              </w:rPr>
              <w:t>县管辖；不属于主体功能区划中确定的国家和自治区层面的限制开发区域</w:t>
            </w:r>
            <w:r>
              <w:rPr>
                <w:rFonts w:hint="default" w:ascii="Times New Roman" w:hAnsi="Times New Roman" w:cs="Times New Roman"/>
                <w:color w:val="auto"/>
                <w:lang w:val="en-US" w:eastAsia="zh-CN"/>
              </w:rPr>
              <w:t>和</w:t>
            </w:r>
            <w:r>
              <w:rPr>
                <w:rFonts w:hint="default" w:ascii="Times New Roman" w:hAnsi="Times New Roman" w:cs="Times New Roman"/>
                <w:color w:val="auto"/>
              </w:rPr>
              <w:t>禁止开发区域。</w:t>
            </w:r>
          </w:p>
          <w:p w14:paraId="675DA1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leftChars="0" w:right="0" w:firstLine="0" w:firstLineChars="0"/>
              <w:textAlignment w:val="auto"/>
              <w:rPr>
                <w:rFonts w:hint="default" w:ascii="Times New Roman" w:hAnsi="Times New Roman" w:cs="Times New Roman"/>
                <w:b/>
                <w:bCs/>
                <w:color w:val="auto"/>
              </w:rPr>
            </w:pPr>
            <w:r>
              <w:rPr>
                <w:rFonts w:hint="default" w:ascii="Times New Roman" w:hAnsi="Times New Roman" w:cs="Times New Roman"/>
                <w:b/>
                <w:bCs/>
                <w:color w:val="auto"/>
                <w:lang w:val="en-US" w:eastAsia="zh-CN"/>
              </w:rPr>
              <w:t>3.2</w:t>
            </w:r>
            <w:r>
              <w:rPr>
                <w:rFonts w:hint="default" w:ascii="Times New Roman" w:hAnsi="Times New Roman" w:cs="Times New Roman"/>
                <w:b/>
                <w:bCs/>
                <w:color w:val="auto"/>
              </w:rPr>
              <w:t>生态环境现状调查</w:t>
            </w:r>
          </w:p>
          <w:p w14:paraId="5C975D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leftChars="0" w:right="0" w:firstLine="0" w:firstLineChars="0"/>
              <w:textAlignment w:val="auto"/>
              <w:rPr>
                <w:rFonts w:hint="default" w:ascii="Times New Roman" w:hAnsi="Times New Roman" w:cs="Times New Roman"/>
                <w:color w:val="auto"/>
              </w:rPr>
            </w:pPr>
            <w:r>
              <w:rPr>
                <w:rFonts w:hint="default" w:ascii="Times New Roman" w:hAnsi="Times New Roman" w:cs="Times New Roman"/>
                <w:b/>
                <w:bCs/>
                <w:color w:val="auto"/>
                <w:lang w:val="en-US" w:eastAsia="zh-CN"/>
              </w:rPr>
              <w:t>3.2.1</w:t>
            </w:r>
            <w:r>
              <w:rPr>
                <w:rFonts w:hint="default" w:ascii="Times New Roman" w:hAnsi="Times New Roman" w:cs="Times New Roman"/>
                <w:b/>
                <w:bCs/>
                <w:color w:val="auto"/>
              </w:rPr>
              <w:t>生态功能区划</w:t>
            </w:r>
          </w:p>
          <w:p w14:paraId="69E108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eastAsia" w:ascii="宋体" w:hAnsi="宋体" w:cs="Times New Roman"/>
                <w:color w:val="auto"/>
                <w:lang w:val="en-US" w:eastAsia="zh-CN"/>
              </w:rPr>
            </w:pPr>
            <w:r>
              <w:rPr>
                <w:rFonts w:hint="default" w:ascii="Times New Roman" w:hAnsi="Times New Roman" w:cs="Times New Roman"/>
                <w:color w:val="auto"/>
              </w:rPr>
              <w:t>根据《新疆生态功能区划》，本项目评价区域属于</w:t>
            </w:r>
            <w:r>
              <w:rPr>
                <w:rFonts w:hint="default" w:ascii="Times New Roman" w:hAnsi="Times New Roman" w:cs="Times New Roman"/>
                <w:color w:val="auto"/>
                <w:lang w:val="en-US" w:eastAsia="zh-CN"/>
              </w:rPr>
              <w:t>Ш天山山地温性草原、森林生态区—Ш</w:t>
            </w:r>
            <w:r>
              <w:rPr>
                <w:rFonts w:hint="eastAsia" w:ascii="Times New Roman" w:hAnsi="Times New Roman" w:cs="Times New Roman"/>
                <w:color w:val="auto"/>
                <w:lang w:val="en-US" w:eastAsia="zh-CN"/>
              </w:rPr>
              <w:t>3</w:t>
            </w:r>
            <w:r>
              <w:rPr>
                <w:rFonts w:hint="default" w:ascii="Times New Roman" w:hAnsi="Times New Roman" w:cs="Times New Roman"/>
                <w:color w:val="auto"/>
                <w:lang w:val="en-US" w:eastAsia="zh-CN"/>
              </w:rPr>
              <w:t>天山南坡草原牧业、绿洲农业生态亚区</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.托木尔峰和天山南坡中段冰雪水源及生物多样性保护生态功能区</w:t>
            </w:r>
            <w:r>
              <w:rPr>
                <w:rFonts w:hint="eastAsia" w:ascii="Times New Roman" w:hAnsi="Times New Roman" w:cs="Times New Roman"/>
                <w:color w:val="auto"/>
                <w:lang w:eastAsia="zh-CN"/>
              </w:rPr>
              <w:t>，</w:t>
            </w:r>
            <w:r>
              <w:rPr>
                <w:rFonts w:hint="default" w:ascii="Times New Roman" w:hAnsi="Times New Roman" w:cs="Times New Roman"/>
                <w:color w:val="auto"/>
              </w:rPr>
              <w:t>具体见表</w:t>
            </w:r>
            <w:r>
              <w:rPr>
                <w:rFonts w:hint="default" w:ascii="Times New Roman" w:hAnsi="Times New Roman" w:cs="Times New Roman"/>
                <w:color w:val="auto"/>
                <w:lang w:val="en-US" w:eastAsia="zh-CN"/>
              </w:rPr>
              <w:t>3.2-1</w:t>
            </w:r>
            <w:r>
              <w:rPr>
                <w:rFonts w:hint="default" w:ascii="Times New Roman" w:hAnsi="Times New Roman" w:cs="Times New Roman"/>
                <w:color w:val="auto"/>
              </w:rPr>
              <w:t>。</w:t>
            </w:r>
          </w:p>
          <w:p w14:paraId="10DCDB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cs="Times New Roman"/>
                <w:color w:val="auto"/>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3.2-1</w:t>
            </w:r>
            <w:r>
              <w:rPr>
                <w:rFonts w:hint="default" w:ascii="Times New Roman" w:hAnsi="Times New Roman" w:cs="Times New Roman"/>
                <w:b/>
                <w:bCs/>
                <w:color w:val="auto"/>
                <w:sz w:val="21"/>
                <w:szCs w:val="21"/>
              </w:rPr>
              <w:t xml:space="preserve"> </w:t>
            </w:r>
            <w:r>
              <w:rPr>
                <w:rFonts w:hint="default"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 xml:space="preserve"> 生态功能区划及主要环境问题和保护目标</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157"/>
              <w:gridCol w:w="1149"/>
              <w:gridCol w:w="1165"/>
              <w:gridCol w:w="1266"/>
              <w:gridCol w:w="905"/>
              <w:gridCol w:w="1018"/>
            </w:tblGrid>
            <w:tr w14:paraId="7C65F0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813" w:type="pct"/>
                  <w:tcBorders>
                    <w:tl2br w:val="nil"/>
                    <w:tr2bl w:val="nil"/>
                  </w:tcBorders>
                  <w:noWrap w:val="0"/>
                  <w:vAlign w:val="center"/>
                </w:tcPr>
                <w:p w14:paraId="4A700A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生态功能区名称</w:t>
                  </w:r>
                </w:p>
              </w:tc>
              <w:tc>
                <w:tcPr>
                  <w:tcW w:w="727" w:type="pct"/>
                  <w:tcBorders>
                    <w:tl2br w:val="nil"/>
                    <w:tr2bl w:val="nil"/>
                  </w:tcBorders>
                  <w:noWrap w:val="0"/>
                  <w:vAlign w:val="center"/>
                </w:tcPr>
                <w:p w14:paraId="03A537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主要生态服务功能</w:t>
                  </w:r>
                </w:p>
              </w:tc>
              <w:tc>
                <w:tcPr>
                  <w:tcW w:w="722" w:type="pct"/>
                  <w:tcBorders>
                    <w:tl2br w:val="nil"/>
                    <w:tr2bl w:val="nil"/>
                  </w:tcBorders>
                  <w:noWrap w:val="0"/>
                  <w:vAlign w:val="center"/>
                </w:tcPr>
                <w:p w14:paraId="007E3E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主要生态环境问题</w:t>
                  </w:r>
                </w:p>
              </w:tc>
              <w:tc>
                <w:tcPr>
                  <w:tcW w:w="732" w:type="pct"/>
                  <w:tcBorders>
                    <w:tl2br w:val="nil"/>
                    <w:tr2bl w:val="nil"/>
                  </w:tcBorders>
                  <w:noWrap w:val="0"/>
                  <w:vAlign w:val="center"/>
                </w:tcPr>
                <w:p w14:paraId="715578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生态敏感因子敏感程度</w:t>
                  </w:r>
                </w:p>
              </w:tc>
              <w:tc>
                <w:tcPr>
                  <w:tcW w:w="795" w:type="pct"/>
                  <w:tcBorders>
                    <w:tl2br w:val="nil"/>
                    <w:tr2bl w:val="nil"/>
                  </w:tcBorders>
                  <w:noWrap w:val="0"/>
                  <w:vAlign w:val="center"/>
                </w:tcPr>
                <w:p w14:paraId="38D30D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保护目标</w:t>
                  </w:r>
                </w:p>
              </w:tc>
              <w:tc>
                <w:tcPr>
                  <w:tcW w:w="568" w:type="pct"/>
                  <w:tcBorders>
                    <w:tl2br w:val="nil"/>
                    <w:tr2bl w:val="nil"/>
                  </w:tcBorders>
                  <w:noWrap w:val="0"/>
                  <w:vAlign w:val="center"/>
                </w:tcPr>
                <w:p w14:paraId="281875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保护措施</w:t>
                  </w:r>
                </w:p>
              </w:tc>
              <w:tc>
                <w:tcPr>
                  <w:tcW w:w="639" w:type="pct"/>
                  <w:tcBorders>
                    <w:tl2br w:val="nil"/>
                    <w:tr2bl w:val="nil"/>
                  </w:tcBorders>
                  <w:noWrap w:val="0"/>
                  <w:vAlign w:val="center"/>
                </w:tcPr>
                <w:p w14:paraId="093F8C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发展方向</w:t>
                  </w:r>
                </w:p>
              </w:tc>
            </w:tr>
            <w:tr w14:paraId="142E62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6" w:hRule="atLeast"/>
                <w:jc w:val="center"/>
              </w:trPr>
              <w:tc>
                <w:tcPr>
                  <w:tcW w:w="813" w:type="pct"/>
                  <w:tcBorders>
                    <w:tl2br w:val="nil"/>
                    <w:tr2bl w:val="nil"/>
                  </w:tcBorders>
                  <w:noWrap w:val="0"/>
                  <w:vAlign w:val="center"/>
                </w:tcPr>
                <w:p w14:paraId="6E8E83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42.托木尔峰和天山南坡中段冰雪水源及生物多样性保护生态功能区</w:t>
                  </w:r>
                </w:p>
              </w:tc>
              <w:tc>
                <w:tcPr>
                  <w:tcW w:w="727" w:type="pct"/>
                  <w:tcBorders>
                    <w:tl2br w:val="nil"/>
                    <w:tr2bl w:val="nil"/>
                  </w:tcBorders>
                  <w:noWrap w:val="0"/>
                  <w:vAlign w:val="center"/>
                </w:tcPr>
                <w:p w14:paraId="7C97FA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水源补给、生物多样性维护、土壤保持</w:t>
                  </w:r>
                </w:p>
              </w:tc>
              <w:tc>
                <w:tcPr>
                  <w:tcW w:w="722" w:type="pct"/>
                  <w:tcBorders>
                    <w:tl2br w:val="nil"/>
                    <w:tr2bl w:val="nil"/>
                  </w:tcBorders>
                  <w:noWrap w:val="0"/>
                  <w:vAlign w:val="center"/>
                </w:tcPr>
                <w:p w14:paraId="63A5F5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水土流失、野生动物减少、土壤侵蚀、森林破坏</w:t>
                  </w:r>
                </w:p>
              </w:tc>
              <w:tc>
                <w:tcPr>
                  <w:tcW w:w="732" w:type="pct"/>
                  <w:tcBorders>
                    <w:tl2br w:val="nil"/>
                    <w:tr2bl w:val="nil"/>
                  </w:tcBorders>
                  <w:noWrap w:val="0"/>
                  <w:vAlign w:val="center"/>
                </w:tcPr>
                <w:p w14:paraId="24C830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生物多样性和生境极度敏感，土壤侵蚀轻度敏感、不敏感，土地沙漠化、土壤盐渍化不敏感。</w:t>
                  </w:r>
                </w:p>
              </w:tc>
              <w:tc>
                <w:tcPr>
                  <w:tcW w:w="795" w:type="pct"/>
                  <w:tcBorders>
                    <w:tl2br w:val="nil"/>
                    <w:tr2bl w:val="nil"/>
                  </w:tcBorders>
                  <w:noWrap w:val="0"/>
                  <w:vAlign w:val="center"/>
                </w:tcPr>
                <w:p w14:paraId="2A61AA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保护托木尔峰自然景观、保护高山冰川、保护野生动物、保护森林和草原</w:t>
                  </w:r>
                </w:p>
              </w:tc>
              <w:tc>
                <w:tcPr>
                  <w:tcW w:w="568" w:type="pct"/>
                  <w:tcBorders>
                    <w:tl2br w:val="nil"/>
                    <w:tr2bl w:val="nil"/>
                  </w:tcBorders>
                  <w:noWrap w:val="0"/>
                  <w:vAlign w:val="center"/>
                </w:tcPr>
                <w:p w14:paraId="765A55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草地减牧、森林禁伐、禁猎、加强保护区管理</w:t>
                  </w:r>
                </w:p>
              </w:tc>
              <w:tc>
                <w:tcPr>
                  <w:tcW w:w="639" w:type="pct"/>
                  <w:tcBorders>
                    <w:tl2br w:val="nil"/>
                    <w:tr2bl w:val="nil"/>
                  </w:tcBorders>
                  <w:noWrap w:val="0"/>
                  <w:vAlign w:val="center"/>
                </w:tcPr>
                <w:p w14:paraId="54267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合理利用天然草地，维护自然景观和生物多样性</w:t>
                  </w:r>
                </w:p>
              </w:tc>
            </w:tr>
          </w:tbl>
          <w:p w14:paraId="2D782F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leftChars="0" w:right="0" w:firstLine="480" w:firstLineChars="200"/>
              <w:jc w:val="left"/>
              <w:textAlignment w:val="auto"/>
              <w:rPr>
                <w:rFonts w:hint="eastAsia" w:ascii="Times New Roman" w:hAnsi="Times New Roman" w:eastAsia="宋体" w:cs="Times New Roman"/>
                <w:b/>
                <w:bCs/>
                <w:color w:val="auto"/>
                <w:lang w:val="en-US" w:eastAsia="zh-CN"/>
              </w:rPr>
            </w:pPr>
            <w:r>
              <w:rPr>
                <w:rFonts w:hint="default" w:ascii="Times New Roman" w:hAnsi="Times New Roman" w:cs="Times New Roman"/>
                <w:color w:val="auto"/>
                <w:highlight w:val="none"/>
              </w:rPr>
              <w:t>本项目位于</w:t>
            </w:r>
            <w:r>
              <w:rPr>
                <w:rFonts w:hint="eastAsia" w:ascii="Times New Roman" w:hAnsi="Times New Roman" w:cs="Times New Roman"/>
                <w:color w:val="auto"/>
              </w:rPr>
              <w:t>新疆维吾尔自治区巴音郭楞蒙古自治州</w:t>
            </w:r>
            <w:r>
              <w:rPr>
                <w:rFonts w:hint="eastAsia" w:ascii="Times New Roman" w:hAnsi="Times New Roman" w:cs="Times New Roman"/>
                <w:color w:val="auto"/>
                <w:lang w:val="en-US" w:eastAsia="zh-CN"/>
              </w:rPr>
              <w:t>和静县克尔古提乡</w:t>
            </w:r>
            <w:r>
              <w:rPr>
                <w:rFonts w:hint="eastAsia" w:cs="Times New Roman"/>
                <w:color w:val="auto"/>
                <w:lang w:val="en-US" w:eastAsia="zh-CN"/>
              </w:rPr>
              <w:t>，</w:t>
            </w:r>
            <w:r>
              <w:rPr>
                <w:rFonts w:hint="eastAsia" w:ascii="Times New Roman" w:hAnsi="Times New Roman" w:cs="Times New Roman"/>
                <w:color w:val="auto"/>
                <w:lang w:val="en-US" w:eastAsia="zh-CN"/>
              </w:rPr>
              <w:t>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eastAsia" w:ascii="Times New Roman" w:hAnsi="Times New Roman" w:cs="Times New Roman"/>
                <w:color w:val="auto"/>
                <w:highlight w:val="none"/>
                <w:lang w:val="en-US" w:eastAsia="zh-CN"/>
              </w:rPr>
              <w:t>。本项目植被以耐旱草本为主，呈现土壤贫瘠、地表裸露度高的特征：植物群落以旱生、沙生植物为主，群落结构单一；动物种群以小型荒漠特有种为主（如沙蜥、跳鼠），无国家级重点保护物种。项目用地类型为其他草地，周边以低覆盖度耐旱植被（草甸、针茅）为主，项目直接影响限于项目占地范围内的生态环境。项目在严格落实修复措施、长期维护的前提下，项目生态影响可控。</w:t>
            </w:r>
          </w:p>
          <w:p w14:paraId="75B335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leftChars="0" w:right="0" w:firstLine="0" w:firstLineChars="0"/>
              <w:jc w:val="left"/>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b/>
                <w:bCs/>
                <w:color w:val="auto"/>
                <w:lang w:val="en-US" w:eastAsia="zh-CN"/>
              </w:rPr>
              <w:t>3.2.2</w:t>
            </w:r>
            <w:r>
              <w:rPr>
                <w:rFonts w:hint="eastAsia" w:ascii="Times New Roman" w:hAnsi="Times New Roman" w:eastAsia="宋体" w:cs="Times New Roman"/>
                <w:b/>
                <w:bCs/>
                <w:color w:val="auto"/>
              </w:rPr>
              <w:t>土</w:t>
            </w:r>
            <w:r>
              <w:rPr>
                <w:rFonts w:hint="eastAsia" w:ascii="Times New Roman" w:hAnsi="Times New Roman" w:eastAsia="宋体" w:cs="Times New Roman"/>
                <w:b/>
                <w:bCs/>
                <w:color w:val="auto"/>
                <w:lang w:val="en-US" w:eastAsia="zh-CN"/>
              </w:rPr>
              <w:t>地利用现状调查</w:t>
            </w:r>
          </w:p>
          <w:p w14:paraId="5322E2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（一）</w:t>
            </w:r>
            <w:r>
              <w:rPr>
                <w:rFonts w:hint="default" w:ascii="Times New Roman" w:hAnsi="Times New Roman" w:eastAsia="宋体" w:cs="Times New Roman"/>
                <w:color w:val="auto"/>
              </w:rPr>
              <w:t>项目区</w:t>
            </w:r>
            <w:r>
              <w:rPr>
                <w:rFonts w:hint="eastAsia" w:ascii="Times New Roman" w:hAnsi="Times New Roman" w:eastAsia="宋体" w:cs="Times New Roman"/>
                <w:color w:val="auto"/>
                <w:lang w:val="en-US" w:eastAsia="zh-CN"/>
              </w:rPr>
              <w:t>土壤</w:t>
            </w:r>
            <w:r>
              <w:rPr>
                <w:rFonts w:hint="default" w:ascii="Times New Roman" w:hAnsi="Times New Roman" w:eastAsia="宋体" w:cs="Times New Roman"/>
                <w:color w:val="auto"/>
              </w:rPr>
              <w:t>类型</w:t>
            </w:r>
          </w:p>
          <w:p w14:paraId="740FEB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根据收集的资料及现状调查，项目区</w:t>
            </w:r>
            <w:r>
              <w:rPr>
                <w:rFonts w:hint="default" w:ascii="Times New Roman" w:hAnsi="Times New Roman" w:eastAsia="宋体" w:cs="Times New Roman"/>
                <w:color w:val="auto"/>
              </w:rPr>
              <w:t>位于</w:t>
            </w:r>
            <w:r>
              <w:rPr>
                <w:rFonts w:hint="eastAsia" w:ascii="Times New Roman" w:hAnsi="Times New Roman" w:eastAsia="宋体" w:cs="Times New Roman"/>
                <w:color w:val="auto"/>
                <w:lang w:val="en-US" w:eastAsia="zh-CN"/>
              </w:rPr>
              <w:t>天山山脉南麓，区域内土壤类型较简单，以亚高山草原土为主，包含了少量的高山草甸土、栗钙土，见附图4。</w:t>
            </w:r>
          </w:p>
          <w:p w14:paraId="696643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亚高山草原土的特征表现为：在土壤剖面上部有腐殖质积累，土壤有机质含量大多为5%左右，表层可见簇状草根层。腐殖质层厚10～20厘米，粒状结构，颜色为灰棕色或棕色，土壤常有受土壤动物扰动的痕迹。在剖面的中下部，即30或50厘米的深度上，可见比较明显的钙积层。碳酸钙的淀积形态主要是斑点状或脉纹状，含量可达</w:t>
            </w:r>
            <w:r>
              <w:rPr>
                <w:rFonts w:hint="eastAsia" w:cs="Times New Roman"/>
                <w:color w:val="auto"/>
                <w:lang w:val="en-US" w:eastAsia="zh-CN"/>
              </w:rPr>
              <w:t>10%～35%</w:t>
            </w:r>
            <w:r>
              <w:rPr>
                <w:rFonts w:hint="eastAsia" w:ascii="Times New Roman" w:hAnsi="Times New Roman" w:eastAsia="宋体" w:cs="Times New Roman"/>
                <w:color w:val="auto"/>
                <w:lang w:val="en-US" w:eastAsia="zh-CN"/>
              </w:rPr>
              <w:t>。土壤呈微碱性至碱性反应，pH值7.5～8.5。土壤质地较轻，大部分含有石砾。土壤发育程度差，土层浅薄。</w:t>
            </w:r>
          </w:p>
          <w:p w14:paraId="672FCE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高山草甸土的特征表现为：有明显的腐殖质积聚，腐殖质层厚8～20厘米，呈灰棕至黑褐色粒状－扁核状结构。有机质含量10%～20%，以富啡酸为主，胡敏酸/富⾥酸</w:t>
            </w:r>
            <w:r>
              <w:rPr>
                <w:rFonts w:hint="eastAsia" w:cs="Times New Roman"/>
                <w:color w:val="auto"/>
                <w:lang w:val="en-US" w:eastAsia="zh-CN"/>
              </w:rPr>
              <w:t>（</w:t>
            </w:r>
            <w:r>
              <w:rPr>
                <w:rFonts w:hint="eastAsia" w:ascii="Times New Roman" w:hAnsi="Times New Roman" w:eastAsia="宋体" w:cs="Times New Roman"/>
                <w:color w:val="auto"/>
                <w:lang w:val="en-US" w:eastAsia="zh-CN"/>
              </w:rPr>
              <w:t>H/F</w:t>
            </w:r>
            <w:r>
              <w:rPr>
                <w:rFonts w:hint="eastAsia" w:cs="Times New Roman"/>
                <w:color w:val="auto"/>
                <w:lang w:val="en-US" w:eastAsia="zh-CN"/>
              </w:rPr>
              <w:t>）</w:t>
            </w:r>
            <w:r>
              <w:rPr>
                <w:rFonts w:hint="eastAsia" w:ascii="Times New Roman" w:hAnsi="Times New Roman" w:eastAsia="宋体" w:cs="Times New Roman"/>
                <w:color w:val="auto"/>
                <w:lang w:val="en-US" w:eastAsia="zh-CN"/>
              </w:rPr>
              <w:t>比值为0.6～1.0。土壤复合胶体属高有机质低复合度型，以松结合态腐殖质为主。腐殖质层向下颜色迅速变淡。在亚高山带，土壤层次间过渡迅速而明显；而在高山（真高山）带则不甚明显，且AB层出现一个暗色层。剖面中水溶性盐类和碳酸钙已淋失，仅部分高山草甸土剖面的中、下部有碳酸钙积聚。粘粒和三二氧化物在剖面中变化不大，粘土矿物以水云母为主，并有少量高岭石和蛭石。呈酸性至中性反应。土层厚度仅40～50厘米，有明显的融冻微形态特征，底层有季节冻层或多年冻土。</w:t>
            </w:r>
          </w:p>
          <w:p w14:paraId="156A25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栗钙土的特征表现为：是温带半干旱大陆气候和干草原植被下经历腐殖质积累过程和钙积过程所形成的具有明显栗色腐殖质层和碳酸钙淀积层的钙积土壤。</w:t>
            </w:r>
          </w:p>
          <w:p w14:paraId="3CD6E1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（二）</w:t>
            </w:r>
            <w:r>
              <w:rPr>
                <w:rFonts w:hint="default" w:ascii="Times New Roman" w:hAnsi="Times New Roman" w:eastAsia="宋体" w:cs="Times New Roman"/>
                <w:color w:val="auto"/>
              </w:rPr>
              <w:t>项目区植被类型</w:t>
            </w:r>
          </w:p>
          <w:p w14:paraId="504F2D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cs="Times New Roman"/>
                <w:color w:val="auto"/>
                <w:lang w:val="en-US" w:eastAsia="zh-CN"/>
              </w:rPr>
            </w:pPr>
            <w:r>
              <w:rPr>
                <w:rFonts w:hint="default" w:ascii="Times New Roman" w:hAnsi="Times New Roman" w:eastAsia="宋体" w:cs="Times New Roman"/>
                <w:color w:val="auto"/>
                <w:lang w:val="en-US" w:eastAsia="zh-CN"/>
              </w:rPr>
              <w:t>本项目位于西天山中部，属中高山区，总体北高南低，地形陡峭，海拔3480</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4500米，相对高差500</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1000米，山体上升强烈，属高山深切地貌。山体坡度为30~65°，局部地段65~80°，最低侵蚀基准面相对高差约200</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812</w:t>
            </w:r>
            <w:r>
              <w:rPr>
                <w:rFonts w:hint="eastAsia" w:ascii="Times New Roman" w:hAnsi="Times New Roman" w:eastAsia="宋体" w:cs="Times New Roman"/>
                <w:color w:val="auto"/>
                <w:lang w:val="en-US" w:eastAsia="zh-CN"/>
              </w:rPr>
              <w:t>米</w:t>
            </w:r>
            <w:r>
              <w:rPr>
                <w:rFonts w:hint="default" w:ascii="Times New Roman" w:hAnsi="Times New Roman" w:eastAsia="宋体" w:cs="Times New Roman"/>
                <w:color w:val="auto"/>
                <w:lang w:val="en-US" w:eastAsia="zh-CN"/>
              </w:rPr>
              <w:t>。山体坡脚地带坡度15~30°，矿区大部分地区基岩裸露，风化强烈岩石破碎，多为陡峭险峻的碎石坡地形及灰岩陡坎地形，部分地区覆盖少量第四系堆积物。勘查区属温暖带大陆性干旱季风气候，冬寒夏炎，夏季有少量降雨，降雨量多集中在7-8月份，6-9月份平均气温为17-20度，多西北风，蒸发量大于降水量，冰冻期为10月至翌年4月。</w:t>
            </w:r>
          </w:p>
          <w:p w14:paraId="75D397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根据查询相关资料及现场勘查和植被类型分布调查可知，项目所在区域目前主要植被类型为针茅等，用地现状多为</w:t>
            </w:r>
            <w:r>
              <w:rPr>
                <w:rFonts w:hint="eastAsia" w:ascii="Times New Roman" w:hAnsi="Times New Roman" w:cs="Times New Roman"/>
                <w:color w:val="auto"/>
                <w:highlight w:val="none"/>
                <w:lang w:val="en-US" w:eastAsia="zh-CN"/>
              </w:rPr>
              <w:t>其他草地</w:t>
            </w:r>
            <w:r>
              <w:rPr>
                <w:rFonts w:hint="default" w:ascii="Times New Roman" w:hAnsi="Times New Roman" w:cs="Times New Roman"/>
                <w:color w:val="auto"/>
                <w:highlight w:val="none"/>
                <w:lang w:val="en-US" w:eastAsia="zh-CN"/>
              </w:rPr>
              <w:t>。</w:t>
            </w:r>
          </w:p>
          <w:p w14:paraId="662380EE">
            <w:pPr>
              <w:pStyle w:val="1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kern w:val="0"/>
                <w:sz w:val="21"/>
                <w:szCs w:val="20"/>
                <w:lang w:val="en-US" w:eastAsia="zh-CN" w:bidi="ar-SA"/>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3.2-</w:t>
            </w:r>
            <w:r>
              <w:rPr>
                <w:rFonts w:hint="eastAsia" w:ascii="Times New Roman" w:hAnsi="Times New Roman" w:cs="Times New Roman"/>
                <w:b/>
                <w:bCs/>
                <w:color w:val="auto"/>
                <w:sz w:val="21"/>
                <w:szCs w:val="21"/>
                <w:lang w:val="en-US" w:eastAsia="zh-CN"/>
              </w:rPr>
              <w:t>2</w:t>
            </w:r>
            <w:r>
              <w:rPr>
                <w:rFonts w:hint="eastAsia" w:ascii="Times New Roman" w:hAnsi="Times New Roman" w:eastAsia="宋体" w:cs="Times New Roman"/>
                <w:b/>
                <w:color w:val="auto"/>
                <w:kern w:val="0"/>
                <w:sz w:val="21"/>
                <w:szCs w:val="20"/>
                <w:lang w:val="en-US" w:eastAsia="zh-CN" w:bidi="ar-SA"/>
              </w:rPr>
              <w:t xml:space="preserve">    项目区及周边区域植物名录</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458"/>
              <w:gridCol w:w="812"/>
              <w:gridCol w:w="1421"/>
              <w:gridCol w:w="4700"/>
              <w:gridCol w:w="563"/>
            </w:tblGrid>
            <w:tr w14:paraId="6A0D1B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458" w:type="dxa"/>
                  <w:tcBorders>
                    <w:bottom w:val="single" w:color="auto" w:sz="8" w:space="0"/>
                    <w:right w:val="single" w:color="auto" w:sz="8" w:space="0"/>
                  </w:tcBorders>
                  <w:noWrap w:val="0"/>
                  <w:vAlign w:val="center"/>
                </w:tcPr>
                <w:p w14:paraId="444A36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科</w:t>
                  </w:r>
                </w:p>
              </w:tc>
              <w:tc>
                <w:tcPr>
                  <w:tcW w:w="812" w:type="dxa"/>
                  <w:tcBorders>
                    <w:left w:val="single" w:color="auto" w:sz="8" w:space="0"/>
                    <w:bottom w:val="single" w:color="auto" w:sz="8" w:space="0"/>
                    <w:right w:val="single" w:color="auto" w:sz="8" w:space="0"/>
                  </w:tcBorders>
                  <w:noWrap w:val="0"/>
                  <w:vAlign w:val="center"/>
                </w:tcPr>
                <w:p w14:paraId="1D3152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种名</w:t>
                  </w:r>
                </w:p>
              </w:tc>
              <w:tc>
                <w:tcPr>
                  <w:tcW w:w="1421" w:type="dxa"/>
                  <w:tcBorders>
                    <w:left w:val="single" w:color="auto" w:sz="8" w:space="0"/>
                    <w:bottom w:val="single" w:color="auto" w:sz="8" w:space="0"/>
                    <w:right w:val="single" w:color="auto" w:sz="8" w:space="0"/>
                  </w:tcBorders>
                  <w:noWrap w:val="0"/>
                  <w:vAlign w:val="center"/>
                </w:tcPr>
                <w:p w14:paraId="0D81E2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拉丁名</w:t>
                  </w:r>
                </w:p>
              </w:tc>
              <w:tc>
                <w:tcPr>
                  <w:tcW w:w="4700" w:type="dxa"/>
                  <w:tcBorders>
                    <w:left w:val="single" w:color="auto" w:sz="8" w:space="0"/>
                    <w:bottom w:val="single" w:color="auto" w:sz="8" w:space="0"/>
                    <w:right w:val="single" w:color="auto" w:sz="8" w:space="0"/>
                  </w:tcBorders>
                  <w:noWrap w:val="0"/>
                  <w:vAlign w:val="center"/>
                </w:tcPr>
                <w:p w14:paraId="7C218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形态特征及生活习性</w:t>
                  </w:r>
                </w:p>
              </w:tc>
              <w:tc>
                <w:tcPr>
                  <w:tcW w:w="563" w:type="dxa"/>
                  <w:tcBorders>
                    <w:left w:val="single" w:color="auto" w:sz="8" w:space="0"/>
                    <w:bottom w:val="single" w:color="auto" w:sz="8" w:space="0"/>
                  </w:tcBorders>
                  <w:noWrap w:val="0"/>
                  <w:vAlign w:val="center"/>
                </w:tcPr>
                <w:p w14:paraId="66C1C3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保护级别</w:t>
                  </w:r>
                </w:p>
              </w:tc>
            </w:tr>
            <w:tr w14:paraId="022C6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58" w:type="dxa"/>
                  <w:tcBorders>
                    <w:top w:val="single" w:color="auto" w:sz="8" w:space="0"/>
                    <w:bottom w:val="single" w:color="auto" w:sz="8" w:space="0"/>
                    <w:right w:val="single" w:color="auto" w:sz="8" w:space="0"/>
                  </w:tcBorders>
                  <w:noWrap w:val="0"/>
                  <w:vAlign w:val="center"/>
                </w:tcPr>
                <w:p w14:paraId="4E69680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禾本科</w:t>
                  </w:r>
                </w:p>
              </w:tc>
              <w:tc>
                <w:tcPr>
                  <w:tcW w:w="812" w:type="dxa"/>
                  <w:tcBorders>
                    <w:top w:val="single" w:color="auto" w:sz="8" w:space="0"/>
                    <w:left w:val="single" w:color="auto" w:sz="8" w:space="0"/>
                    <w:bottom w:val="single" w:color="auto" w:sz="8" w:space="0"/>
                    <w:right w:val="single" w:color="auto" w:sz="8" w:space="0"/>
                  </w:tcBorders>
                  <w:noWrap w:val="0"/>
                  <w:vAlign w:val="center"/>
                </w:tcPr>
                <w:p w14:paraId="1C10E9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针茅</w:t>
                  </w:r>
                </w:p>
              </w:tc>
              <w:tc>
                <w:tcPr>
                  <w:tcW w:w="1421" w:type="dxa"/>
                  <w:tcBorders>
                    <w:top w:val="single" w:color="auto" w:sz="8" w:space="0"/>
                    <w:left w:val="single" w:color="auto" w:sz="8" w:space="0"/>
                    <w:bottom w:val="single" w:color="auto" w:sz="8" w:space="0"/>
                    <w:right w:val="single" w:color="auto" w:sz="8" w:space="0"/>
                  </w:tcBorders>
                  <w:noWrap w:val="0"/>
                  <w:vAlign w:val="center"/>
                </w:tcPr>
                <w:p w14:paraId="1AB96D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Stipa capillata L.</w:t>
                  </w:r>
                </w:p>
              </w:tc>
              <w:tc>
                <w:tcPr>
                  <w:tcW w:w="4700" w:type="dxa"/>
                  <w:tcBorders>
                    <w:top w:val="single" w:color="auto" w:sz="8" w:space="0"/>
                    <w:left w:val="single" w:color="auto" w:sz="8" w:space="0"/>
                    <w:bottom w:val="single" w:color="auto" w:sz="8" w:space="0"/>
                    <w:right w:val="single" w:color="auto" w:sz="8" w:space="0"/>
                  </w:tcBorders>
                  <w:noWrap w:val="0"/>
                  <w:vAlign w:val="center"/>
                </w:tcPr>
                <w:p w14:paraId="0F9661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圆锥花序狭窄，几全部含藏于叶鞘内；小穗草黄或灰白色；颖尖披针形，先端细丝状，长2.5-3.5厘米，第一颖具1-3脉，第二颖具3-5脉（间脉多不明显）；外稃长1-1.2厘米，背部具有排列成纵行的短毛，芒两回膝曲，光亮，边缘微粗糙，第一芒柱扭转，长4-5厘米，第二芒柱稍扭转，长约1.5厘米，芒针卷曲，长约10厘米，基盘尖锐，长2-3毫米，具淡黄色柔毛；内稃具2脉。颖果纺锤形，长6-7毫米，腹沟甚浅。花果期6-8月</w:t>
                  </w:r>
                </w:p>
              </w:tc>
              <w:tc>
                <w:tcPr>
                  <w:tcW w:w="563" w:type="dxa"/>
                  <w:tcBorders>
                    <w:top w:val="single" w:color="auto" w:sz="8" w:space="0"/>
                    <w:left w:val="single" w:color="auto" w:sz="8" w:space="0"/>
                    <w:bottom w:val="single" w:color="auto" w:sz="8" w:space="0"/>
                  </w:tcBorders>
                  <w:noWrap w:val="0"/>
                  <w:vAlign w:val="center"/>
                </w:tcPr>
                <w:p w14:paraId="320468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tc>
            </w:tr>
          </w:tbl>
          <w:p w14:paraId="41A1CC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项目区用地不涉及国家及地方公益林。本区域的气候土壤特殊性，决定了本区域植被种类贫乏、群落稀疏、植被类型简单，基本无利用价值，原始的自然植被较少。区内植被不发育，以牧草为主，海拔在3000米以上基本没有植被，矿区土地利用未涉及耕地、基本农田保护区。项目所在区域评价范围内零星分布着耐旱植被，项目区主要分布针茅等无高大乔木分布。根据《国家重点保护野生植物名录》</w:t>
            </w:r>
            <w:r>
              <w:rPr>
                <w:rFonts w:hint="eastAsia" w:ascii="Times New Roman" w:hAnsi="Times New Roman" w:cs="Times New Roman"/>
              </w:rPr>
              <w:t>（2021年9月7日国家林业和草原局农业农村部公告（2021年第15号）</w:t>
            </w:r>
            <w:r>
              <w:rPr>
                <w:rFonts w:hint="eastAsia" w:ascii="Times New Roman" w:hAnsi="Times New Roman" w:cs="Times New Roman"/>
                <w:lang w:eastAsia="zh-CN"/>
              </w:rPr>
              <w:t>，</w:t>
            </w:r>
            <w:r>
              <w:rPr>
                <w:rFonts w:hint="eastAsia" w:ascii="Times New Roman" w:hAnsi="Times New Roman" w:cs="Times New Roman"/>
              </w:rPr>
              <w:t>国务院2021年8月7日批准）</w:t>
            </w:r>
            <w:r>
              <w:rPr>
                <w:rFonts w:hint="default" w:ascii="Times New Roman" w:hAnsi="Times New Roman" w:cs="Times New Roman"/>
                <w:color w:val="auto"/>
                <w:lang w:val="en-US" w:eastAsia="zh-CN"/>
              </w:rPr>
              <w:t>和《新疆维吾尔自治区重点保护野生植物名录》</w:t>
            </w:r>
            <w:r>
              <w:rPr>
                <w:rFonts w:hint="eastAsia" w:ascii="Times New Roman" w:hAnsi="Times New Roman" w:cs="Times New Roman"/>
                <w:color w:val="auto"/>
                <w:lang w:val="en-US" w:eastAsia="zh-CN"/>
              </w:rPr>
              <w:t>（新政发〔2023〕63号，新疆维吾尔自治区人民政府，2023年12月29日）</w:t>
            </w:r>
            <w:r>
              <w:rPr>
                <w:rFonts w:hint="default" w:ascii="Times New Roman" w:hAnsi="Times New Roman" w:cs="Times New Roman"/>
                <w:color w:val="auto"/>
                <w:lang w:val="en-US" w:eastAsia="zh-CN"/>
              </w:rPr>
              <w:t>等名录，项目区内未发现重点保护植物。</w:t>
            </w:r>
          </w:p>
          <w:p w14:paraId="06CCCECD">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Times New Roman" w:hAnsi="Times New Roman" w:eastAsia="宋体" w:cs="Times New Roman"/>
                <w:b/>
                <w:bCs/>
                <w:color w:val="auto"/>
                <w:kern w:val="0"/>
                <w:lang w:val="en-US" w:eastAsia="zh-CN"/>
              </w:rPr>
            </w:pPr>
            <w:r>
              <w:rPr>
                <w:rFonts w:hint="eastAsia" w:ascii="Times New Roman" w:hAnsi="Times New Roman" w:eastAsia="宋体" w:cs="Times New Roman"/>
                <w:b/>
                <w:bCs/>
                <w:color w:val="auto"/>
                <w:kern w:val="0"/>
                <w:lang w:val="en-US" w:eastAsia="zh-CN"/>
              </w:rPr>
              <w:t>3.2.3野生动物现状调查</w:t>
            </w:r>
          </w:p>
          <w:p w14:paraId="0CF0DA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eastAsia" w:ascii="Times New Roman" w:hAnsi="Times New Roman" w:cs="Times New Roman"/>
                <w:color w:val="auto"/>
              </w:rPr>
            </w:pPr>
            <w:r>
              <w:rPr>
                <w:rFonts w:hint="eastAsia" w:ascii="Times New Roman" w:hAnsi="Times New Roman" w:cs="Times New Roman"/>
                <w:color w:val="auto"/>
              </w:rPr>
              <w:t>项目区及周边地区由于人类活动，野生动物稀少，场址所在区域植物种类较少，动物食源少，因此该区动物组成较为单一，野生动物的分布种类和种群数量也较少，基本无大型哺乳动物活动，仅有一些常见的鸟类和鼠类，无国家及自治区级保护野生动物。根据《国家重点保护野生动物名录</w:t>
            </w:r>
            <w:r>
              <w:rPr>
                <w:rFonts w:hint="eastAsia" w:ascii="Times New Roman" w:hAnsi="Times New Roman" w:cs="Times New Roman"/>
                <w:color w:val="auto"/>
                <w:lang w:eastAsia="zh-CN"/>
              </w:rPr>
              <w:t>（</w:t>
            </w:r>
            <w:r>
              <w:rPr>
                <w:rFonts w:hint="eastAsia" w:ascii="Times New Roman" w:hAnsi="Times New Roman" w:cs="Times New Roman"/>
                <w:color w:val="auto"/>
              </w:rPr>
              <w:t>2021年版</w:t>
            </w:r>
            <w:r>
              <w:rPr>
                <w:rFonts w:hint="eastAsia" w:ascii="Times New Roman" w:hAnsi="Times New Roman" w:cs="Times New Roman"/>
                <w:color w:val="auto"/>
                <w:lang w:eastAsia="zh-CN"/>
              </w:rPr>
              <w:t>）</w:t>
            </w:r>
            <w:r>
              <w:rPr>
                <w:rFonts w:hint="eastAsia" w:ascii="Times New Roman" w:hAnsi="Times New Roman" w:cs="Times New Roman"/>
                <w:color w:val="auto"/>
              </w:rPr>
              <w:t>》《新疆国家重点保护野生动物名录》</w:t>
            </w:r>
            <w:r>
              <w:rPr>
                <w:rFonts w:hint="eastAsia" w:ascii="Times New Roman" w:hAnsi="Times New Roman" w:cs="Times New Roman"/>
                <w:color w:val="auto"/>
                <w:lang w:eastAsia="zh-CN"/>
              </w:rPr>
              <w:t>（2021年7月28日</w:t>
            </w:r>
            <w:r>
              <w:rPr>
                <w:rFonts w:hint="eastAsia" w:ascii="Times New Roman" w:hAnsi="Times New Roman" w:cs="Times New Roman"/>
                <w:color w:val="auto"/>
              </w:rPr>
              <w:t>发布</w:t>
            </w:r>
            <w:r>
              <w:rPr>
                <w:rFonts w:hint="eastAsia" w:ascii="Times New Roman" w:hAnsi="Times New Roman" w:cs="Times New Roman"/>
                <w:color w:val="auto"/>
                <w:lang w:eastAsia="zh-CN"/>
              </w:rPr>
              <w:t>）</w:t>
            </w:r>
            <w:r>
              <w:rPr>
                <w:rFonts w:hint="eastAsia" w:ascii="Times New Roman" w:hAnsi="Times New Roman" w:cs="Times New Roman"/>
                <w:color w:val="auto"/>
              </w:rPr>
              <w:t>，评价区没有保护野生动物分布。</w:t>
            </w:r>
          </w:p>
          <w:p w14:paraId="44AEADE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leftChars="0" w:right="0" w:firstLine="0" w:firstLineChars="0"/>
              <w:jc w:val="both"/>
              <w:textAlignment w:val="auto"/>
              <w:outlineLvl w:val="9"/>
              <w:rPr>
                <w:rFonts w:hint="eastAsia" w:ascii="Times New Roman" w:hAnsi="Times New Roman" w:cs="Times New Roman"/>
                <w:b/>
                <w:color w:val="auto"/>
                <w:kern w:val="0"/>
              </w:rPr>
            </w:pPr>
            <w:r>
              <w:rPr>
                <w:rFonts w:hint="eastAsia" w:ascii="Times New Roman" w:hAnsi="Times New Roman" w:cs="Times New Roman"/>
                <w:b/>
                <w:color w:val="auto"/>
                <w:kern w:val="0"/>
                <w:lang w:val="en-US" w:eastAsia="zh-CN"/>
              </w:rPr>
              <w:t>3.3</w:t>
            </w:r>
            <w:r>
              <w:rPr>
                <w:rFonts w:hint="eastAsia" w:ascii="Times New Roman" w:hAnsi="Times New Roman" w:cs="Times New Roman"/>
                <w:b/>
                <w:color w:val="auto"/>
                <w:kern w:val="0"/>
              </w:rPr>
              <w:t>环境空气质量评价</w:t>
            </w:r>
          </w:p>
          <w:p w14:paraId="08DB6735">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w:t>
            </w:r>
            <w:r>
              <w:rPr>
                <w:rFonts w:hint="default" w:ascii="Times New Roman" w:hAnsi="Times New Roman" w:cs="Times New Roman"/>
                <w:color w:val="auto"/>
                <w:lang w:val="en-US" w:eastAsia="zh-CN"/>
              </w:rPr>
              <w:t>数据来源</w:t>
            </w:r>
          </w:p>
          <w:p w14:paraId="5FE76A87">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根据《环境影响评价技术导则大气环境》</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HJ2.2-2018</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，大气常规因子可直接采用国家或地方生态环境主管部门公开发布的评价基准年环境质量公告或环境质量报告中的数据或结论。故本次采用和静县空气自动监测站2024年数据进行评价。</w:t>
            </w:r>
          </w:p>
          <w:p w14:paraId="708815FE">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监测项目</w:t>
            </w:r>
          </w:p>
          <w:p w14:paraId="646AB8E7">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SO</w:t>
            </w:r>
            <w:r>
              <w:rPr>
                <w:rFonts w:hint="default" w:ascii="Times New Roman" w:hAnsi="Times New Roman" w:cs="Times New Roman"/>
                <w:color w:val="auto"/>
                <w:vertAlign w:val="subscript"/>
                <w:lang w:val="en-US" w:eastAsia="zh-CN"/>
              </w:rPr>
              <w:t>2</w:t>
            </w:r>
            <w:r>
              <w:rPr>
                <w:rFonts w:hint="default" w:ascii="Times New Roman" w:hAnsi="Times New Roman" w:cs="Times New Roman"/>
                <w:color w:val="auto"/>
                <w:lang w:val="en-US" w:eastAsia="zh-CN"/>
              </w:rPr>
              <w:t>、NO</w:t>
            </w:r>
            <w:r>
              <w:rPr>
                <w:rFonts w:hint="default" w:ascii="Times New Roman" w:hAnsi="Times New Roman" w:cs="Times New Roman"/>
                <w:color w:val="auto"/>
                <w:vertAlign w:val="subscript"/>
                <w:lang w:val="en-US" w:eastAsia="zh-CN"/>
              </w:rPr>
              <w:t>2</w:t>
            </w:r>
            <w:r>
              <w:rPr>
                <w:rFonts w:hint="default" w:ascii="Times New Roman" w:hAnsi="Times New Roman" w:cs="Times New Roman"/>
                <w:color w:val="auto"/>
                <w:lang w:val="en-US" w:eastAsia="zh-CN"/>
              </w:rPr>
              <w:t>、PM</w:t>
            </w:r>
            <w:r>
              <w:rPr>
                <w:rFonts w:hint="default" w:ascii="Times New Roman" w:hAnsi="Times New Roman" w:cs="Times New Roman"/>
                <w:color w:val="auto"/>
                <w:vertAlign w:val="subscript"/>
                <w:lang w:val="en-US" w:eastAsia="zh-CN"/>
              </w:rPr>
              <w:t>10、</w:t>
            </w:r>
            <w:r>
              <w:rPr>
                <w:rFonts w:hint="default" w:ascii="Times New Roman" w:hAnsi="Times New Roman" w:cs="Times New Roman"/>
                <w:color w:val="auto"/>
                <w:lang w:val="en-US" w:eastAsia="zh-CN"/>
              </w:rPr>
              <w:t>PM</w:t>
            </w:r>
            <w:r>
              <w:rPr>
                <w:rFonts w:hint="default" w:ascii="Times New Roman" w:hAnsi="Times New Roman" w:cs="Times New Roman"/>
                <w:color w:val="auto"/>
                <w:vertAlign w:val="subscript"/>
                <w:lang w:val="en-US" w:eastAsia="zh-CN"/>
              </w:rPr>
              <w:t>2.5</w:t>
            </w:r>
            <w:r>
              <w:rPr>
                <w:rFonts w:hint="default" w:ascii="Times New Roman" w:hAnsi="Times New Roman" w:cs="Times New Roman"/>
                <w:color w:val="auto"/>
                <w:lang w:val="en-US" w:eastAsia="zh-CN"/>
              </w:rPr>
              <w:t>、CO、O</w:t>
            </w:r>
            <w:r>
              <w:rPr>
                <w:rFonts w:hint="default" w:ascii="Times New Roman" w:hAnsi="Times New Roman" w:cs="Times New Roman"/>
                <w:color w:val="auto"/>
                <w:vertAlign w:val="subscript"/>
                <w:lang w:val="en-US" w:eastAsia="zh-CN"/>
              </w:rPr>
              <w:t>3</w:t>
            </w:r>
            <w:r>
              <w:rPr>
                <w:rFonts w:hint="default" w:ascii="Times New Roman" w:hAnsi="Times New Roman" w:cs="Times New Roman"/>
                <w:color w:val="auto"/>
                <w:lang w:val="en-US" w:eastAsia="zh-CN"/>
              </w:rPr>
              <w:t>。</w:t>
            </w:r>
          </w:p>
          <w:p w14:paraId="75D54CD8">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val="en-US" w:eastAsia="zh-CN"/>
              </w:rPr>
              <w:t>评价标准</w:t>
            </w:r>
          </w:p>
          <w:p w14:paraId="737B49AA">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本次环境空气质量现状评价采用《环境空气质量标准》（GB3095-2026）表1中过渡阶段二级标准。</w:t>
            </w:r>
          </w:p>
          <w:p w14:paraId="6B540085">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w:t>
            </w:r>
            <w:r>
              <w:rPr>
                <w:rFonts w:hint="default" w:ascii="Times New Roman" w:hAnsi="Times New Roman" w:cs="Times New Roman"/>
                <w:color w:val="auto"/>
                <w:lang w:val="en-US" w:eastAsia="zh-CN"/>
              </w:rPr>
              <w:t>评价方法采用最大质量浓度占相应标准质量浓度限值的百分比，超标率对监测结果进行评价分析。计算公式如下</w:t>
            </w:r>
            <w:r>
              <w:rPr>
                <w:rFonts w:hint="eastAsia" w:ascii="Times New Roman" w:hAnsi="Times New Roman" w:cs="Times New Roman"/>
                <w:color w:val="auto"/>
                <w:lang w:val="en-US" w:eastAsia="zh-CN"/>
              </w:rPr>
              <w:t>：</w:t>
            </w:r>
          </w:p>
          <w:p w14:paraId="52D6E8FB">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P</w:t>
            </w:r>
            <w:r>
              <w:rPr>
                <w:rFonts w:hint="default" w:ascii="Times New Roman" w:hAnsi="Times New Roman" w:cs="Times New Roman"/>
                <w:color w:val="auto"/>
                <w:vertAlign w:val="subscript"/>
                <w:lang w:val="en-US" w:eastAsia="zh-CN"/>
              </w:rPr>
              <w:t>i</w:t>
            </w:r>
            <w:r>
              <w:rPr>
                <w:rFonts w:hint="default" w:ascii="Times New Roman" w:hAnsi="Times New Roman" w:cs="Times New Roman"/>
                <w:color w:val="auto"/>
                <w:lang w:val="en-US" w:eastAsia="zh-CN"/>
              </w:rPr>
              <w:t>=C</w:t>
            </w:r>
            <w:r>
              <w:rPr>
                <w:rFonts w:hint="default" w:ascii="Times New Roman" w:hAnsi="Times New Roman" w:cs="Times New Roman"/>
                <w:color w:val="auto"/>
                <w:vertAlign w:val="subscript"/>
                <w:lang w:val="en-US" w:eastAsia="zh-CN"/>
              </w:rPr>
              <w:t>i</w:t>
            </w:r>
            <w:r>
              <w:rPr>
                <w:rFonts w:hint="default" w:ascii="Times New Roman" w:hAnsi="Times New Roman" w:cs="Times New Roman"/>
                <w:color w:val="auto"/>
                <w:lang w:val="en-US" w:eastAsia="zh-CN"/>
              </w:rPr>
              <w:t>/C</w:t>
            </w:r>
            <w:r>
              <w:rPr>
                <w:rFonts w:hint="default" w:ascii="Times New Roman" w:hAnsi="Times New Roman" w:cs="Times New Roman"/>
                <w:color w:val="auto"/>
                <w:vertAlign w:val="subscript"/>
                <w:lang w:val="en-US" w:eastAsia="zh-CN"/>
              </w:rPr>
              <w:t>oi</w:t>
            </w:r>
            <w:r>
              <w:rPr>
                <w:rFonts w:hint="default" w:ascii="Times New Roman" w:hAnsi="Times New Roman" w:cs="Times New Roman"/>
                <w:color w:val="auto"/>
                <w:lang w:val="en-US" w:eastAsia="zh-CN"/>
              </w:rPr>
              <w:t>x100%</w:t>
            </w:r>
          </w:p>
          <w:p w14:paraId="0F8CE83A">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式中</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P</w:t>
            </w:r>
            <w:r>
              <w:rPr>
                <w:rFonts w:hint="default" w:ascii="Times New Roman" w:hAnsi="Times New Roman" w:cs="Times New Roman"/>
                <w:color w:val="auto"/>
                <w:vertAlign w:val="subscript"/>
                <w:lang w:val="en-US" w:eastAsia="zh-CN"/>
              </w:rPr>
              <w:t>i</w:t>
            </w:r>
            <w:r>
              <w:rPr>
                <w:rFonts w:hint="default" w:ascii="Times New Roman" w:hAnsi="Times New Roman" w:cs="Times New Roman"/>
                <w:color w:val="auto"/>
                <w:lang w:val="en-US" w:eastAsia="zh-CN"/>
              </w:rPr>
              <w:t>一某种污染物的最大地面质量浓度占标率，%</w:t>
            </w:r>
            <w:r>
              <w:rPr>
                <w:rFonts w:hint="eastAsia" w:ascii="Times New Roman" w:hAnsi="Times New Roman" w:cs="Times New Roman"/>
                <w:color w:val="auto"/>
                <w:lang w:val="en-US" w:eastAsia="zh-CN"/>
              </w:rPr>
              <w:t>；</w:t>
            </w:r>
          </w:p>
          <w:p w14:paraId="5E7C0F12">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C</w:t>
            </w:r>
            <w:r>
              <w:rPr>
                <w:rFonts w:hint="default" w:ascii="Times New Roman" w:hAnsi="Times New Roman" w:cs="Times New Roman"/>
                <w:color w:val="auto"/>
                <w:vertAlign w:val="subscript"/>
                <w:lang w:val="en-US" w:eastAsia="zh-CN"/>
              </w:rPr>
              <w:t>i</w:t>
            </w:r>
            <w:r>
              <w:rPr>
                <w:rFonts w:hint="default" w:ascii="Times New Roman" w:hAnsi="Times New Roman" w:cs="Times New Roman"/>
                <w:color w:val="auto"/>
                <w:lang w:val="en-US" w:eastAsia="zh-CN"/>
              </w:rPr>
              <w:t>一某种污染物的实际监测浓度，mg/m</w:t>
            </w:r>
            <w:r>
              <w:rPr>
                <w:rFonts w:hint="default" w:ascii="Times New Roman" w:hAnsi="Times New Roman" w:cs="Times New Roman"/>
                <w:color w:val="auto"/>
                <w:vertAlign w:val="superscript"/>
                <w:lang w:val="en-US" w:eastAsia="zh-CN"/>
              </w:rPr>
              <w:t>3</w:t>
            </w:r>
            <w:r>
              <w:rPr>
                <w:rFonts w:hint="eastAsia" w:ascii="Times New Roman" w:hAnsi="Times New Roman" w:cs="Times New Roman"/>
                <w:color w:val="auto"/>
                <w:lang w:val="en-US" w:eastAsia="zh-CN"/>
              </w:rPr>
              <w:t>；</w:t>
            </w:r>
          </w:p>
          <w:p w14:paraId="72A5EC25">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C</w:t>
            </w:r>
            <w:r>
              <w:rPr>
                <w:rFonts w:hint="default" w:ascii="Times New Roman" w:hAnsi="Times New Roman" w:cs="Times New Roman"/>
                <w:color w:val="auto"/>
                <w:vertAlign w:val="subscript"/>
                <w:lang w:val="en-US" w:eastAsia="zh-CN"/>
              </w:rPr>
              <w:t>oi</w:t>
            </w:r>
            <w:r>
              <w:rPr>
                <w:rFonts w:hint="default" w:ascii="Times New Roman" w:hAnsi="Times New Roman" w:cs="Times New Roman"/>
                <w:color w:val="auto"/>
                <w:lang w:val="en-US" w:eastAsia="zh-CN"/>
              </w:rPr>
              <w:t>一某种污染物的环境空气标准浓度，mg/m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w:t>
            </w:r>
          </w:p>
          <w:p w14:paraId="131D6444">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（5）</w:t>
            </w:r>
            <w:r>
              <w:rPr>
                <w:rFonts w:hint="default" w:ascii="Times New Roman" w:hAnsi="Times New Roman" w:cs="Times New Roman"/>
                <w:color w:val="auto"/>
                <w:lang w:val="en-US" w:eastAsia="zh-CN"/>
              </w:rPr>
              <w:t>区域达标性分析</w:t>
            </w:r>
          </w:p>
          <w:p w14:paraId="33E547B1">
            <w:pPr>
              <w:pStyle w:val="81"/>
              <w:keepNext w:val="0"/>
              <w:keepLines w:val="0"/>
              <w:pageBreakBefore w:val="0"/>
              <w:suppressLineNumbers w:val="0"/>
              <w:kinsoku/>
              <w:wordWrap/>
              <w:overflowPunct/>
              <w:topLinePunct w:val="0"/>
              <w:autoSpaceDE/>
              <w:autoSpaceDN/>
              <w:bidi w:val="0"/>
              <w:spacing w:line="500" w:lineRule="exact"/>
              <w:ind w:left="0" w:right="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本次评价选用距离项目最近的和静县环境自动监测站2024年的全年监测统计数据，作为本项目环境空气现状评价基本污染物SO</w:t>
            </w:r>
            <w:r>
              <w:rPr>
                <w:rFonts w:hint="default" w:ascii="Times New Roman" w:hAnsi="Times New Roman" w:cs="Times New Roman"/>
                <w:color w:val="auto"/>
                <w:vertAlign w:val="subscript"/>
                <w:lang w:val="en-US" w:eastAsia="zh-CN"/>
              </w:rPr>
              <w:t>2</w:t>
            </w:r>
            <w:r>
              <w:rPr>
                <w:rFonts w:hint="default" w:ascii="Times New Roman" w:hAnsi="Times New Roman" w:cs="Times New Roman"/>
                <w:color w:val="auto"/>
                <w:lang w:val="en-US" w:eastAsia="zh-CN"/>
              </w:rPr>
              <w:t>、NO</w:t>
            </w:r>
            <w:r>
              <w:rPr>
                <w:rFonts w:hint="default" w:ascii="Times New Roman" w:hAnsi="Times New Roman" w:cs="Times New Roman"/>
                <w:color w:val="auto"/>
                <w:vertAlign w:val="subscript"/>
                <w:lang w:val="en-US" w:eastAsia="zh-CN"/>
              </w:rPr>
              <w:t>2</w:t>
            </w:r>
            <w:r>
              <w:rPr>
                <w:rFonts w:hint="default" w:ascii="Times New Roman" w:hAnsi="Times New Roman" w:cs="Times New Roman"/>
                <w:color w:val="auto"/>
                <w:lang w:val="en-US" w:eastAsia="zh-CN"/>
              </w:rPr>
              <w:t>、PM</w:t>
            </w:r>
            <w:r>
              <w:rPr>
                <w:rFonts w:hint="eastAsia" w:ascii="Times New Roman" w:hAnsi="Times New Roman" w:cs="Times New Roman"/>
                <w:color w:val="auto"/>
                <w:vertAlign w:val="subscript"/>
                <w:lang w:val="en-US" w:eastAsia="zh-CN"/>
              </w:rPr>
              <w:t>10</w:t>
            </w:r>
            <w:r>
              <w:rPr>
                <w:rFonts w:hint="default" w:ascii="Times New Roman" w:hAnsi="Times New Roman" w:cs="Times New Roman"/>
                <w:color w:val="auto"/>
                <w:lang w:val="en-US" w:eastAsia="zh-CN"/>
              </w:rPr>
              <w:t>、PM</w:t>
            </w:r>
            <w:r>
              <w:rPr>
                <w:rFonts w:hint="default" w:ascii="Times New Roman" w:hAnsi="Times New Roman" w:cs="Times New Roman"/>
                <w:color w:val="auto"/>
                <w:vertAlign w:val="subscript"/>
                <w:lang w:val="en-US" w:eastAsia="zh-CN"/>
              </w:rPr>
              <w:t>2.5</w:t>
            </w:r>
            <w:r>
              <w:rPr>
                <w:rFonts w:hint="default" w:ascii="Times New Roman" w:hAnsi="Times New Roman" w:cs="Times New Roman"/>
                <w:color w:val="auto"/>
                <w:lang w:val="en-US" w:eastAsia="zh-CN"/>
              </w:rPr>
              <w:t>、CO和O</w:t>
            </w:r>
            <w:r>
              <w:rPr>
                <w:rFonts w:hint="default" w:ascii="Times New Roman" w:hAnsi="Times New Roman" w:cs="Times New Roman"/>
                <w:color w:val="auto"/>
                <w:vertAlign w:val="subscript"/>
                <w:lang w:val="en-US" w:eastAsia="zh-CN"/>
              </w:rPr>
              <w:t>3</w:t>
            </w:r>
            <w:r>
              <w:rPr>
                <w:rFonts w:hint="default" w:ascii="Times New Roman" w:hAnsi="Times New Roman" w:cs="Times New Roman"/>
                <w:color w:val="auto"/>
                <w:lang w:val="en-US" w:eastAsia="zh-CN"/>
              </w:rPr>
              <w:t>的数据来源可行，所引用数据可以满足环境空气质量评价有效性要求。基本污染物环境空气质量现状表详</w:t>
            </w:r>
            <w:r>
              <w:rPr>
                <w:rFonts w:hint="eastAsia" w:cs="Times New Roman"/>
                <w:color w:val="auto"/>
                <w:lang w:val="en-US" w:eastAsia="zh-CN"/>
              </w:rPr>
              <w:t>见下</w:t>
            </w:r>
            <w:r>
              <w:rPr>
                <w:rFonts w:hint="default" w:ascii="Times New Roman" w:hAnsi="Times New Roman" w:cs="Times New Roman"/>
                <w:color w:val="auto"/>
                <w:lang w:val="en-US" w:eastAsia="zh-CN"/>
              </w:rPr>
              <w:t>表</w:t>
            </w:r>
          </w:p>
          <w:p w14:paraId="6EAE67DE">
            <w:pPr>
              <w:pStyle w:val="58"/>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textAlignment w:val="auto"/>
              <w:rPr>
                <w:rFonts w:hint="default" w:ascii="Times New Roman" w:hAnsi="Times New Roman" w:cs="Times New Roman"/>
                <w:color w:val="auto"/>
              </w:rPr>
            </w:pPr>
            <w:r>
              <w:rPr>
                <w:rFonts w:hint="default" w:ascii="Times New Roman" w:hAnsi="Times New Roman" w:cs="Times New Roman"/>
                <w:color w:val="auto"/>
              </w:rPr>
              <w:t>表3</w:t>
            </w:r>
            <w:r>
              <w:rPr>
                <w:rFonts w:hint="default" w:ascii="Times New Roman" w:hAnsi="Times New Roman" w:cs="Times New Roman"/>
                <w:color w:val="auto"/>
                <w:lang w:val="en-US" w:eastAsia="zh-CN"/>
              </w:rPr>
              <w:t>.5</w:t>
            </w:r>
            <w:r>
              <w:rPr>
                <w:rFonts w:hint="default" w:ascii="Times New Roman" w:hAnsi="Times New Roman" w:cs="Times New Roman"/>
                <w:color w:val="auto"/>
              </w:rPr>
              <w:t>-</w:t>
            </w:r>
            <w:r>
              <w:rPr>
                <w:rFonts w:hint="default" w:ascii="Times New Roman" w:hAnsi="Times New Roman" w:cs="Times New Roman"/>
                <w:color w:val="auto"/>
                <w:lang w:val="en-US" w:eastAsia="zh-CN"/>
              </w:rPr>
              <w:t>1</w:t>
            </w:r>
            <w:r>
              <w:rPr>
                <w:rFonts w:hint="default" w:ascii="Times New Roman" w:hAnsi="Times New Roman" w:cs="Times New Roman"/>
                <w:color w:val="auto"/>
              </w:rPr>
              <w:t>区域空气质量现状评价表单位（μg/m³）</w:t>
            </w:r>
          </w:p>
          <w:tbl>
            <w:tblPr>
              <w:tblStyle w:val="75"/>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994"/>
              <w:gridCol w:w="3010"/>
              <w:gridCol w:w="938"/>
              <w:gridCol w:w="1033"/>
              <w:gridCol w:w="1025"/>
              <w:gridCol w:w="954"/>
            </w:tblGrid>
            <w:tr w14:paraId="7E9E64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tcBorders>
                    <w:tl2br w:val="nil"/>
                    <w:tr2bl w:val="nil"/>
                  </w:tcBorders>
                  <w:noWrap w:val="0"/>
                  <w:vAlign w:val="center"/>
                </w:tcPr>
                <w:p w14:paraId="6BAE55A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1897" w:type="pct"/>
                  <w:tcBorders>
                    <w:tl2br w:val="nil"/>
                    <w:tr2bl w:val="nil"/>
                  </w:tcBorders>
                  <w:noWrap w:val="0"/>
                  <w:vAlign w:val="center"/>
                </w:tcPr>
                <w:p w14:paraId="3D49C22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年评价指标</w:t>
                  </w:r>
                </w:p>
              </w:tc>
              <w:tc>
                <w:tcPr>
                  <w:tcW w:w="585" w:type="pct"/>
                  <w:tcBorders>
                    <w:tl2br w:val="nil"/>
                    <w:tr2bl w:val="nil"/>
                  </w:tcBorders>
                  <w:noWrap w:val="0"/>
                  <w:vAlign w:val="center"/>
                </w:tcPr>
                <w:p w14:paraId="50F313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现状浓度</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eastAsia="zh-CN"/>
                    </w:rPr>
                    <w:t>）</w:t>
                  </w:r>
                </w:p>
              </w:tc>
              <w:tc>
                <w:tcPr>
                  <w:tcW w:w="655" w:type="pct"/>
                  <w:tcBorders>
                    <w:tl2br w:val="nil"/>
                    <w:tr2bl w:val="nil"/>
                  </w:tcBorders>
                  <w:noWrap w:val="0"/>
                  <w:vAlign w:val="center"/>
                </w:tcPr>
                <w:p w14:paraId="7C51FD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标准限值</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eastAsia="zh-CN"/>
                    </w:rPr>
                    <w:t>）</w:t>
                  </w:r>
                </w:p>
              </w:tc>
              <w:tc>
                <w:tcPr>
                  <w:tcW w:w="650" w:type="pct"/>
                  <w:tcBorders>
                    <w:tl2br w:val="nil"/>
                    <w:tr2bl w:val="nil"/>
                  </w:tcBorders>
                  <w:noWrap w:val="0"/>
                  <w:vAlign w:val="center"/>
                </w:tcPr>
                <w:p w14:paraId="327DCF5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w:t>
                  </w:r>
                </w:p>
              </w:tc>
              <w:tc>
                <w:tcPr>
                  <w:tcW w:w="605" w:type="pct"/>
                  <w:tcBorders>
                    <w:tl2br w:val="nil"/>
                    <w:tr2bl w:val="nil"/>
                  </w:tcBorders>
                  <w:noWrap w:val="0"/>
                  <w:vAlign w:val="center"/>
                </w:tcPr>
                <w:p w14:paraId="3C1018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达标情况</w:t>
                  </w:r>
                </w:p>
              </w:tc>
            </w:tr>
            <w:tr w14:paraId="28EFCB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17EA83E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897" w:type="pct"/>
                  <w:tcBorders>
                    <w:tl2br w:val="nil"/>
                    <w:tr2bl w:val="nil"/>
                  </w:tcBorders>
                  <w:noWrap w:val="0"/>
                  <w:vAlign w:val="center"/>
                </w:tcPr>
                <w:p w14:paraId="64AF7D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585" w:type="pct"/>
                  <w:tcBorders>
                    <w:tl2br w:val="nil"/>
                    <w:tr2bl w:val="nil"/>
                  </w:tcBorders>
                  <w:noWrap w:val="0"/>
                  <w:vAlign w:val="center"/>
                </w:tcPr>
                <w:p w14:paraId="284649B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655" w:type="pct"/>
                  <w:tcBorders>
                    <w:tl2br w:val="nil"/>
                    <w:tr2bl w:val="nil"/>
                  </w:tcBorders>
                  <w:noWrap w:val="0"/>
                  <w:vAlign w:val="center"/>
                </w:tcPr>
                <w:p w14:paraId="51E673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650" w:type="pct"/>
                  <w:tcBorders>
                    <w:tl2br w:val="nil"/>
                    <w:tr2bl w:val="nil"/>
                  </w:tcBorders>
                  <w:noWrap w:val="0"/>
                  <w:vAlign w:val="center"/>
                </w:tcPr>
                <w:p w14:paraId="7418B343">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8.3</w:t>
                  </w:r>
                </w:p>
              </w:tc>
              <w:tc>
                <w:tcPr>
                  <w:tcW w:w="605" w:type="pct"/>
                  <w:tcBorders>
                    <w:tl2br w:val="nil"/>
                    <w:tr2bl w:val="nil"/>
                  </w:tcBorders>
                  <w:noWrap w:val="0"/>
                  <w:vAlign w:val="center"/>
                </w:tcPr>
                <w:p w14:paraId="7745FFD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740FFB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7E4CC81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1897" w:type="pct"/>
                  <w:tcBorders>
                    <w:tl2br w:val="nil"/>
                    <w:tr2bl w:val="nil"/>
                  </w:tcBorders>
                  <w:noWrap w:val="0"/>
                  <w:vAlign w:val="center"/>
                </w:tcPr>
                <w:p w14:paraId="718FB0C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24h平均第98百分位数</w:t>
                  </w:r>
                </w:p>
              </w:tc>
              <w:tc>
                <w:tcPr>
                  <w:tcW w:w="585" w:type="pct"/>
                  <w:tcBorders>
                    <w:tl2br w:val="nil"/>
                    <w:tr2bl w:val="nil"/>
                  </w:tcBorders>
                  <w:noWrap w:val="0"/>
                  <w:vAlign w:val="center"/>
                </w:tcPr>
                <w:p w14:paraId="6A91A3F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655" w:type="pct"/>
                  <w:tcBorders>
                    <w:tl2br w:val="nil"/>
                    <w:tr2bl w:val="nil"/>
                  </w:tcBorders>
                  <w:noWrap w:val="0"/>
                  <w:vAlign w:val="center"/>
                </w:tcPr>
                <w:p w14:paraId="5E24859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w:t>
                  </w:r>
                </w:p>
              </w:tc>
              <w:tc>
                <w:tcPr>
                  <w:tcW w:w="650" w:type="pct"/>
                  <w:tcBorders>
                    <w:tl2br w:val="nil"/>
                    <w:tr2bl w:val="nil"/>
                  </w:tcBorders>
                  <w:noWrap w:val="0"/>
                  <w:vAlign w:val="center"/>
                </w:tcPr>
                <w:p w14:paraId="25183C14">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8</w:t>
                  </w:r>
                </w:p>
              </w:tc>
              <w:tc>
                <w:tcPr>
                  <w:tcW w:w="605" w:type="pct"/>
                  <w:tcBorders>
                    <w:tl2br w:val="nil"/>
                    <w:tr2bl w:val="nil"/>
                  </w:tcBorders>
                  <w:noWrap w:val="0"/>
                  <w:vAlign w:val="center"/>
                </w:tcPr>
                <w:p w14:paraId="4ED6A7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32D1A7E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02E56B3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1897" w:type="pct"/>
                  <w:tcBorders>
                    <w:tl2br w:val="nil"/>
                    <w:tr2bl w:val="nil"/>
                  </w:tcBorders>
                  <w:noWrap w:val="0"/>
                  <w:vAlign w:val="center"/>
                </w:tcPr>
                <w:p w14:paraId="793BB58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585" w:type="pct"/>
                  <w:tcBorders>
                    <w:tl2br w:val="nil"/>
                    <w:tr2bl w:val="nil"/>
                  </w:tcBorders>
                  <w:noWrap w:val="0"/>
                  <w:vAlign w:val="center"/>
                </w:tcPr>
                <w:p w14:paraId="2A7D18B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w:t>
                  </w:r>
                </w:p>
              </w:tc>
              <w:tc>
                <w:tcPr>
                  <w:tcW w:w="655" w:type="pct"/>
                  <w:tcBorders>
                    <w:tl2br w:val="nil"/>
                    <w:tr2bl w:val="nil"/>
                  </w:tcBorders>
                  <w:noWrap w:val="0"/>
                  <w:vAlign w:val="center"/>
                </w:tcPr>
                <w:p w14:paraId="00C96E2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c>
                <w:tcPr>
                  <w:tcW w:w="650" w:type="pct"/>
                  <w:tcBorders>
                    <w:tl2br w:val="nil"/>
                    <w:tr2bl w:val="nil"/>
                  </w:tcBorders>
                  <w:noWrap w:val="0"/>
                  <w:vAlign w:val="center"/>
                </w:tcPr>
                <w:p w14:paraId="26F87ADE">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48</w:t>
                  </w:r>
                </w:p>
              </w:tc>
              <w:tc>
                <w:tcPr>
                  <w:tcW w:w="605" w:type="pct"/>
                  <w:tcBorders>
                    <w:tl2br w:val="nil"/>
                    <w:tr2bl w:val="nil"/>
                  </w:tcBorders>
                  <w:noWrap w:val="0"/>
                  <w:vAlign w:val="center"/>
                </w:tcPr>
                <w:p w14:paraId="5F4185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05747E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2CEBC0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1897" w:type="pct"/>
                  <w:tcBorders>
                    <w:tl2br w:val="nil"/>
                    <w:tr2bl w:val="nil"/>
                  </w:tcBorders>
                  <w:noWrap w:val="0"/>
                  <w:vAlign w:val="center"/>
                </w:tcPr>
                <w:p w14:paraId="1DD241F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24h平均第98百分位数</w:t>
                  </w:r>
                </w:p>
              </w:tc>
              <w:tc>
                <w:tcPr>
                  <w:tcW w:w="585" w:type="pct"/>
                  <w:tcBorders>
                    <w:tl2br w:val="nil"/>
                    <w:tr2bl w:val="nil"/>
                  </w:tcBorders>
                  <w:noWrap w:val="0"/>
                  <w:vAlign w:val="center"/>
                </w:tcPr>
                <w:p w14:paraId="0A0A257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49</w:t>
                  </w:r>
                </w:p>
              </w:tc>
              <w:tc>
                <w:tcPr>
                  <w:tcW w:w="655" w:type="pct"/>
                  <w:tcBorders>
                    <w:tl2br w:val="nil"/>
                    <w:tr2bl w:val="nil"/>
                  </w:tcBorders>
                  <w:noWrap w:val="0"/>
                  <w:vAlign w:val="center"/>
                </w:tcPr>
                <w:p w14:paraId="126B72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650" w:type="pct"/>
                  <w:tcBorders>
                    <w:tl2br w:val="nil"/>
                    <w:tr2bl w:val="nil"/>
                  </w:tcBorders>
                  <w:noWrap w:val="0"/>
                  <w:vAlign w:val="center"/>
                </w:tcPr>
                <w:p w14:paraId="218EDC59">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61</w:t>
                  </w:r>
                </w:p>
              </w:tc>
              <w:tc>
                <w:tcPr>
                  <w:tcW w:w="605" w:type="pct"/>
                  <w:tcBorders>
                    <w:tl2br w:val="nil"/>
                    <w:tr2bl w:val="nil"/>
                  </w:tcBorders>
                  <w:noWrap w:val="0"/>
                  <w:vAlign w:val="center"/>
                </w:tcPr>
                <w:p w14:paraId="2D6C11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14:paraId="4E755D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tcBorders>
                    <w:tl2br w:val="nil"/>
                    <w:tr2bl w:val="nil"/>
                  </w:tcBorders>
                  <w:noWrap w:val="0"/>
                  <w:vAlign w:val="center"/>
                </w:tcPr>
                <w:p w14:paraId="61BBCB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CO</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mg/m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eastAsia="zh-CN"/>
                    </w:rPr>
                    <w:t>）</w:t>
                  </w:r>
                </w:p>
              </w:tc>
              <w:tc>
                <w:tcPr>
                  <w:tcW w:w="1897" w:type="pct"/>
                  <w:tcBorders>
                    <w:tl2br w:val="nil"/>
                    <w:tr2bl w:val="nil"/>
                  </w:tcBorders>
                  <w:noWrap w:val="0"/>
                  <w:vAlign w:val="center"/>
                </w:tcPr>
                <w:p w14:paraId="2E0601F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第95百分位数日平均浓度</w:t>
                  </w:r>
                </w:p>
              </w:tc>
              <w:tc>
                <w:tcPr>
                  <w:tcW w:w="585" w:type="pct"/>
                  <w:tcBorders>
                    <w:tl2br w:val="nil"/>
                    <w:tr2bl w:val="nil"/>
                  </w:tcBorders>
                  <w:noWrap w:val="0"/>
                  <w:vAlign w:val="center"/>
                </w:tcPr>
                <w:p w14:paraId="3A626FE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w:t>
                  </w:r>
                </w:p>
              </w:tc>
              <w:tc>
                <w:tcPr>
                  <w:tcW w:w="655" w:type="pct"/>
                  <w:tcBorders>
                    <w:tl2br w:val="nil"/>
                    <w:tr2bl w:val="nil"/>
                  </w:tcBorders>
                  <w:noWrap w:val="0"/>
                  <w:vAlign w:val="center"/>
                </w:tcPr>
                <w:p w14:paraId="48D4D7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650" w:type="pct"/>
                  <w:tcBorders>
                    <w:tl2br w:val="nil"/>
                    <w:tr2bl w:val="nil"/>
                  </w:tcBorders>
                  <w:noWrap w:val="0"/>
                  <w:vAlign w:val="center"/>
                </w:tcPr>
                <w:p w14:paraId="1D8F8066">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55</w:t>
                  </w:r>
                </w:p>
              </w:tc>
              <w:tc>
                <w:tcPr>
                  <w:tcW w:w="605" w:type="pct"/>
                  <w:tcBorders>
                    <w:tl2br w:val="nil"/>
                    <w:tr2bl w:val="nil"/>
                  </w:tcBorders>
                  <w:noWrap w:val="0"/>
                  <w:vAlign w:val="center"/>
                </w:tcPr>
                <w:p w14:paraId="3C7095F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75741D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tcBorders>
                    <w:tl2br w:val="nil"/>
                    <w:tr2bl w:val="nil"/>
                  </w:tcBorders>
                  <w:noWrap w:val="0"/>
                  <w:vAlign w:val="center"/>
                </w:tcPr>
                <w:p w14:paraId="4CFF13C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1897" w:type="pct"/>
                  <w:tcBorders>
                    <w:tl2br w:val="nil"/>
                    <w:tr2bl w:val="nil"/>
                  </w:tcBorders>
                  <w:noWrap w:val="0"/>
                  <w:vAlign w:val="center"/>
                </w:tcPr>
                <w:p w14:paraId="435562B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第90百分位数最大8h平均浓度</w:t>
                  </w:r>
                </w:p>
              </w:tc>
              <w:tc>
                <w:tcPr>
                  <w:tcW w:w="585" w:type="pct"/>
                  <w:tcBorders>
                    <w:tl2br w:val="nil"/>
                    <w:tr2bl w:val="nil"/>
                  </w:tcBorders>
                  <w:noWrap w:val="0"/>
                  <w:vAlign w:val="center"/>
                </w:tcPr>
                <w:p w14:paraId="3129E71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30</w:t>
                  </w:r>
                </w:p>
              </w:tc>
              <w:tc>
                <w:tcPr>
                  <w:tcW w:w="655" w:type="pct"/>
                  <w:tcBorders>
                    <w:tl2br w:val="nil"/>
                    <w:tr2bl w:val="nil"/>
                  </w:tcBorders>
                  <w:noWrap w:val="0"/>
                  <w:vAlign w:val="center"/>
                </w:tcPr>
                <w:p w14:paraId="520E1F9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160</w:t>
                  </w:r>
                </w:p>
              </w:tc>
              <w:tc>
                <w:tcPr>
                  <w:tcW w:w="650" w:type="pct"/>
                  <w:tcBorders>
                    <w:tl2br w:val="nil"/>
                    <w:tr2bl w:val="nil"/>
                  </w:tcBorders>
                  <w:noWrap w:val="0"/>
                  <w:vAlign w:val="center"/>
                </w:tcPr>
                <w:p w14:paraId="3A305620">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81</w:t>
                  </w:r>
                </w:p>
              </w:tc>
              <w:tc>
                <w:tcPr>
                  <w:tcW w:w="605" w:type="pct"/>
                  <w:tcBorders>
                    <w:tl2br w:val="nil"/>
                    <w:tr2bl w:val="nil"/>
                  </w:tcBorders>
                  <w:noWrap w:val="0"/>
                  <w:vAlign w:val="center"/>
                </w:tcPr>
                <w:p w14:paraId="3D2B06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64DB2C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273B05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1897" w:type="pct"/>
                  <w:tcBorders>
                    <w:tl2br w:val="nil"/>
                    <w:tr2bl w:val="nil"/>
                  </w:tcBorders>
                  <w:noWrap w:val="0"/>
                  <w:vAlign w:val="center"/>
                </w:tcPr>
                <w:p w14:paraId="599A2D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585" w:type="pct"/>
                  <w:tcBorders>
                    <w:tl2br w:val="nil"/>
                    <w:tr2bl w:val="nil"/>
                  </w:tcBorders>
                  <w:noWrap w:val="0"/>
                  <w:vAlign w:val="center"/>
                </w:tcPr>
                <w:p w14:paraId="34A9742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108</w:t>
                  </w:r>
                </w:p>
              </w:tc>
              <w:tc>
                <w:tcPr>
                  <w:tcW w:w="655" w:type="pct"/>
                  <w:tcBorders>
                    <w:tl2br w:val="nil"/>
                    <w:tr2bl w:val="nil"/>
                  </w:tcBorders>
                  <w:noWrap w:val="0"/>
                  <w:vAlign w:val="center"/>
                </w:tcPr>
                <w:p w14:paraId="4D1A15D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c>
                <w:tcPr>
                  <w:tcW w:w="650" w:type="pct"/>
                  <w:tcBorders>
                    <w:tl2br w:val="nil"/>
                    <w:tr2bl w:val="nil"/>
                  </w:tcBorders>
                  <w:noWrap w:val="0"/>
                  <w:vAlign w:val="center"/>
                </w:tcPr>
                <w:p w14:paraId="6D6464E0">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180</w:t>
                  </w:r>
                </w:p>
              </w:tc>
              <w:tc>
                <w:tcPr>
                  <w:tcW w:w="605" w:type="pct"/>
                  <w:tcBorders>
                    <w:tl2br w:val="nil"/>
                    <w:tr2bl w:val="nil"/>
                  </w:tcBorders>
                  <w:noWrap w:val="0"/>
                  <w:vAlign w:val="center"/>
                </w:tcPr>
                <w:p w14:paraId="6F6A158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rPr>
                    <w:t>达标</w:t>
                  </w:r>
                </w:p>
              </w:tc>
            </w:tr>
            <w:tr w14:paraId="32BC30B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0E8798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1897" w:type="pct"/>
                  <w:tcBorders>
                    <w:tl2br w:val="nil"/>
                    <w:tr2bl w:val="nil"/>
                  </w:tcBorders>
                  <w:noWrap w:val="0"/>
                  <w:vAlign w:val="center"/>
                </w:tcPr>
                <w:p w14:paraId="27A1A2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24h平均第9</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百分位数</w:t>
                  </w:r>
                </w:p>
              </w:tc>
              <w:tc>
                <w:tcPr>
                  <w:tcW w:w="585" w:type="pct"/>
                  <w:tcBorders>
                    <w:tl2br w:val="nil"/>
                    <w:tr2bl w:val="nil"/>
                  </w:tcBorders>
                  <w:noWrap w:val="0"/>
                  <w:vAlign w:val="center"/>
                </w:tcPr>
                <w:p w14:paraId="557D53A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318</w:t>
                  </w:r>
                </w:p>
              </w:tc>
              <w:tc>
                <w:tcPr>
                  <w:tcW w:w="655" w:type="pct"/>
                  <w:tcBorders>
                    <w:tl2br w:val="nil"/>
                    <w:tr2bl w:val="nil"/>
                  </w:tcBorders>
                  <w:noWrap w:val="0"/>
                  <w:vAlign w:val="center"/>
                </w:tcPr>
                <w:p w14:paraId="769AC2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120</w:t>
                  </w:r>
                </w:p>
              </w:tc>
              <w:tc>
                <w:tcPr>
                  <w:tcW w:w="650" w:type="pct"/>
                  <w:tcBorders>
                    <w:tl2br w:val="nil"/>
                    <w:tr2bl w:val="nil"/>
                  </w:tcBorders>
                  <w:noWrap w:val="0"/>
                  <w:vAlign w:val="center"/>
                </w:tcPr>
                <w:p w14:paraId="75D71BD5">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265</w:t>
                  </w:r>
                </w:p>
              </w:tc>
              <w:tc>
                <w:tcPr>
                  <w:tcW w:w="605" w:type="pct"/>
                  <w:tcBorders>
                    <w:tl2br w:val="nil"/>
                    <w:tr2bl w:val="nil"/>
                  </w:tcBorders>
                  <w:noWrap w:val="0"/>
                  <w:vAlign w:val="center"/>
                </w:tcPr>
                <w:p w14:paraId="431DFBD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rPr>
                    <w:t>达标</w:t>
                  </w:r>
                </w:p>
              </w:tc>
            </w:tr>
            <w:tr w14:paraId="5A912F7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restart"/>
                  <w:tcBorders>
                    <w:tl2br w:val="nil"/>
                    <w:tr2bl w:val="nil"/>
                  </w:tcBorders>
                  <w:noWrap w:val="0"/>
                  <w:vAlign w:val="center"/>
                </w:tcPr>
                <w:p w14:paraId="324C558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1897" w:type="pct"/>
                  <w:tcBorders>
                    <w:tl2br w:val="nil"/>
                    <w:tr2bl w:val="nil"/>
                  </w:tcBorders>
                  <w:noWrap w:val="0"/>
                  <w:vAlign w:val="center"/>
                </w:tcPr>
                <w:p w14:paraId="242E7A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585" w:type="pct"/>
                  <w:tcBorders>
                    <w:tl2br w:val="nil"/>
                    <w:tr2bl w:val="nil"/>
                  </w:tcBorders>
                  <w:noWrap w:val="0"/>
                  <w:vAlign w:val="center"/>
                </w:tcPr>
                <w:p w14:paraId="0A86757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w:t>
                  </w:r>
                </w:p>
              </w:tc>
              <w:tc>
                <w:tcPr>
                  <w:tcW w:w="655" w:type="pct"/>
                  <w:tcBorders>
                    <w:tl2br w:val="nil"/>
                    <w:tr2bl w:val="nil"/>
                  </w:tcBorders>
                  <w:noWrap w:val="0"/>
                  <w:vAlign w:val="center"/>
                </w:tcPr>
                <w:p w14:paraId="4D9F254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650" w:type="pct"/>
                  <w:tcBorders>
                    <w:tl2br w:val="nil"/>
                    <w:tr2bl w:val="nil"/>
                  </w:tcBorders>
                  <w:noWrap w:val="0"/>
                  <w:vAlign w:val="center"/>
                </w:tcPr>
                <w:p w14:paraId="7E9B3625">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86.67</w:t>
                  </w:r>
                </w:p>
              </w:tc>
              <w:tc>
                <w:tcPr>
                  <w:tcW w:w="605" w:type="pct"/>
                  <w:tcBorders>
                    <w:tl2br w:val="nil"/>
                    <w:tr2bl w:val="nil"/>
                  </w:tcBorders>
                  <w:noWrap w:val="0"/>
                  <w:vAlign w:val="center"/>
                </w:tcPr>
                <w:p w14:paraId="5B2D7EC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0DD83B9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06" w:type="pct"/>
                  <w:vMerge w:val="continue"/>
                  <w:tcBorders>
                    <w:tl2br w:val="nil"/>
                    <w:tr2bl w:val="nil"/>
                  </w:tcBorders>
                  <w:noWrap w:val="0"/>
                  <w:vAlign w:val="center"/>
                </w:tcPr>
                <w:p w14:paraId="0930B5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1897" w:type="pct"/>
                  <w:tcBorders>
                    <w:tl2br w:val="nil"/>
                    <w:tr2bl w:val="nil"/>
                  </w:tcBorders>
                  <w:noWrap w:val="0"/>
                  <w:vAlign w:val="center"/>
                </w:tcPr>
                <w:p w14:paraId="07A90EC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24h平均第9</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百分位数</w:t>
                  </w:r>
                </w:p>
              </w:tc>
              <w:tc>
                <w:tcPr>
                  <w:tcW w:w="585" w:type="pct"/>
                  <w:tcBorders>
                    <w:tl2br w:val="nil"/>
                    <w:tr2bl w:val="nil"/>
                  </w:tcBorders>
                  <w:noWrap w:val="0"/>
                  <w:vAlign w:val="center"/>
                </w:tcPr>
                <w:p w14:paraId="02F4E15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78</w:t>
                  </w:r>
                </w:p>
              </w:tc>
              <w:tc>
                <w:tcPr>
                  <w:tcW w:w="655" w:type="pct"/>
                  <w:tcBorders>
                    <w:tl2br w:val="nil"/>
                    <w:tr2bl w:val="nil"/>
                  </w:tcBorders>
                  <w:noWrap w:val="0"/>
                  <w:vAlign w:val="center"/>
                </w:tcPr>
                <w:p w14:paraId="44EC1D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c>
                <w:tcPr>
                  <w:tcW w:w="650" w:type="pct"/>
                  <w:tcBorders>
                    <w:tl2br w:val="nil"/>
                    <w:tr2bl w:val="nil"/>
                  </w:tcBorders>
                  <w:noWrap w:val="0"/>
                  <w:vAlign w:val="center"/>
                </w:tcPr>
                <w:p w14:paraId="535BBD49">
                  <w:pPr>
                    <w:pStyle w:val="6"/>
                    <w:keepNext/>
                    <w:keepLines/>
                    <w:pageBreakBefore w:val="0"/>
                    <w:widowControl w:val="0"/>
                    <w:numPr>
                      <w:ilvl w:val="0"/>
                      <w:numId w:val="0"/>
                    </w:numPr>
                    <w:tabs>
                      <w:tab w:val="left" w:pos="420"/>
                    </w:tabs>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130</w:t>
                  </w:r>
                </w:p>
              </w:tc>
              <w:tc>
                <w:tcPr>
                  <w:tcW w:w="605" w:type="pct"/>
                  <w:tcBorders>
                    <w:tl2br w:val="nil"/>
                    <w:tr2bl w:val="nil"/>
                  </w:tcBorders>
                  <w:noWrap w:val="0"/>
                  <w:vAlign w:val="center"/>
                </w:tcPr>
                <w:p w14:paraId="77121D7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rPr>
                    <w:t>达标</w:t>
                  </w:r>
                </w:p>
              </w:tc>
            </w:tr>
          </w:tbl>
          <w:p w14:paraId="466750B2">
            <w:pPr>
              <w:pStyle w:val="82"/>
              <w:keepNext w:val="0"/>
              <w:keepLines w:val="0"/>
              <w:pageBreakBefore w:val="0"/>
              <w:widowControl/>
              <w:suppressLineNumbers w:val="0"/>
              <w:kinsoku/>
              <w:wordWrap/>
              <w:overflowPunct/>
              <w:topLinePunct w:val="0"/>
              <w:autoSpaceDE/>
              <w:autoSpaceDN/>
              <w:bidi w:val="0"/>
              <w:spacing w:before="0" w:beforeAutospacing="0" w:after="0" w:afterAutospacing="0"/>
              <w:ind w:left="0" w:right="0"/>
              <w:textAlignment w:val="auto"/>
              <w:rPr>
                <w:rFonts w:hint="default" w:ascii="Times New Roman" w:hAnsi="Times New Roman" w:cs="Times New Roman"/>
                <w:color w:val="auto"/>
              </w:rPr>
            </w:pPr>
            <w:r>
              <w:rPr>
                <w:rFonts w:hint="default" w:ascii="Times New Roman" w:hAnsi="Times New Roman" w:cs="Times New Roman"/>
                <w:color w:val="auto"/>
              </w:rPr>
              <w:t>和静县空气自动监测站2024年空气质量监测总天数为365天。受沙尘天气影响，PM</w:t>
            </w:r>
            <w:r>
              <w:rPr>
                <w:rFonts w:hint="default" w:ascii="Times New Roman" w:hAnsi="Times New Roman" w:cs="Times New Roman"/>
                <w:color w:val="auto"/>
                <w:vertAlign w:val="subscript"/>
              </w:rPr>
              <w:t>2</w:t>
            </w:r>
            <w:r>
              <w:rPr>
                <w:rFonts w:hint="eastAsia" w:cs="Times New Roman"/>
                <w:color w:val="auto"/>
                <w:vertAlign w:val="subscript"/>
                <w:lang w:val="en-US" w:eastAsia="zh-CN"/>
              </w:rPr>
              <w:t>.5</w:t>
            </w:r>
            <w:r>
              <w:rPr>
                <w:rFonts w:hint="default" w:ascii="Times New Roman" w:hAnsi="Times New Roman" w:cs="Times New Roman"/>
                <w:color w:val="auto"/>
              </w:rPr>
              <w:t>24h平均第95百分位数</w:t>
            </w:r>
            <w:r>
              <w:rPr>
                <w:rFonts w:hint="eastAsia" w:ascii="Times New Roman" w:hAnsi="Times New Roman" w:cs="Times New Roman"/>
                <w:color w:val="auto"/>
                <w:lang w:val="en-US" w:eastAsia="zh-CN"/>
              </w:rPr>
              <w:t>和</w:t>
            </w:r>
            <w:r>
              <w:rPr>
                <w:rFonts w:hint="default" w:ascii="Times New Roman" w:hAnsi="Times New Roman" w:cs="Times New Roman"/>
                <w:color w:val="auto"/>
              </w:rPr>
              <w:t>PM</w:t>
            </w:r>
            <w:r>
              <w:rPr>
                <w:rFonts w:hint="eastAsia" w:cs="Times New Roman"/>
                <w:color w:val="auto"/>
                <w:vertAlign w:val="subscript"/>
                <w:lang w:val="en-US" w:eastAsia="zh-CN"/>
              </w:rPr>
              <w:t>10</w:t>
            </w:r>
            <w:r>
              <w:rPr>
                <w:rFonts w:hint="default" w:ascii="Times New Roman" w:hAnsi="Times New Roman" w:cs="Times New Roman"/>
                <w:color w:val="auto"/>
              </w:rPr>
              <w:t>年平均及24h平均第95百分位数浓度超过《环境空气质量标准》（GB3095-2026）表1中过渡阶段二级标准，SO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default" w:ascii="Times New Roman" w:hAnsi="Times New Roman" w:cs="Times New Roman"/>
                <w:color w:val="auto"/>
                <w:vertAlign w:val="subscript"/>
              </w:rPr>
              <w:t>2</w:t>
            </w:r>
            <w:r>
              <w:rPr>
                <w:rFonts w:hint="default" w:ascii="Times New Roman" w:hAnsi="Times New Roman" w:cs="Times New Roman"/>
                <w:color w:val="auto"/>
              </w:rPr>
              <w:t>、CO、O</w:t>
            </w:r>
            <w:r>
              <w:rPr>
                <w:rFonts w:hint="eastAsia" w:cs="Times New Roman"/>
                <w:color w:val="auto"/>
                <w:vertAlign w:val="subscript"/>
                <w:lang w:val="en-US" w:eastAsia="zh-CN"/>
              </w:rPr>
              <w:t>3</w:t>
            </w:r>
            <w:r>
              <w:rPr>
                <w:rFonts w:hint="default" w:ascii="Times New Roman" w:hAnsi="Times New Roman" w:cs="Times New Roman"/>
                <w:color w:val="auto"/>
              </w:rPr>
              <w:t>等其他监测指标均满足二级标准，因此判断本项目所在区域为不达标区。</w:t>
            </w:r>
          </w:p>
          <w:p w14:paraId="6747DB4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对于环境空气质量不达标区域需提交《大气环境不达标区域削减方案》，根据生态环境部办公厅出具的《关于将巴音郭楞蒙古自治州 吐鲁番市 哈密市纳入执行</w:t>
            </w:r>
            <w:r>
              <w:rPr>
                <w:rFonts w:hint="eastAsia" w:ascii="Times New Roman" w:hAnsi="Times New Roman" w:cs="Times New Roman"/>
                <w:color w:val="auto"/>
                <w:lang w:eastAsia="zh-CN"/>
              </w:rPr>
              <w:t>（</w:t>
            </w:r>
            <w:r>
              <w:rPr>
                <w:rFonts w:hint="default" w:ascii="Times New Roman" w:hAnsi="Times New Roman" w:cs="Times New Roman"/>
                <w:color w:val="auto"/>
              </w:rPr>
              <w:t>环境影响评价技术导则大气环境</w:t>
            </w:r>
            <w:r>
              <w:rPr>
                <w:rFonts w:hint="eastAsia" w:ascii="Times New Roman" w:hAnsi="Times New Roman" w:cs="Times New Roman"/>
                <w:color w:val="auto"/>
                <w:lang w:eastAsia="zh-CN"/>
              </w:rPr>
              <w:t>（</w:t>
            </w:r>
            <w:r>
              <w:rPr>
                <w:rFonts w:hint="default" w:ascii="Times New Roman" w:hAnsi="Times New Roman" w:cs="Times New Roman"/>
                <w:color w:val="auto"/>
              </w:rPr>
              <w:t>HJ2.2-2018</w:t>
            </w:r>
            <w:r>
              <w:rPr>
                <w:rFonts w:hint="eastAsia" w:ascii="Times New Roman" w:hAnsi="Times New Roman" w:cs="Times New Roman"/>
                <w:color w:val="auto"/>
                <w:lang w:eastAsia="zh-CN"/>
              </w:rPr>
              <w:t>））</w:t>
            </w:r>
            <w:r>
              <w:rPr>
                <w:rFonts w:hint="default" w:ascii="Times New Roman" w:hAnsi="Times New Roman" w:cs="Times New Roman"/>
                <w:color w:val="auto"/>
              </w:rPr>
              <w:t>差别化政策范围的复函》</w:t>
            </w:r>
            <w:r>
              <w:rPr>
                <w:rFonts w:hint="eastAsia" w:ascii="Times New Roman" w:hAnsi="Times New Roman" w:cs="Times New Roman"/>
                <w:color w:val="auto"/>
                <w:lang w:eastAsia="zh-CN"/>
              </w:rPr>
              <w:t>（</w:t>
            </w:r>
            <w:r>
              <w:rPr>
                <w:rFonts w:hint="default" w:ascii="Times New Roman" w:hAnsi="Times New Roman" w:cs="Times New Roman"/>
                <w:color w:val="auto"/>
              </w:rPr>
              <w:t>环办环评函</w:t>
            </w:r>
            <w:r>
              <w:rPr>
                <w:rFonts w:hint="eastAsia" w:ascii="仿宋" w:hAnsi="仿宋" w:eastAsia="仿宋" w:cs="仿宋"/>
                <w:color w:val="auto"/>
              </w:rPr>
              <w:t>〔</w:t>
            </w:r>
            <w:r>
              <w:rPr>
                <w:rFonts w:hint="default" w:ascii="Times New Roman" w:hAnsi="Times New Roman" w:cs="Times New Roman"/>
                <w:color w:val="auto"/>
              </w:rPr>
              <w:t>2020</w:t>
            </w:r>
            <w:r>
              <w:rPr>
                <w:rFonts w:hint="eastAsia" w:ascii="仿宋" w:hAnsi="仿宋" w:eastAsia="仿宋" w:cs="仿宋"/>
                <w:color w:val="auto"/>
              </w:rPr>
              <w:t>〕</w:t>
            </w:r>
            <w:r>
              <w:rPr>
                <w:rFonts w:hint="default" w:ascii="Times New Roman" w:hAnsi="Times New Roman" w:cs="Times New Roman"/>
                <w:color w:val="auto"/>
              </w:rPr>
              <w:t>341号</w:t>
            </w:r>
            <w:r>
              <w:rPr>
                <w:rFonts w:hint="eastAsia" w:ascii="Times New Roman" w:hAnsi="Times New Roman" w:cs="Times New Roman"/>
                <w:color w:val="auto"/>
                <w:lang w:eastAsia="zh-CN"/>
              </w:rPr>
              <w:t>）</w:t>
            </w:r>
            <w:r>
              <w:rPr>
                <w:rFonts w:hint="default" w:ascii="Times New Roman" w:hAnsi="Times New Roman" w:cs="Times New Roman"/>
                <w:color w:val="auto"/>
              </w:rPr>
              <w:t>，同意对巴音郭楞蒙古自治州实施环境影响评价差别化政策，本项目可不提供颗粒物区域削减方案。</w:t>
            </w:r>
          </w:p>
          <w:p w14:paraId="2CB9C14C">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eastAsia="宋体"/>
                <w:color w:val="auto"/>
                <w:lang w:val="en-US" w:eastAsia="zh-CN"/>
              </w:rPr>
            </w:pPr>
            <w:r>
              <w:rPr>
                <w:rFonts w:hint="eastAsia"/>
                <w:color w:val="auto"/>
                <w:lang w:val="en-US" w:eastAsia="zh-CN"/>
              </w:rPr>
              <w:t>3.4</w:t>
            </w:r>
            <w:r>
              <w:rPr>
                <w:rFonts w:hint="eastAsia"/>
                <w:color w:val="auto"/>
              </w:rPr>
              <w:t>声环境质量现状</w:t>
            </w:r>
          </w:p>
          <w:p w14:paraId="0809FB48">
            <w:pPr>
              <w:keepNext w:val="0"/>
              <w:keepLines w:val="0"/>
              <w:pageBreakBefore w:val="0"/>
              <w:widowControl w:val="0"/>
              <w:suppressLineNumbers w:val="0"/>
              <w:tabs>
                <w:tab w:val="left" w:pos="7170"/>
              </w:tabs>
              <w:kinsoku/>
              <w:wordWrap/>
              <w:overflowPunct/>
              <w:topLinePunct w:val="0"/>
              <w:autoSpaceDE/>
              <w:autoSpaceDN/>
              <w:bidi w:val="0"/>
              <w:adjustRightInd/>
              <w:snapToGrid w:val="0"/>
              <w:spacing w:before="0" w:beforeAutospacing="0" w:after="0" w:afterAutospacing="0" w:line="500" w:lineRule="exact"/>
              <w:ind w:left="0" w:right="0"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参照《建设项目环境影响报告表编制技术指南（污染影响类）（试行）》，项目作业区周边50米范围内不存在声环境保护目标，因此本项目可不进行声环境现场监测。</w:t>
            </w:r>
          </w:p>
          <w:p w14:paraId="240357BD">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color w:val="auto"/>
              </w:rPr>
            </w:pPr>
            <w:bookmarkStart w:id="0" w:name="_Toc29722417"/>
            <w:bookmarkStart w:id="1" w:name="_Toc240865444"/>
            <w:r>
              <w:rPr>
                <w:rFonts w:hint="eastAsia"/>
                <w:color w:val="auto"/>
                <w:lang w:val="en-US" w:eastAsia="zh-CN"/>
              </w:rPr>
              <w:t>3.5</w:t>
            </w:r>
            <w:r>
              <w:rPr>
                <w:rFonts w:hint="eastAsia"/>
                <w:color w:val="auto"/>
              </w:rPr>
              <w:t>地表水环境质量现状</w:t>
            </w:r>
            <w:bookmarkEnd w:id="0"/>
          </w:p>
          <w:bookmarkEnd w:id="1"/>
          <w:p w14:paraId="551BD1E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根据《巴音郭楞蒙古自治州2024年生态环境状况公报》：</w:t>
            </w:r>
          </w:p>
          <w:p w14:paraId="7802273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（一）地表水环境质量。2024年，全州地表水监测的31个考核断面（点位）中，I~Ⅲ类优良水质断面（点位）占90.3%，无</w:t>
            </w:r>
            <w:r>
              <w:rPr>
                <w:rFonts w:hint="default" w:ascii="Times New Roman" w:hAnsi="Times New Roman" w:cs="Times New Roman"/>
                <w:color w:val="auto"/>
                <w:lang w:val="en-US" w:eastAsia="zh-CN"/>
              </w:rPr>
              <w:t>Ⅳ</w:t>
            </w:r>
            <w:r>
              <w:rPr>
                <w:rFonts w:hint="default" w:ascii="Times New Roman" w:hAnsi="Times New Roman" w:cs="Times New Roman"/>
                <w:color w:val="auto"/>
              </w:rPr>
              <w:t>类水质。6条主要河流19个监测断面中</w:t>
            </w:r>
            <w:r>
              <w:rPr>
                <w:rFonts w:hint="default" w:ascii="Times New Roman" w:hAnsi="Times New Roman" w:cs="Times New Roman"/>
                <w:color w:val="auto"/>
                <w:lang w:val="en-US" w:eastAsia="zh-CN"/>
              </w:rPr>
              <w:t>Ⅰ</w:t>
            </w:r>
            <w:r>
              <w:rPr>
                <w:rFonts w:hint="default" w:ascii="Times New Roman" w:hAnsi="Times New Roman" w:cs="Times New Roman"/>
                <w:color w:val="auto"/>
              </w:rPr>
              <w:t>~Ⅲ类优良水质断面占100%，3个重要湖泊（水库）12个监测点位中1~Ⅲ类优良水质点位占75%，无劣V类水体，湖泊主要水质影响因子为化学需氧量。</w:t>
            </w:r>
          </w:p>
          <w:p w14:paraId="4EEA64E3">
            <w:pPr>
              <w:pStyle w:val="2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lang w:val="en-US" w:eastAsia="zh-CN"/>
              </w:rPr>
            </w:pPr>
            <w:r>
              <w:rPr>
                <w:rFonts w:hint="eastAsia" w:ascii="Times New Roman" w:hAnsi="Times New Roman" w:cs="Times New Roman"/>
                <w:color w:val="auto"/>
              </w:rPr>
              <w:t>本</w:t>
            </w:r>
            <w:r>
              <w:rPr>
                <w:rFonts w:hint="eastAsia" w:ascii="Times New Roman" w:hAnsi="Times New Roman" w:cs="Times New Roman"/>
                <w:color w:val="auto"/>
                <w:lang w:val="en-US" w:eastAsia="zh-CN"/>
              </w:rPr>
              <w:t>项目</w:t>
            </w:r>
            <w:r>
              <w:rPr>
                <w:rFonts w:hint="eastAsia" w:ascii="Times New Roman" w:hAnsi="Times New Roman" w:cs="Times New Roman"/>
                <w:color w:val="auto"/>
              </w:rPr>
              <w:t>位于新疆维吾尔自治区巴音郭楞蒙古自治州</w:t>
            </w:r>
            <w:r>
              <w:rPr>
                <w:rFonts w:hint="eastAsia" w:ascii="Times New Roman" w:hAnsi="Times New Roman" w:cs="Times New Roman"/>
                <w:color w:val="auto"/>
                <w:lang w:val="en-US" w:eastAsia="zh-CN"/>
              </w:rPr>
              <w:t>和静县克尔古提乡</w:t>
            </w:r>
            <w:r>
              <w:rPr>
                <w:rFonts w:hint="eastAsia" w:cs="Times New Roman"/>
                <w:color w:val="auto"/>
                <w:lang w:val="en-US" w:eastAsia="zh-CN"/>
              </w:rPr>
              <w:t>，</w:t>
            </w:r>
            <w:r>
              <w:rPr>
                <w:rFonts w:hint="eastAsia" w:ascii="Times New Roman" w:hAnsi="Times New Roman" w:cs="Times New Roman"/>
                <w:color w:val="auto"/>
                <w:lang w:val="en-US" w:eastAsia="zh-CN"/>
              </w:rPr>
              <w:t>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eastAsia" w:ascii="Times New Roman" w:hAnsi="Times New Roman" w:cs="Times New Roman"/>
                <w:color w:val="auto"/>
              </w:rPr>
              <w:t>，</w:t>
            </w:r>
            <w:r>
              <w:rPr>
                <w:rFonts w:hint="eastAsia" w:ascii="Times New Roman" w:hAnsi="Times New Roman" w:cs="Times New Roman"/>
                <w:color w:val="auto"/>
                <w:lang w:val="en-US" w:eastAsia="zh-CN"/>
              </w:rPr>
              <w:t>项目</w:t>
            </w:r>
            <w:r>
              <w:rPr>
                <w:rFonts w:hint="eastAsia" w:ascii="Times New Roman" w:hAnsi="Times New Roman" w:cs="Times New Roman"/>
                <w:color w:val="auto"/>
                <w:highlight w:val="none"/>
              </w:rPr>
              <w:t>范围</w:t>
            </w:r>
            <w:r>
              <w:rPr>
                <w:rFonts w:hint="eastAsia" w:ascii="Times New Roman" w:hAnsi="Times New Roman" w:cs="Times New Roman"/>
                <w:color w:val="auto"/>
                <w:highlight w:val="none"/>
                <w:lang w:val="en-US" w:eastAsia="zh-CN"/>
              </w:rPr>
              <w:t>无河流</w:t>
            </w:r>
            <w:r>
              <w:rPr>
                <w:rFonts w:hint="eastAsia" w:ascii="Times New Roman" w:hAnsi="Times New Roman" w:cs="Times New Roman"/>
                <w:color w:val="auto"/>
              </w:rPr>
              <w:t>。</w:t>
            </w:r>
          </w:p>
          <w:p w14:paraId="25B880F4">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3.6</w:t>
            </w:r>
            <w:r>
              <w:rPr>
                <w:rFonts w:hint="eastAsia"/>
                <w:b/>
                <w:color w:val="auto"/>
              </w:rPr>
              <w:t>地下水、土壤环境现状调查</w:t>
            </w:r>
          </w:p>
          <w:p w14:paraId="0B65702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textAlignment w:val="auto"/>
              <w:rPr>
                <w:rFonts w:hint="default" w:ascii="Times New Roman" w:hAnsi="Times New Roman" w:cs="Times New Roman"/>
                <w:color w:val="auto"/>
              </w:rPr>
            </w:pPr>
            <w:r>
              <w:rPr>
                <w:rFonts w:hint="default" w:ascii="Times New Roman" w:hAnsi="Times New Roman" w:cs="Times New Roman"/>
                <w:color w:val="auto"/>
              </w:rPr>
              <w:t>参照《环境影响评价技术导则 地下水环境》</w:t>
            </w:r>
            <w:r>
              <w:rPr>
                <w:rFonts w:hint="default" w:ascii="Times New Roman" w:hAnsi="Times New Roman" w:cs="Times New Roman"/>
                <w:color w:val="auto"/>
                <w:lang w:eastAsia="zh-CN"/>
              </w:rPr>
              <w:t>（</w:t>
            </w:r>
            <w:r>
              <w:rPr>
                <w:rFonts w:hint="default" w:ascii="Times New Roman" w:hAnsi="Times New Roman" w:cs="Times New Roman"/>
                <w:color w:val="auto"/>
              </w:rPr>
              <w:t>HJ 610-2016</w:t>
            </w:r>
            <w:r>
              <w:rPr>
                <w:rFonts w:hint="default" w:ascii="Times New Roman" w:hAnsi="Times New Roman" w:cs="Times New Roman"/>
                <w:color w:val="auto"/>
                <w:lang w:eastAsia="zh-CN"/>
              </w:rPr>
              <w:t>）</w:t>
            </w:r>
            <w:r>
              <w:rPr>
                <w:rFonts w:hint="default" w:ascii="Times New Roman" w:hAnsi="Times New Roman" w:cs="Times New Roman"/>
                <w:color w:val="auto"/>
              </w:rPr>
              <w:t>附录A地下水环境影响评价行业分类表，本项目行业类别属于</w:t>
            </w:r>
            <w:r>
              <w:rPr>
                <w:rFonts w:hint="eastAsia" w:ascii="Times New Roman" w:hAnsi="Times New Roman" w:cs="Times New Roman"/>
                <w:color w:val="auto"/>
                <w:lang w:eastAsia="zh-CN"/>
              </w:rPr>
              <w:t>“</w:t>
            </w:r>
            <w:r>
              <w:rPr>
                <w:rFonts w:hint="default" w:ascii="Times New Roman" w:hAnsi="Times New Roman" w:cs="Times New Roman"/>
                <w:color w:val="auto"/>
              </w:rPr>
              <w:t>C地质勘查24矿产资源地质勘查</w:t>
            </w:r>
            <w:r>
              <w:rPr>
                <w:rFonts w:hint="default" w:ascii="Times New Roman" w:hAnsi="Times New Roman" w:cs="Times New Roman"/>
                <w:color w:val="auto"/>
                <w:lang w:eastAsia="zh-CN"/>
              </w:rPr>
              <w:t>（</w:t>
            </w:r>
            <w:r>
              <w:rPr>
                <w:rFonts w:hint="default" w:ascii="Times New Roman" w:hAnsi="Times New Roman" w:cs="Times New Roman"/>
                <w:color w:val="auto"/>
              </w:rPr>
              <w:t>包括</w:t>
            </w:r>
            <w:r>
              <w:rPr>
                <w:rFonts w:hint="eastAsia"/>
                <w:lang w:val="en-US" w:eastAsia="zh-CN"/>
              </w:rPr>
              <w:t>勘查</w:t>
            </w:r>
            <w:r>
              <w:rPr>
                <w:rFonts w:hint="default" w:ascii="Times New Roman" w:hAnsi="Times New Roman" w:cs="Times New Roman"/>
                <w:color w:val="auto"/>
              </w:rPr>
              <w:t>活动</w:t>
            </w:r>
            <w:r>
              <w:rPr>
                <w:rFonts w:hint="default" w:ascii="Times New Roman" w:hAnsi="Times New Roman" w:cs="Times New Roman"/>
                <w:color w:val="auto"/>
                <w:lang w:eastAsia="zh-CN"/>
              </w:rPr>
              <w:t>）</w:t>
            </w:r>
            <w:r>
              <w:rPr>
                <w:rFonts w:hint="eastAsia" w:ascii="Times New Roman" w:hAnsi="Times New Roman" w:cs="Times New Roman"/>
                <w:color w:val="auto"/>
                <w:lang w:eastAsia="zh-CN"/>
              </w:rPr>
              <w:t>”</w:t>
            </w:r>
            <w:r>
              <w:rPr>
                <w:rFonts w:hint="default" w:ascii="Times New Roman" w:hAnsi="Times New Roman" w:cs="Times New Roman"/>
                <w:color w:val="auto"/>
              </w:rPr>
              <w:t>，属于Ⅳ类项目，不需开展地下水环境影响评价，不开展地下水环境监测，故不再进行区域地下水环境质量现状调查。</w:t>
            </w:r>
          </w:p>
          <w:p w14:paraId="5589E50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参照《环境影响评价技术导则 土壤环境</w:t>
            </w:r>
            <w:r>
              <w:rPr>
                <w:rFonts w:hint="default" w:ascii="Times New Roman" w:hAnsi="Times New Roman" w:cs="Times New Roman"/>
                <w:color w:val="auto"/>
                <w:lang w:eastAsia="zh-CN"/>
              </w:rPr>
              <w:t>（</w:t>
            </w:r>
            <w:r>
              <w:rPr>
                <w:rFonts w:hint="default" w:ascii="Times New Roman" w:hAnsi="Times New Roman" w:cs="Times New Roman"/>
                <w:color w:val="auto"/>
              </w:rPr>
              <w:t>试行</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HJ964-2018</w:t>
            </w:r>
            <w:r>
              <w:rPr>
                <w:rFonts w:hint="default" w:ascii="Times New Roman" w:hAnsi="Times New Roman" w:cs="Times New Roman"/>
                <w:color w:val="auto"/>
                <w:lang w:eastAsia="zh-CN"/>
              </w:rPr>
              <w:t>）</w:t>
            </w:r>
            <w:r>
              <w:rPr>
                <w:rFonts w:hint="default" w:ascii="Times New Roman" w:hAnsi="Times New Roman" w:cs="Times New Roman"/>
                <w:color w:val="auto"/>
              </w:rPr>
              <w:t>附录A中表A.1土壤环境影响评价项目类别，本项目属于</w:t>
            </w:r>
            <w:r>
              <w:rPr>
                <w:rFonts w:hint="eastAsia" w:ascii="Times New Roman" w:hAnsi="Times New Roman" w:cs="Times New Roman"/>
                <w:color w:val="auto"/>
                <w:lang w:eastAsia="zh-CN"/>
              </w:rPr>
              <w:t>“</w:t>
            </w:r>
            <w:r>
              <w:rPr>
                <w:rFonts w:hint="default" w:ascii="Times New Roman" w:hAnsi="Times New Roman" w:cs="Times New Roman"/>
                <w:color w:val="auto"/>
              </w:rPr>
              <w:t>其他行业</w:t>
            </w:r>
            <w:r>
              <w:rPr>
                <w:rFonts w:hint="eastAsia" w:ascii="Times New Roman" w:hAnsi="Times New Roman" w:cs="Times New Roman"/>
                <w:color w:val="auto"/>
                <w:lang w:eastAsia="zh-CN"/>
              </w:rPr>
              <w:t>”</w:t>
            </w:r>
            <w:r>
              <w:rPr>
                <w:rFonts w:hint="default" w:ascii="Times New Roman" w:hAnsi="Times New Roman" w:cs="Times New Roman"/>
                <w:color w:val="auto"/>
              </w:rPr>
              <w:t>，为Ⅳ类项目，且工程自身不属于敏感目标建设项目，故不再开展土壤环境影响评价，不开展土壤环境质量监测，故不再进行区域土壤环境质量现状调查。</w:t>
            </w:r>
          </w:p>
          <w:p w14:paraId="2688E391">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3.7</w:t>
            </w:r>
            <w:r>
              <w:rPr>
                <w:rFonts w:hint="default" w:ascii="Times New Roman" w:hAnsi="Times New Roman" w:eastAsia="宋体" w:cs="Times New Roman"/>
                <w:b/>
                <w:bCs/>
                <w:color w:val="auto"/>
                <w:kern w:val="2"/>
                <w:sz w:val="24"/>
                <w:szCs w:val="32"/>
                <w:lang w:val="en-US" w:eastAsia="zh-CN" w:bidi="ar-SA"/>
              </w:rPr>
              <w:t>水土流失</w:t>
            </w:r>
            <w:r>
              <w:rPr>
                <w:rFonts w:hint="eastAsia" w:ascii="Times New Roman" w:hAnsi="Times New Roman" w:eastAsia="宋体" w:cs="Times New Roman"/>
                <w:b/>
                <w:bCs/>
                <w:color w:val="auto"/>
                <w:kern w:val="2"/>
                <w:sz w:val="24"/>
                <w:szCs w:val="32"/>
                <w:lang w:val="en-US" w:eastAsia="zh-CN" w:bidi="ar-SA"/>
              </w:rPr>
              <w:t>现状调查</w:t>
            </w:r>
          </w:p>
          <w:p w14:paraId="64D46C0C">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项目区地处和静县，根据水利部〔2013〕188号文《全国水土保持规划国家级水土流失重点预防区和重点治理区复核划分成果》，和静县不属于国家级水土流失重点预防区。根据《关于印发新疆自治区级水土流失重点预防区和重点治理区复核划分成果的通知》（新水水保〔2019〕4号），和静县属于自治区级</w:t>
            </w:r>
            <w:r>
              <w:rPr>
                <w:rFonts w:hint="default" w:ascii="Times New Roman" w:hAnsi="Times New Roman" w:eastAsia="宋体" w:cs="Times New Roman"/>
                <w:color w:val="auto"/>
                <w:highlight w:val="none"/>
                <w:lang w:val="en-US" w:eastAsia="zh-CN"/>
              </w:rPr>
              <w:t>Ⅰ</w:t>
            </w:r>
            <w:r>
              <w:rPr>
                <w:rFonts w:hint="eastAsia" w:ascii="Times New Roman" w:hAnsi="Times New Roman" w:eastAsia="宋体" w:cs="Times New Roman"/>
                <w:color w:val="auto"/>
                <w:highlight w:val="none"/>
                <w:vertAlign w:val="subscript"/>
                <w:lang w:val="en-US" w:eastAsia="zh-CN"/>
              </w:rPr>
              <w:t>1</w:t>
            </w:r>
            <w:r>
              <w:rPr>
                <w:rFonts w:hint="eastAsia" w:ascii="Times New Roman" w:hAnsi="Times New Roman" w:eastAsia="宋体" w:cs="Times New Roman"/>
                <w:color w:val="auto"/>
                <w:highlight w:val="none"/>
                <w:lang w:val="en-US" w:eastAsia="zh-CN"/>
              </w:rPr>
              <w:t>天山山区重点预防区。</w:t>
            </w:r>
          </w:p>
          <w:p w14:paraId="2C3F0AA4">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根据《新疆维吾尔自治区2024年水土流失动态监测年报》，和静县水土流失面积7720.40km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，占土地总面积的22.07%。其中水力侵蚀面积1880.49km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，占土壤侵蚀总面积的24.36%，风力侵蚀5839.91km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，占土壤侵蚀总面积的75.64%，和静县2023年水土流失面积比2022年减少了18.24km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w:t>
            </w:r>
          </w:p>
          <w:p w14:paraId="59E4B4F4">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根据《巴音郭楞蒙古自治州水土保持规划（2020-2030）》，和静县风力侵蚀面积6087.34km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，占土壤侵蚀面积的34.29%，其中轻度风力侵蚀面积6087.17km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，占风力侵蚀面积的99.997%，中度风力侵蚀面积0.17km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，占风力侵蚀面积的0.003%。</w:t>
            </w:r>
          </w:p>
          <w:p w14:paraId="7073E93A">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和静县水力侵蚀面积1767.86km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，占土壤侵蚀面积的9.96%，其中轻度水力侵蚀面积1175.17km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，占水力侵蚀面积的66.47%，中度水力侵蚀面积495.03km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，占水力侵蚀面积的28%，强烈水力侵蚀面积90.47km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，占水力侵蚀面积的5.12%，极强烈水力侵蚀面积7.13km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，占水力侵蚀面积的0.40%，剧烈水力侵蚀面积0.06km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，占水力侵蚀面积的0.003%。</w:t>
            </w:r>
          </w:p>
          <w:p w14:paraId="18F13662">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和静县冻融侵蚀面积9897.65km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，占土壤侵蚀面积的55.75%，其中轻度冻融侵蚀面积1591.71km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，占冻融侵蚀面积的16.08%，中度冻融侵蚀面积2149.85km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，占冻融侵蚀面积的21.72%，强烈冻融侵蚀面积4979.02km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，占冻融侵蚀面积的50.31%，极强烈冻融侵蚀面积1177.07km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，占冻融侵蚀面积的11.89%。</w:t>
            </w:r>
          </w:p>
          <w:p w14:paraId="74476456">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综上，和静县水土流失类型以冻融侵蚀为主，区域容许土壤流失量为1300t/（km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·a）。对照巴音郭楞蒙古自治州水土流失重点预防区、重点治理区分布图，项目区属于重点治理区。</w:t>
            </w:r>
          </w:p>
          <w:p w14:paraId="3DB54553">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3.8土地沙化现状调查</w:t>
            </w:r>
          </w:p>
          <w:p w14:paraId="66C5A2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根据《新疆维吾尔自治区第六次沙化土地监测报告》（2021年12月），本项目占地范围内不涉及沙化土地。</w:t>
            </w:r>
          </w:p>
        </w:tc>
      </w:tr>
      <w:tr w14:paraId="44956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00" w:type="dxa"/>
            <w:noWrap w:val="0"/>
            <w:tcMar>
              <w:left w:w="28" w:type="dxa"/>
              <w:right w:w="28" w:type="dxa"/>
            </w:tcMar>
            <w:vAlign w:val="center"/>
          </w:tcPr>
          <w:p w14:paraId="7D1200A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sz w:val="24"/>
                <w:szCs w:val="24"/>
              </w:rPr>
              <w:t>与项目有关的原有</w:t>
            </w:r>
            <w:r>
              <w:rPr>
                <w:rFonts w:hint="eastAsia" w:ascii="Times New Roman" w:hAnsi="Times New Roman" w:cs="Times New Roman"/>
                <w:color w:val="auto"/>
                <w:sz w:val="24"/>
                <w:szCs w:val="24"/>
              </w:rPr>
              <w:t>环境</w:t>
            </w:r>
            <w:r>
              <w:rPr>
                <w:rFonts w:hint="default" w:ascii="Times New Roman" w:hAnsi="Times New Roman" w:cs="Times New Roman"/>
                <w:color w:val="auto"/>
                <w:sz w:val="24"/>
                <w:szCs w:val="24"/>
              </w:rPr>
              <w:t>污染</w:t>
            </w:r>
            <w:r>
              <w:rPr>
                <w:rFonts w:hint="eastAsia" w:ascii="Times New Roman" w:hAnsi="Times New Roman" w:cs="Times New Roman"/>
                <w:color w:val="auto"/>
                <w:sz w:val="24"/>
                <w:szCs w:val="24"/>
              </w:rPr>
              <w:t>和生态破坏</w:t>
            </w:r>
            <w:r>
              <w:rPr>
                <w:rFonts w:hint="default" w:ascii="Times New Roman" w:hAnsi="Times New Roman" w:cs="Times New Roman"/>
                <w:color w:val="auto"/>
                <w:sz w:val="24"/>
                <w:szCs w:val="24"/>
              </w:rPr>
              <w:t>问题</w:t>
            </w:r>
          </w:p>
        </w:tc>
        <w:tc>
          <w:tcPr>
            <w:tcW w:w="8190" w:type="dxa"/>
            <w:noWrap w:val="0"/>
            <w:vAlign w:val="center"/>
          </w:tcPr>
          <w:p w14:paraId="3352C796">
            <w:pPr>
              <w:keepNext w:val="0"/>
              <w:keepLines w:val="0"/>
              <w:suppressLineNumbers w:val="0"/>
              <w:adjustRightInd w:val="0"/>
              <w:snapToGrid w:val="0"/>
              <w:spacing w:before="0" w:beforeAutospacing="0" w:after="0" w:afterAutospacing="0"/>
              <w:ind w:left="0" w:right="0" w:firstLine="480"/>
              <w:rPr>
                <w:rFonts w:hint="default" w:ascii="宋体" w:hAnsi="宋体" w:cs="宋体"/>
                <w:color w:val="auto"/>
                <w:kern w:val="0"/>
                <w:szCs w:val="21"/>
              </w:rPr>
            </w:pPr>
            <w:r>
              <w:rPr>
                <w:rFonts w:hint="default" w:ascii="宋体" w:hAnsi="宋体" w:cs="Times New Roman"/>
                <w:color w:val="auto"/>
              </w:rPr>
              <w:t>无</w:t>
            </w:r>
          </w:p>
        </w:tc>
      </w:tr>
      <w:tr w14:paraId="0A710A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00" w:type="dxa"/>
            <w:noWrap w:val="0"/>
            <w:vAlign w:val="center"/>
          </w:tcPr>
          <w:p w14:paraId="46AF2F2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sz w:val="24"/>
                <w:szCs w:val="24"/>
              </w:rPr>
              <w:t>生态环境保护目标</w:t>
            </w:r>
          </w:p>
        </w:tc>
        <w:tc>
          <w:tcPr>
            <w:tcW w:w="8190" w:type="dxa"/>
            <w:noWrap w:val="0"/>
            <w:vAlign w:val="center"/>
          </w:tcPr>
          <w:p w14:paraId="735D1CDD">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bookmarkStart w:id="2" w:name="_Hlk124255559"/>
            <w:r>
              <w:rPr>
                <w:rFonts w:hint="eastAsia"/>
                <w:color w:val="auto"/>
                <w:lang w:val="en-US" w:eastAsia="zh-CN"/>
              </w:rPr>
              <w:t>3.9</w:t>
            </w:r>
            <w:r>
              <w:rPr>
                <w:rFonts w:hint="eastAsia"/>
                <w:color w:val="auto"/>
              </w:rPr>
              <w:t>大气环境</w:t>
            </w:r>
          </w:p>
          <w:p w14:paraId="7E04EA99">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矿区四周为荒山，不涉及自然保护区、风景名胜区、居住区、文化区和农村地区中人群较集中的区域等保护目标，故不设大气环境保护目标。</w:t>
            </w:r>
          </w:p>
          <w:p w14:paraId="24D988DA">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3.10</w:t>
            </w:r>
            <w:r>
              <w:rPr>
                <w:rFonts w:hint="eastAsia"/>
                <w:color w:val="auto"/>
              </w:rPr>
              <w:t>声环境</w:t>
            </w:r>
          </w:p>
          <w:p w14:paraId="04DFA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lang w:eastAsia="zh-CN"/>
              </w:rPr>
            </w:pPr>
            <w:r>
              <w:rPr>
                <w:rFonts w:hint="eastAsia" w:ascii="Times New Roman" w:hAnsi="Times New Roman" w:cs="Times New Roman"/>
                <w:color w:val="auto"/>
              </w:rPr>
              <w:t>根据现场踏勘和卫星图定位结果可知，</w:t>
            </w:r>
            <w:r>
              <w:rPr>
                <w:rFonts w:hint="default" w:ascii="Times New Roman" w:hAnsi="Times New Roman" w:cs="Times New Roman"/>
                <w:color w:val="auto"/>
              </w:rPr>
              <w:t>本项目场界外50m范围内无声环境保护目标</w:t>
            </w:r>
            <w:r>
              <w:rPr>
                <w:rFonts w:hint="eastAsia" w:ascii="Times New Roman" w:hAnsi="Times New Roman" w:cs="Times New Roman"/>
                <w:color w:val="auto"/>
              </w:rPr>
              <w:t>，故不设声环境保护目标。</w:t>
            </w:r>
          </w:p>
          <w:p w14:paraId="790F888D">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3.11</w:t>
            </w:r>
            <w:r>
              <w:rPr>
                <w:rFonts w:hint="eastAsia"/>
                <w:color w:val="auto"/>
              </w:rPr>
              <w:t>生态环境</w:t>
            </w:r>
          </w:p>
          <w:p w14:paraId="713DE2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highlight w:val="none"/>
                <w:lang w:val="en-US" w:eastAsia="zh-CN"/>
              </w:rPr>
            </w:pPr>
            <w:r>
              <w:rPr>
                <w:rFonts w:hint="eastAsia" w:ascii="Times New Roman" w:hAnsi="Times New Roman" w:cs="Times New Roman"/>
                <w:color w:val="auto"/>
              </w:rPr>
              <w:t>根据现场踏勘，</w:t>
            </w:r>
            <w:r>
              <w:rPr>
                <w:rFonts w:hint="eastAsia" w:ascii="Times New Roman" w:hAnsi="Times New Roman" w:cs="Times New Roman"/>
                <w:color w:val="auto"/>
                <w:lang w:val="en-US" w:eastAsia="zh-CN"/>
              </w:rPr>
              <w:t>本项目</w:t>
            </w:r>
            <w:r>
              <w:rPr>
                <w:rFonts w:hint="eastAsia" w:ascii="Times New Roman" w:hAnsi="Times New Roman" w:cs="Times New Roman"/>
                <w:color w:val="auto"/>
              </w:rPr>
              <w:t>位于新疆维吾尔自治区巴音郭楞蒙古自治州</w:t>
            </w:r>
            <w:r>
              <w:rPr>
                <w:rFonts w:hint="eastAsia" w:ascii="Times New Roman" w:hAnsi="Times New Roman" w:cs="Times New Roman"/>
                <w:color w:val="auto"/>
                <w:lang w:val="en-US" w:eastAsia="zh-CN"/>
              </w:rPr>
              <w:t>和静县克尔古提乡</w:t>
            </w:r>
            <w:r>
              <w:rPr>
                <w:rFonts w:hint="eastAsia" w:cs="Times New Roman"/>
                <w:color w:val="auto"/>
                <w:lang w:val="en-US" w:eastAsia="zh-CN"/>
              </w:rPr>
              <w:t>，</w:t>
            </w:r>
            <w:r>
              <w:rPr>
                <w:rFonts w:hint="eastAsia" w:ascii="Times New Roman" w:hAnsi="Times New Roman" w:cs="Times New Roman"/>
                <w:color w:val="auto"/>
                <w:lang w:val="en-US" w:eastAsia="zh-CN"/>
              </w:rPr>
              <w:t>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eastAsia" w:ascii="Times New Roman" w:hAnsi="Times New Roman" w:cs="Times New Roman"/>
                <w:color w:val="auto"/>
              </w:rPr>
              <w:t>，行政区划属巴音郭楞蒙古自治州</w:t>
            </w:r>
            <w:r>
              <w:rPr>
                <w:rFonts w:hint="eastAsia" w:ascii="Times New Roman" w:hAnsi="Times New Roman" w:cs="Times New Roman"/>
                <w:color w:val="auto"/>
                <w:lang w:val="en-US" w:eastAsia="zh-CN"/>
              </w:rPr>
              <w:t>和静</w:t>
            </w:r>
            <w:r>
              <w:rPr>
                <w:rFonts w:hint="eastAsia" w:ascii="Times New Roman" w:hAnsi="Times New Roman" w:cs="Times New Roman"/>
                <w:color w:val="auto"/>
              </w:rPr>
              <w:t>县管</w:t>
            </w:r>
            <w:r>
              <w:rPr>
                <w:rFonts w:hint="eastAsia" w:ascii="Times New Roman" w:hAnsi="Times New Roman" w:cs="Times New Roman"/>
                <w:color w:val="auto"/>
                <w:highlight w:val="none"/>
              </w:rPr>
              <w:t>辖</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项目区离新疆</w:t>
            </w:r>
            <w:r>
              <w:rPr>
                <w:rFonts w:hint="eastAsia" w:ascii="Times New Roman" w:hAnsi="Times New Roman" w:cs="Times New Roman"/>
                <w:color w:val="auto"/>
                <w:highlight w:val="none"/>
                <w:lang w:val="en-US" w:eastAsia="zh-CN"/>
              </w:rPr>
              <w:t>巴音布鲁克</w:t>
            </w:r>
            <w:r>
              <w:rPr>
                <w:rFonts w:hint="eastAsia" w:ascii="Times New Roman" w:hAnsi="Times New Roman" w:cs="Times New Roman"/>
                <w:color w:val="auto"/>
                <w:highlight w:val="none"/>
              </w:rPr>
              <w:t>国家级自然保护区</w:t>
            </w:r>
            <w:r>
              <w:rPr>
                <w:rFonts w:hint="eastAsia" w:ascii="Times New Roman" w:hAnsi="Times New Roman" w:cs="Times New Roman"/>
                <w:color w:val="auto"/>
                <w:highlight w:val="none"/>
                <w:lang w:val="en-US" w:eastAsia="zh-CN"/>
              </w:rPr>
              <w:t>直线距离145</w:t>
            </w:r>
            <w:r>
              <w:rPr>
                <w:rFonts w:hint="eastAsia" w:ascii="Times New Roman" w:hAnsi="Times New Roman" w:cs="Times New Roman"/>
                <w:color w:val="auto"/>
                <w:highlight w:val="none"/>
              </w:rPr>
              <w:t>km</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根</w:t>
            </w:r>
            <w:r>
              <w:rPr>
                <w:rFonts w:hint="eastAsia" w:ascii="Times New Roman" w:hAnsi="Times New Roman" w:cs="Times New Roman"/>
                <w:color w:val="auto"/>
                <w:lang w:val="en-US" w:eastAsia="zh-CN"/>
              </w:rPr>
              <w:t>据</w:t>
            </w:r>
            <w:r>
              <w:rPr>
                <w:rFonts w:hint="eastAsia" w:ascii="Times New Roman" w:hAnsi="Times New Roman" w:cs="Times New Roman"/>
                <w:color w:val="auto"/>
              </w:rPr>
              <w:t>《环境影响评价技术导则 生态影响》</w:t>
            </w:r>
            <w:r>
              <w:rPr>
                <w:rFonts w:hint="eastAsia" w:ascii="Times New Roman" w:hAnsi="Times New Roman" w:cs="Times New Roman"/>
                <w:color w:val="auto"/>
                <w:lang w:eastAsia="zh-CN"/>
              </w:rPr>
              <w:t>（</w:t>
            </w:r>
            <w:r>
              <w:rPr>
                <w:rFonts w:hint="eastAsia" w:ascii="Times New Roman" w:hAnsi="Times New Roman" w:cs="Times New Roman"/>
                <w:color w:val="auto"/>
              </w:rPr>
              <w:t>HJ19-2022</w:t>
            </w:r>
            <w:r>
              <w:rPr>
                <w:rFonts w:hint="eastAsia" w:ascii="Times New Roman" w:hAnsi="Times New Roman" w:cs="Times New Roman"/>
                <w:color w:val="auto"/>
                <w:lang w:eastAsia="zh-CN"/>
              </w:rPr>
              <w:t>），矿山开采项目评价范围应涵盖开采区及其影响范围、各类场地及运输系统占地以及施工临时占地范围等。</w:t>
            </w:r>
            <w:r>
              <w:rPr>
                <w:rFonts w:hint="eastAsia" w:ascii="Times New Roman" w:hAnsi="Times New Roman" w:cs="Times New Roman"/>
                <w:color w:val="auto"/>
                <w:lang w:val="en-US" w:eastAsia="zh-CN"/>
              </w:rPr>
              <w:t>因本项目不涉及开采，仅评价初期</w:t>
            </w:r>
            <w:r>
              <w:rPr>
                <w:rFonts w:hint="eastAsia"/>
                <w:lang w:val="en-US" w:eastAsia="zh-CN"/>
              </w:rPr>
              <w:t>勘查</w:t>
            </w:r>
            <w:r>
              <w:rPr>
                <w:rFonts w:hint="eastAsia" w:ascii="Times New Roman" w:hAnsi="Times New Roman" w:cs="Times New Roman"/>
                <w:color w:val="auto"/>
                <w:lang w:val="en-US" w:eastAsia="zh-CN"/>
              </w:rPr>
              <w:t>阶段，</w:t>
            </w:r>
            <w:r>
              <w:rPr>
                <w:rFonts w:hint="eastAsia" w:ascii="Times New Roman" w:hAnsi="Times New Roman" w:cs="Times New Roman"/>
                <w:color w:val="000000"/>
                <w:lang w:val="en-US" w:eastAsia="zh-CN"/>
              </w:rPr>
              <w:t>因此本项目生态评价范围为</w:t>
            </w:r>
            <w:r>
              <w:rPr>
                <w:rFonts w:hint="eastAsia"/>
                <w:lang w:val="en-US" w:eastAsia="zh-CN"/>
              </w:rPr>
              <w:t>勘查</w:t>
            </w:r>
            <w:r>
              <w:rPr>
                <w:rFonts w:hint="eastAsia" w:ascii="Times New Roman" w:hAnsi="Times New Roman" w:cs="Times New Roman"/>
                <w:color w:val="000000"/>
                <w:lang w:val="en-US" w:eastAsia="zh-CN"/>
              </w:rPr>
              <w:t>矿区范围内。评价范围及周边无生态环境保护目标</w:t>
            </w:r>
            <w:r>
              <w:rPr>
                <w:rFonts w:hint="eastAsia" w:ascii="Times New Roman" w:hAnsi="Times New Roman" w:cs="Times New Roman"/>
                <w:color w:val="000000"/>
              </w:rPr>
              <w:t>。</w:t>
            </w:r>
          </w:p>
          <w:bookmarkEnd w:id="2"/>
          <w:p w14:paraId="4E3BBB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ascii="Times New Roman" w:hAnsi="Times New Roman" w:cs="Times New Roman"/>
                <w:color w:val="auto"/>
                <w:lang w:val="en-US"/>
              </w:rPr>
            </w:pPr>
            <w:r>
              <w:rPr>
                <w:rFonts w:hint="eastAsia" w:ascii="Times New Roman" w:hAnsi="Times New Roman" w:cs="Times New Roman"/>
                <w:color w:val="000000"/>
              </w:rPr>
              <w:t>项目周边区域无饮用水水源保护区、国家及地方公益林、森林公园、湿地公园等生态环境敏感点</w:t>
            </w:r>
            <w:r>
              <w:rPr>
                <w:rFonts w:hint="eastAsia" w:ascii="Times New Roman" w:hAnsi="Times New Roman" w:cs="Times New Roman"/>
                <w:color w:val="000000"/>
                <w:lang w:val="en-US" w:eastAsia="zh-CN"/>
              </w:rPr>
              <w:t>。</w:t>
            </w:r>
            <w:r>
              <w:rPr>
                <w:rFonts w:hint="eastAsia" w:ascii="Times New Roman" w:hAnsi="Times New Roman" w:cs="Times New Roman"/>
                <w:color w:val="000000"/>
              </w:rPr>
              <w:t>本项目属于地质</w:t>
            </w:r>
            <w:r>
              <w:rPr>
                <w:rFonts w:hint="eastAsia"/>
                <w:lang w:val="en-US" w:eastAsia="zh-CN"/>
              </w:rPr>
              <w:t>勘查</w:t>
            </w:r>
            <w:r>
              <w:rPr>
                <w:rFonts w:hint="eastAsia" w:ascii="Times New Roman" w:hAnsi="Times New Roman" w:cs="Times New Roman"/>
                <w:color w:val="000000"/>
              </w:rPr>
              <w:t>工程，生产活动较少，采取有效的污染防治措施后对</w:t>
            </w:r>
            <w:r>
              <w:rPr>
                <w:rFonts w:hint="eastAsia" w:ascii="Times New Roman" w:hAnsi="Times New Roman" w:cs="Times New Roman"/>
                <w:color w:val="000000"/>
                <w:lang w:val="en-US" w:eastAsia="zh-CN"/>
              </w:rPr>
              <w:t>周边生态环境</w:t>
            </w:r>
            <w:r>
              <w:rPr>
                <w:rFonts w:hint="eastAsia" w:ascii="Times New Roman" w:hAnsi="Times New Roman" w:cs="Times New Roman"/>
                <w:color w:val="000000"/>
              </w:rPr>
              <w:t>基本无影响。</w:t>
            </w:r>
          </w:p>
        </w:tc>
      </w:tr>
      <w:tr w14:paraId="255E06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noWrap w:val="0"/>
            <w:vAlign w:val="center"/>
          </w:tcPr>
          <w:p w14:paraId="0317EB7D">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sz w:val="24"/>
                <w:szCs w:val="24"/>
              </w:rPr>
              <w:t>评价标准</w:t>
            </w:r>
          </w:p>
        </w:tc>
        <w:tc>
          <w:tcPr>
            <w:tcW w:w="8190" w:type="dxa"/>
            <w:noWrap w:val="0"/>
            <w:vAlign w:val="center"/>
          </w:tcPr>
          <w:p w14:paraId="48FEB53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leftChars="0" w:right="0" w:firstLine="0" w:firstLineChars="0"/>
              <w:jc w:val="both"/>
              <w:textAlignment w:val="center"/>
              <w:outlineLvl w:val="9"/>
              <w:rPr>
                <w:rFonts w:hint="eastAsia" w:ascii="Times New Roman" w:hAnsi="Times New Roman" w:cs="Times New Roman"/>
                <w:b/>
                <w:bCs/>
                <w:color w:val="auto"/>
              </w:rPr>
            </w:pPr>
            <w:r>
              <w:rPr>
                <w:rFonts w:hint="eastAsia" w:ascii="Times New Roman" w:hAnsi="Times New Roman" w:cs="Times New Roman"/>
                <w:b/>
                <w:bCs/>
                <w:color w:val="auto"/>
                <w:lang w:val="en-US" w:eastAsia="zh-CN"/>
              </w:rPr>
              <w:t>3.12</w:t>
            </w:r>
            <w:r>
              <w:rPr>
                <w:rFonts w:hint="eastAsia" w:ascii="Times New Roman" w:hAnsi="Times New Roman" w:cs="Times New Roman"/>
                <w:b/>
                <w:bCs/>
                <w:color w:val="auto"/>
              </w:rPr>
              <w:t>环境质量标准</w:t>
            </w:r>
          </w:p>
          <w:p w14:paraId="6969A1C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leftChars="0" w:right="0" w:firstLine="0" w:firstLineChars="0"/>
              <w:jc w:val="both"/>
              <w:textAlignment w:val="center"/>
              <w:outlineLvl w:val="9"/>
              <w:rPr>
                <w:rFonts w:hint="default" w:ascii="Times New Roman" w:hAnsi="Times New Roman" w:cs="Times New Roman"/>
                <w:b/>
                <w:bCs/>
                <w:color w:val="auto"/>
              </w:rPr>
            </w:pPr>
            <w:r>
              <w:rPr>
                <w:rFonts w:hint="eastAsia" w:ascii="Times New Roman" w:hAnsi="Times New Roman" w:cs="Times New Roman"/>
                <w:b/>
                <w:bCs/>
                <w:color w:val="auto"/>
                <w:lang w:val="en-US" w:eastAsia="zh-CN"/>
              </w:rPr>
              <w:t>3.12.1</w:t>
            </w:r>
            <w:r>
              <w:rPr>
                <w:rFonts w:hint="default" w:ascii="Times New Roman" w:hAnsi="Times New Roman" w:cs="Times New Roman"/>
                <w:b/>
                <w:bCs/>
                <w:color w:val="auto"/>
              </w:rPr>
              <w:t>环境空气</w:t>
            </w:r>
          </w:p>
          <w:p w14:paraId="2C72C4E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center"/>
              <w:outlineLvl w:val="9"/>
              <w:rPr>
                <w:rFonts w:hint="default" w:ascii="Times New Roman" w:hAnsi="Times New Roman" w:cs="Times New Roman"/>
                <w:bCs/>
                <w:color w:val="auto"/>
                <w:szCs w:val="22"/>
              </w:rPr>
            </w:pPr>
            <w:r>
              <w:rPr>
                <w:rFonts w:hint="default" w:ascii="Times New Roman" w:hAnsi="Times New Roman" w:cs="Times New Roman"/>
                <w:color w:val="auto"/>
                <w:szCs w:val="22"/>
              </w:rPr>
              <w:t>环境空气质量执行</w:t>
            </w:r>
            <w:r>
              <w:rPr>
                <w:rFonts w:hint="default" w:ascii="Times New Roman" w:hAnsi="Times New Roman" w:cs="Times New Roman"/>
                <w:color w:val="000000"/>
                <w:szCs w:val="22"/>
              </w:rPr>
              <w:t>《环境空气质量标准》</w:t>
            </w:r>
            <w:r>
              <w:rPr>
                <w:rFonts w:hint="default" w:ascii="Times New Roman" w:hAnsi="Times New Roman" w:eastAsia="宋体" w:cs="Times New Roman"/>
                <w:b w:val="0"/>
                <w:bCs w:val="0"/>
                <w:color w:val="auto"/>
                <w:sz w:val="24"/>
                <w:highlight w:val="none"/>
                <w:lang w:val="en-US" w:eastAsia="zh-CN"/>
              </w:rPr>
              <w:t>（GB3095-20</w:t>
            </w:r>
            <w:r>
              <w:rPr>
                <w:rFonts w:hint="eastAsia" w:ascii="Times New Roman" w:hAnsi="Times New Roman" w:eastAsia="宋体" w:cs="Times New Roman"/>
                <w:b w:val="0"/>
                <w:bCs w:val="0"/>
                <w:color w:val="auto"/>
                <w:sz w:val="24"/>
                <w:highlight w:val="none"/>
                <w:lang w:val="en-US" w:eastAsia="zh-CN"/>
              </w:rPr>
              <w:t>26</w:t>
            </w:r>
            <w:r>
              <w:rPr>
                <w:rFonts w:hint="default" w:ascii="Times New Roman" w:hAnsi="Times New Roman" w:eastAsia="宋体" w:cs="Times New Roman"/>
                <w:b w:val="0"/>
                <w:bCs w:val="0"/>
                <w:color w:val="auto"/>
                <w:sz w:val="24"/>
                <w:highlight w:val="none"/>
                <w:lang w:val="en-US" w:eastAsia="zh-CN"/>
              </w:rPr>
              <w:t>）二级标准要求。</w:t>
            </w:r>
          </w:p>
          <w:p w14:paraId="3614549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leftChars="0" w:right="0" w:firstLine="0" w:firstLineChars="0"/>
              <w:jc w:val="both"/>
              <w:textAlignment w:val="center"/>
              <w:outlineLvl w:val="9"/>
              <w:rPr>
                <w:rFonts w:hint="default" w:ascii="Times New Roman" w:hAnsi="Times New Roman" w:cs="Times New Roman"/>
                <w:b/>
                <w:bCs/>
                <w:color w:val="auto"/>
              </w:rPr>
            </w:pPr>
            <w:r>
              <w:rPr>
                <w:rFonts w:hint="eastAsia" w:ascii="Times New Roman" w:hAnsi="Times New Roman" w:cs="Times New Roman"/>
                <w:b/>
                <w:bCs/>
                <w:color w:val="auto"/>
                <w:lang w:val="en-US" w:eastAsia="zh-CN"/>
              </w:rPr>
              <w:t>3.12.2</w:t>
            </w:r>
            <w:r>
              <w:rPr>
                <w:rFonts w:hint="default" w:ascii="Times New Roman" w:hAnsi="Times New Roman" w:cs="Times New Roman"/>
                <w:b/>
                <w:bCs/>
                <w:color w:val="auto"/>
              </w:rPr>
              <w:t>声环境</w:t>
            </w:r>
          </w:p>
          <w:p w14:paraId="17E9B9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outlineLvl w:val="9"/>
              <w:rPr>
                <w:rFonts w:hint="default" w:ascii="Times New Roman" w:hAnsi="Times New Roman" w:cs="Times New Roman"/>
                <w:color w:val="auto"/>
                <w:szCs w:val="22"/>
              </w:rPr>
            </w:pPr>
            <w:r>
              <w:rPr>
                <w:rFonts w:hint="default" w:ascii="Times New Roman" w:hAnsi="Times New Roman" w:cs="Times New Roman"/>
                <w:color w:val="auto"/>
                <w:szCs w:val="22"/>
              </w:rPr>
              <w:t>项目区声环境质量执行《声环境质量标准》</w:t>
            </w:r>
            <w:r>
              <w:rPr>
                <w:rFonts w:hint="eastAsia" w:ascii="Times New Roman" w:hAnsi="Times New Roman" w:cs="Times New Roman"/>
                <w:color w:val="auto"/>
                <w:szCs w:val="22"/>
                <w:lang w:eastAsia="zh-CN"/>
              </w:rPr>
              <w:t>（</w:t>
            </w:r>
            <w:r>
              <w:rPr>
                <w:rFonts w:hint="default" w:ascii="Times New Roman" w:hAnsi="Times New Roman" w:cs="Times New Roman"/>
                <w:color w:val="auto"/>
                <w:szCs w:val="22"/>
              </w:rPr>
              <w:t>GB3096-2008</w:t>
            </w:r>
            <w:r>
              <w:rPr>
                <w:rFonts w:hint="eastAsia" w:ascii="Times New Roman" w:hAnsi="Times New Roman" w:cs="Times New Roman"/>
                <w:color w:val="auto"/>
                <w:szCs w:val="22"/>
                <w:lang w:eastAsia="zh-CN"/>
              </w:rPr>
              <w:t>）</w:t>
            </w:r>
            <w:r>
              <w:rPr>
                <w:rFonts w:hint="eastAsia" w:ascii="Times New Roman" w:hAnsi="Times New Roman" w:cs="Times New Roman"/>
                <w:color w:val="auto"/>
                <w:szCs w:val="22"/>
                <w:lang w:val="en-US" w:eastAsia="zh-CN"/>
              </w:rPr>
              <w:t>2</w:t>
            </w:r>
            <w:r>
              <w:rPr>
                <w:rFonts w:hint="default" w:ascii="Times New Roman" w:hAnsi="Times New Roman" w:cs="Times New Roman"/>
                <w:color w:val="auto"/>
                <w:szCs w:val="22"/>
              </w:rPr>
              <w:t>类标准，即昼间≤6</w:t>
            </w:r>
            <w:r>
              <w:rPr>
                <w:rFonts w:hint="eastAsia" w:ascii="Times New Roman" w:hAnsi="Times New Roman" w:cs="Times New Roman"/>
                <w:color w:val="auto"/>
                <w:szCs w:val="22"/>
                <w:lang w:val="en-US" w:eastAsia="zh-CN"/>
              </w:rPr>
              <w:t>0</w:t>
            </w:r>
            <w:r>
              <w:rPr>
                <w:rFonts w:hint="default" w:ascii="Times New Roman" w:hAnsi="Times New Roman" w:cs="Times New Roman"/>
                <w:color w:val="auto"/>
                <w:szCs w:val="22"/>
              </w:rPr>
              <w:t>dB</w:t>
            </w:r>
            <w:r>
              <w:rPr>
                <w:rFonts w:hint="eastAsia" w:ascii="Times New Roman" w:hAnsi="Times New Roman" w:cs="Times New Roman"/>
                <w:color w:val="auto"/>
                <w:szCs w:val="22"/>
                <w:lang w:eastAsia="zh-CN"/>
              </w:rPr>
              <w:t>（</w:t>
            </w:r>
            <w:r>
              <w:rPr>
                <w:rFonts w:hint="default" w:ascii="Times New Roman" w:hAnsi="Times New Roman" w:cs="Times New Roman"/>
                <w:color w:val="auto"/>
                <w:szCs w:val="22"/>
              </w:rPr>
              <w:t>A</w:t>
            </w:r>
            <w:r>
              <w:rPr>
                <w:rFonts w:hint="eastAsia" w:ascii="Times New Roman" w:hAnsi="Times New Roman" w:cs="Times New Roman"/>
                <w:color w:val="auto"/>
                <w:szCs w:val="22"/>
                <w:lang w:eastAsia="zh-CN"/>
              </w:rPr>
              <w:t>）</w:t>
            </w:r>
            <w:r>
              <w:rPr>
                <w:rFonts w:hint="default" w:ascii="Times New Roman" w:hAnsi="Times New Roman" w:cs="Times New Roman"/>
                <w:color w:val="auto"/>
                <w:szCs w:val="22"/>
              </w:rPr>
              <w:t>，夜间≤5</w:t>
            </w:r>
            <w:r>
              <w:rPr>
                <w:rFonts w:hint="eastAsia" w:ascii="Times New Roman" w:hAnsi="Times New Roman" w:cs="Times New Roman"/>
                <w:color w:val="auto"/>
                <w:szCs w:val="22"/>
                <w:lang w:val="en-US" w:eastAsia="zh-CN"/>
              </w:rPr>
              <w:t>0</w:t>
            </w:r>
            <w:r>
              <w:rPr>
                <w:rFonts w:hint="default" w:ascii="Times New Roman" w:hAnsi="Times New Roman" w:cs="Times New Roman"/>
                <w:color w:val="auto"/>
                <w:szCs w:val="22"/>
              </w:rPr>
              <w:t>dB</w:t>
            </w:r>
            <w:r>
              <w:rPr>
                <w:rFonts w:hint="eastAsia" w:ascii="Times New Roman" w:hAnsi="Times New Roman" w:cs="Times New Roman"/>
                <w:color w:val="auto"/>
                <w:szCs w:val="22"/>
                <w:lang w:eastAsia="zh-CN"/>
              </w:rPr>
              <w:t>（</w:t>
            </w:r>
            <w:r>
              <w:rPr>
                <w:rFonts w:hint="default" w:ascii="Times New Roman" w:hAnsi="Times New Roman" w:cs="Times New Roman"/>
                <w:color w:val="auto"/>
                <w:szCs w:val="22"/>
              </w:rPr>
              <w:t>A</w:t>
            </w:r>
            <w:r>
              <w:rPr>
                <w:rFonts w:hint="eastAsia" w:ascii="Times New Roman" w:hAnsi="Times New Roman" w:cs="Times New Roman"/>
                <w:color w:val="auto"/>
                <w:szCs w:val="22"/>
                <w:lang w:eastAsia="zh-CN"/>
              </w:rPr>
              <w:t>）</w:t>
            </w:r>
            <w:r>
              <w:rPr>
                <w:rFonts w:hint="default" w:ascii="Times New Roman" w:hAnsi="Times New Roman" w:cs="Times New Roman"/>
                <w:color w:val="auto"/>
                <w:szCs w:val="22"/>
              </w:rPr>
              <w:t>。</w:t>
            </w:r>
          </w:p>
          <w:p w14:paraId="2C4C92BC">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outlineLvl w:val="9"/>
              <w:rPr>
                <w:rFonts w:hint="default"/>
                <w:color w:val="auto"/>
              </w:rPr>
            </w:pPr>
            <w:r>
              <w:rPr>
                <w:rFonts w:hint="eastAsia"/>
                <w:color w:val="auto"/>
                <w:lang w:val="en-US" w:eastAsia="zh-CN"/>
              </w:rPr>
              <w:t>3.13</w:t>
            </w:r>
            <w:r>
              <w:rPr>
                <w:rFonts w:hint="eastAsia"/>
                <w:color w:val="auto"/>
              </w:rPr>
              <w:t>污染物排放标准</w:t>
            </w:r>
          </w:p>
          <w:p w14:paraId="0B5B3B65">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outlineLvl w:val="9"/>
              <w:rPr>
                <w:rFonts w:hint="default"/>
                <w:color w:val="auto"/>
              </w:rPr>
            </w:pPr>
            <w:r>
              <w:rPr>
                <w:rFonts w:hint="eastAsia"/>
                <w:color w:val="auto"/>
                <w:lang w:val="en-US" w:eastAsia="zh-CN"/>
              </w:rPr>
              <w:t>3.13.1</w:t>
            </w:r>
            <w:r>
              <w:rPr>
                <w:rFonts w:hint="default"/>
                <w:color w:val="auto"/>
              </w:rPr>
              <w:t>废气</w:t>
            </w:r>
          </w:p>
          <w:p w14:paraId="031DD9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outlineLvl w:val="9"/>
              <w:rPr>
                <w:rFonts w:hint="eastAsia" w:ascii="Times New Roman" w:hAnsi="Times New Roman" w:cs="Times New Roman"/>
                <w:color w:val="auto"/>
              </w:rPr>
            </w:pPr>
            <w:r>
              <w:rPr>
                <w:rFonts w:hint="default" w:ascii="Times New Roman" w:hAnsi="Times New Roman" w:cs="Times New Roman"/>
                <w:color w:val="auto"/>
              </w:rPr>
              <w:t>大气污染物排放执行《大气污染物综合排放标准》</w:t>
            </w:r>
            <w:r>
              <w:rPr>
                <w:rFonts w:hint="eastAsia" w:ascii="Times New Roman" w:hAnsi="Times New Roman" w:cs="Times New Roman"/>
                <w:color w:val="auto"/>
                <w:lang w:eastAsia="zh-CN"/>
              </w:rPr>
              <w:t>（</w:t>
            </w:r>
            <w:r>
              <w:rPr>
                <w:rFonts w:hint="default" w:ascii="Times New Roman" w:hAnsi="Times New Roman" w:cs="Times New Roman"/>
                <w:color w:val="auto"/>
              </w:rPr>
              <w:t>GB16297-</w:t>
            </w:r>
            <w:r>
              <w:rPr>
                <w:rFonts w:hint="eastAsia" w:ascii="Times New Roman" w:hAnsi="Times New Roman" w:cs="Times New Roman"/>
                <w:color w:val="auto"/>
              </w:rPr>
              <w:t>19</w:t>
            </w:r>
            <w:r>
              <w:rPr>
                <w:rFonts w:hint="default" w:ascii="Times New Roman" w:hAnsi="Times New Roman" w:cs="Times New Roman"/>
                <w:color w:val="auto"/>
              </w:rPr>
              <w:t>96</w:t>
            </w:r>
            <w:r>
              <w:rPr>
                <w:rFonts w:hint="eastAsia" w:ascii="Times New Roman" w:hAnsi="Times New Roman" w:cs="Times New Roman"/>
                <w:color w:val="auto"/>
                <w:lang w:eastAsia="zh-CN"/>
              </w:rPr>
              <w:t>）</w:t>
            </w:r>
            <w:r>
              <w:rPr>
                <w:rFonts w:hint="eastAsia" w:ascii="Times New Roman" w:hAnsi="Times New Roman" w:cs="Times New Roman"/>
                <w:color w:val="auto"/>
              </w:rPr>
              <w:t>中无组织排放监控浓度限值，</w:t>
            </w:r>
            <w:r>
              <w:rPr>
                <w:rFonts w:hint="default" w:ascii="Times New Roman" w:hAnsi="Times New Roman" w:cs="Times New Roman"/>
                <w:color w:val="auto"/>
              </w:rPr>
              <w:t>详见</w:t>
            </w:r>
            <w:r>
              <w:rPr>
                <w:rFonts w:hint="eastAsia" w:ascii="Times New Roman" w:hAnsi="Times New Roman" w:cs="Times New Roman"/>
                <w:color w:val="auto"/>
              </w:rPr>
              <w:t>下</w:t>
            </w:r>
            <w:r>
              <w:rPr>
                <w:rFonts w:hint="default" w:ascii="Times New Roman" w:hAnsi="Times New Roman" w:cs="Times New Roman"/>
                <w:color w:val="auto"/>
              </w:rPr>
              <w:t>表。</w:t>
            </w:r>
          </w:p>
          <w:p w14:paraId="02853D7D">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default" w:cs="Times New Roman"/>
                <w:color w:val="auto"/>
                <w:vertAlign w:val="superscript"/>
              </w:rPr>
            </w:pPr>
            <w:r>
              <w:rPr>
                <w:rFonts w:hint="default" w:cs="Times New Roman"/>
                <w:color w:val="auto"/>
              </w:rPr>
              <w:t>表</w:t>
            </w:r>
            <w:r>
              <w:rPr>
                <w:rFonts w:hint="eastAsia" w:cs="Times New Roman"/>
                <w:color w:val="auto"/>
                <w:lang w:val="en-US" w:eastAsia="zh-CN"/>
              </w:rPr>
              <w:t>3.13-1</w:t>
            </w:r>
            <w:r>
              <w:rPr>
                <w:rFonts w:hint="default" w:cs="Times New Roman"/>
                <w:color w:val="auto"/>
              </w:rPr>
              <w:t xml:space="preserve">   大气污染物综合排放标准</w:t>
            </w:r>
            <w:r>
              <w:rPr>
                <w:rFonts w:hint="eastAsia" w:cs="Times New Roman"/>
                <w:color w:val="auto"/>
                <w:lang w:eastAsia="zh-CN"/>
              </w:rPr>
              <w:t>（</w:t>
            </w:r>
            <w:r>
              <w:rPr>
                <w:rFonts w:hint="eastAsia" w:cs="Times New Roman"/>
                <w:color w:val="auto"/>
              </w:rPr>
              <w:t>摘录</w:t>
            </w:r>
            <w:r>
              <w:rPr>
                <w:rFonts w:hint="eastAsia" w:cs="Times New Roman"/>
                <w:color w:val="auto"/>
                <w:lang w:eastAsia="zh-CN"/>
              </w:rPr>
              <w:t>）</w:t>
            </w:r>
            <w:r>
              <w:rPr>
                <w:rFonts w:hint="default" w:cs="Times New Roman"/>
                <w:color w:val="auto"/>
              </w:rPr>
              <w:t>单位：mg/m</w:t>
            </w:r>
            <w:r>
              <w:rPr>
                <w:rFonts w:hint="default" w:cs="Times New Roman"/>
                <w:color w:val="auto"/>
                <w:vertAlign w:val="superscript"/>
              </w:rPr>
              <w:t>3</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2223"/>
              <w:gridCol w:w="4452"/>
            </w:tblGrid>
            <w:tr w14:paraId="29200C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4" w:type="pct"/>
                  <w:tcBorders>
                    <w:tl2br w:val="nil"/>
                    <w:tr2bl w:val="nil"/>
                  </w:tcBorders>
                  <w:noWrap w:val="0"/>
                  <w:vAlign w:val="center"/>
                </w:tcPr>
                <w:p w14:paraId="45418B0A">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序号</w:t>
                  </w:r>
                </w:p>
              </w:tc>
              <w:tc>
                <w:tcPr>
                  <w:tcW w:w="1397" w:type="pct"/>
                  <w:tcBorders>
                    <w:tl2br w:val="nil"/>
                    <w:tr2bl w:val="nil"/>
                  </w:tcBorders>
                  <w:noWrap w:val="0"/>
                  <w:vAlign w:val="center"/>
                </w:tcPr>
                <w:p w14:paraId="27EEC173">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污染物</w:t>
                  </w:r>
                </w:p>
              </w:tc>
              <w:tc>
                <w:tcPr>
                  <w:tcW w:w="2798" w:type="pct"/>
                  <w:tcBorders>
                    <w:tl2br w:val="nil"/>
                    <w:tr2bl w:val="nil"/>
                  </w:tcBorders>
                  <w:noWrap w:val="0"/>
                  <w:vAlign w:val="center"/>
                </w:tcPr>
                <w:p w14:paraId="6792DEB7">
                  <w:pPr>
                    <w:pStyle w:val="68"/>
                    <w:keepNext w:val="0"/>
                    <w:keepLines w:val="0"/>
                    <w:suppressLineNumbers w:val="0"/>
                    <w:spacing w:before="0" w:beforeAutospacing="0" w:after="0" w:afterAutospacing="0"/>
                    <w:ind w:right="0"/>
                    <w:rPr>
                      <w:rFonts w:hint="eastAsia" w:ascii="Times New Roman" w:hAnsi="Times New Roman" w:eastAsia="宋体" w:cs="Times New Roman"/>
                      <w:color w:val="auto"/>
                      <w:lang w:eastAsia="zh-CN"/>
                    </w:rPr>
                  </w:pPr>
                  <w:r>
                    <w:rPr>
                      <w:rFonts w:hint="eastAsia" w:ascii="Times New Roman" w:hAnsi="Times New Roman" w:cs="Times New Roman"/>
                      <w:color w:val="auto"/>
                    </w:rPr>
                    <w:t>无组织排放监控浓度限值</w:t>
                  </w:r>
                  <w:r>
                    <w:rPr>
                      <w:rFonts w:hint="eastAsia" w:ascii="Times New Roman" w:hAnsi="Times New Roman" w:cs="Times New Roman"/>
                      <w:color w:val="auto"/>
                      <w:lang w:eastAsia="zh-CN"/>
                    </w:rPr>
                    <w:t>（</w:t>
                  </w:r>
                  <w:r>
                    <w:rPr>
                      <w:rFonts w:hint="default" w:ascii="Times New Roman" w:hAnsi="Times New Roman" w:cs="Times New Roman"/>
                      <w:color w:val="auto"/>
                    </w:rPr>
                    <w:t>mg/m</w:t>
                  </w:r>
                  <w:r>
                    <w:rPr>
                      <w:rFonts w:hint="default" w:ascii="Times New Roman" w:hAnsi="Times New Roman" w:cs="Times New Roman"/>
                      <w:color w:val="auto"/>
                      <w:vertAlign w:val="superscript"/>
                    </w:rPr>
                    <w:t>3</w:t>
                  </w:r>
                  <w:r>
                    <w:rPr>
                      <w:rFonts w:hint="eastAsia" w:ascii="Times New Roman" w:hAnsi="Times New Roman" w:cs="Times New Roman"/>
                      <w:color w:val="auto"/>
                      <w:lang w:eastAsia="zh-CN"/>
                    </w:rPr>
                    <w:t>）</w:t>
                  </w:r>
                </w:p>
              </w:tc>
            </w:tr>
            <w:tr w14:paraId="676F0D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04" w:type="pct"/>
                  <w:tcBorders>
                    <w:tl2br w:val="nil"/>
                    <w:tr2bl w:val="nil"/>
                  </w:tcBorders>
                  <w:noWrap w:val="0"/>
                  <w:vAlign w:val="center"/>
                </w:tcPr>
                <w:p w14:paraId="64C441DC">
                  <w:pPr>
                    <w:pStyle w:val="68"/>
                    <w:keepNext w:val="0"/>
                    <w:keepLines w:val="0"/>
                    <w:suppressLineNumbers w:val="0"/>
                    <w:spacing w:before="0" w:beforeAutospacing="0" w:after="0" w:afterAutospacing="0"/>
                    <w:ind w:right="0"/>
                    <w:rPr>
                      <w:rFonts w:hint="eastAsia" w:ascii="Times New Roman" w:hAnsi="Times New Roman" w:eastAsia="宋体" w:cs="Times New Roman"/>
                      <w:color w:val="auto"/>
                      <w:lang w:val="pt-BR" w:eastAsia="zh-CN"/>
                    </w:rPr>
                  </w:pPr>
                  <w:r>
                    <w:rPr>
                      <w:rFonts w:hint="eastAsia" w:ascii="Times New Roman" w:hAnsi="Times New Roman" w:cs="Times New Roman"/>
                      <w:color w:val="auto"/>
                      <w:lang w:val="en-US" w:eastAsia="zh-CN"/>
                    </w:rPr>
                    <w:t>1</w:t>
                  </w:r>
                </w:p>
              </w:tc>
              <w:tc>
                <w:tcPr>
                  <w:tcW w:w="1397" w:type="pct"/>
                  <w:tcBorders>
                    <w:tl2br w:val="nil"/>
                    <w:tr2bl w:val="nil"/>
                  </w:tcBorders>
                  <w:noWrap w:val="0"/>
                  <w:vAlign w:val="center"/>
                </w:tcPr>
                <w:p w14:paraId="31B63EC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颗粒物</w:t>
                  </w:r>
                </w:p>
              </w:tc>
              <w:tc>
                <w:tcPr>
                  <w:tcW w:w="2798" w:type="pct"/>
                  <w:tcBorders>
                    <w:tl2br w:val="nil"/>
                    <w:tr2bl w:val="nil"/>
                  </w:tcBorders>
                  <w:noWrap w:val="0"/>
                  <w:vAlign w:val="center"/>
                </w:tcPr>
                <w:p w14:paraId="0E1BAF2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1.0</w:t>
                  </w:r>
                </w:p>
              </w:tc>
            </w:tr>
          </w:tbl>
          <w:p w14:paraId="567667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default" w:ascii="Times New Roman" w:hAnsi="Times New Roman" w:cs="Times New Roman"/>
                <w:color w:val="auto"/>
              </w:rPr>
              <w:t>2014年5月16日，</w:t>
            </w:r>
            <w:r>
              <w:rPr>
                <w:rFonts w:hint="eastAsia" w:ascii="Times New Roman" w:hAnsi="Times New Roman" w:cs="Times New Roman"/>
                <w:color w:val="auto"/>
                <w:lang w:eastAsia="zh-CN"/>
              </w:rPr>
              <w:t>生态环境部</w:t>
            </w:r>
            <w:r>
              <w:rPr>
                <w:rFonts w:hint="default" w:ascii="Times New Roman" w:hAnsi="Times New Roman" w:cs="Times New Roman"/>
                <w:color w:val="auto"/>
              </w:rPr>
              <w:t>及国家质量监督检验检疫总局联合发布了《非道路移动机械用柴油机排气污染物排放限值及测量方法</w:t>
            </w:r>
            <w:r>
              <w:rPr>
                <w:rFonts w:hint="eastAsia" w:ascii="Times New Roman" w:hAnsi="Times New Roman" w:cs="Times New Roman"/>
                <w:color w:val="auto"/>
                <w:lang w:eastAsia="zh-CN"/>
              </w:rPr>
              <w:t>（</w:t>
            </w:r>
            <w:r>
              <w:rPr>
                <w:rFonts w:hint="default" w:ascii="Times New Roman" w:hAnsi="Times New Roman" w:cs="Times New Roman"/>
                <w:color w:val="auto"/>
              </w:rPr>
              <w:t>中国第三、四阶段</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eastAsia" w:ascii="Times New Roman" w:hAnsi="Times New Roman" w:cs="Times New Roman"/>
                <w:color w:val="auto"/>
                <w:lang w:eastAsia="zh-CN"/>
              </w:rPr>
              <w:t>（</w:t>
            </w:r>
            <w:r>
              <w:rPr>
                <w:rFonts w:hint="default" w:ascii="Times New Roman" w:hAnsi="Times New Roman" w:cs="Times New Roman"/>
                <w:color w:val="auto"/>
              </w:rPr>
              <w:t>GB20891-2014</w:t>
            </w:r>
            <w:r>
              <w:rPr>
                <w:rFonts w:hint="eastAsia" w:ascii="Times New Roman" w:hAnsi="Times New Roman" w:cs="Times New Roman"/>
                <w:color w:val="auto"/>
                <w:lang w:eastAsia="zh-CN"/>
              </w:rPr>
              <w:t>）</w:t>
            </w:r>
            <w:r>
              <w:rPr>
                <w:rFonts w:hint="default" w:ascii="Times New Roman" w:hAnsi="Times New Roman" w:cs="Times New Roman"/>
                <w:color w:val="auto"/>
              </w:rPr>
              <w:t>，标准规定了非道路移动机械用柴油机</w:t>
            </w:r>
            <w:r>
              <w:rPr>
                <w:rFonts w:hint="eastAsia" w:ascii="Times New Roman" w:hAnsi="Times New Roman" w:cs="Times New Roman"/>
                <w:color w:val="auto"/>
                <w:lang w:eastAsia="zh-CN"/>
              </w:rPr>
              <w:t>（</w:t>
            </w:r>
            <w:r>
              <w:rPr>
                <w:rFonts w:hint="default" w:ascii="Times New Roman" w:hAnsi="Times New Roman" w:cs="Times New Roman"/>
                <w:color w:val="auto"/>
              </w:rPr>
              <w:t>含额定净功率不超过37</w:t>
            </w:r>
            <w:r>
              <w:rPr>
                <w:rFonts w:hint="eastAsia" w:ascii="Times New Roman" w:hAnsi="Times New Roman" w:cs="Times New Roman"/>
                <w:color w:val="auto"/>
                <w:lang w:eastAsia="zh-CN"/>
              </w:rPr>
              <w:t>kW</w:t>
            </w:r>
            <w:r>
              <w:rPr>
                <w:rFonts w:hint="default" w:ascii="Times New Roman" w:hAnsi="Times New Roman" w:cs="Times New Roman"/>
                <w:color w:val="auto"/>
              </w:rPr>
              <w:t>的船用柴油机</w:t>
            </w:r>
            <w:r>
              <w:rPr>
                <w:rFonts w:hint="eastAsia" w:ascii="Times New Roman" w:hAnsi="Times New Roman" w:cs="Times New Roman"/>
                <w:color w:val="auto"/>
                <w:lang w:eastAsia="zh-CN"/>
              </w:rPr>
              <w:t>）</w:t>
            </w:r>
            <w:r>
              <w:rPr>
                <w:rFonts w:hint="default" w:ascii="Times New Roman" w:hAnsi="Times New Roman" w:cs="Times New Roman"/>
                <w:color w:val="auto"/>
              </w:rPr>
              <w:t>和在道路上用于载人</w:t>
            </w:r>
            <w:r>
              <w:rPr>
                <w:rFonts w:hint="eastAsia" w:ascii="Times New Roman" w:hAnsi="Times New Roman" w:cs="Times New Roman"/>
                <w:color w:val="auto"/>
                <w:lang w:eastAsia="zh-CN"/>
              </w:rPr>
              <w:t>（</w:t>
            </w:r>
            <w:r>
              <w:rPr>
                <w:rFonts w:hint="default" w:ascii="Times New Roman" w:hAnsi="Times New Roman" w:cs="Times New Roman"/>
                <w:color w:val="auto"/>
              </w:rPr>
              <w:t>货</w:t>
            </w:r>
            <w:r>
              <w:rPr>
                <w:rFonts w:hint="eastAsia" w:ascii="Times New Roman" w:hAnsi="Times New Roman" w:cs="Times New Roman"/>
                <w:color w:val="auto"/>
                <w:lang w:eastAsia="zh-CN"/>
              </w:rPr>
              <w:t>）</w:t>
            </w:r>
            <w:r>
              <w:rPr>
                <w:rFonts w:hint="default" w:ascii="Times New Roman" w:hAnsi="Times New Roman" w:cs="Times New Roman"/>
                <w:color w:val="auto"/>
              </w:rPr>
              <w:t>的车辆装用的第二台柴油机排气污染物排放限值及测量方法，因此本项目所使用柴油发电机执行该标准中表2的第</w:t>
            </w:r>
            <w:r>
              <w:rPr>
                <w:rFonts w:hint="eastAsia" w:ascii="Times New Roman" w:hAnsi="Times New Roman" w:cs="Times New Roman"/>
                <w:color w:val="auto"/>
              </w:rPr>
              <w:t>四</w:t>
            </w:r>
            <w:r>
              <w:rPr>
                <w:rFonts w:hint="default" w:ascii="Times New Roman" w:hAnsi="Times New Roman" w:cs="Times New Roman"/>
                <w:color w:val="auto"/>
              </w:rPr>
              <w:t>阶段限值要求。</w:t>
            </w:r>
          </w:p>
          <w:p w14:paraId="31D3FB2E">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textAlignment w:val="baseline"/>
              <w:rPr>
                <w:rFonts w:hint="default" w:cs="Times New Roman"/>
                <w:color w:val="auto"/>
              </w:rPr>
            </w:pPr>
            <w:r>
              <w:rPr>
                <w:rFonts w:hint="eastAsia" w:cs="Times New Roman"/>
                <w:color w:val="auto"/>
              </w:rPr>
              <w:t>表</w:t>
            </w:r>
            <w:r>
              <w:rPr>
                <w:rFonts w:hint="default" w:cs="Times New Roman"/>
                <w:color w:val="auto"/>
              </w:rPr>
              <w:t>3</w:t>
            </w:r>
            <w:r>
              <w:rPr>
                <w:rFonts w:hint="eastAsia" w:cs="Times New Roman"/>
                <w:color w:val="auto"/>
                <w:lang w:val="en-US" w:eastAsia="zh-CN"/>
              </w:rPr>
              <w:t>.13-2</w:t>
            </w:r>
            <w:r>
              <w:rPr>
                <w:rFonts w:hint="default" w:cs="Times New Roman"/>
                <w:color w:val="auto"/>
              </w:rPr>
              <w:t xml:space="preserve">  </w:t>
            </w:r>
            <w:r>
              <w:rPr>
                <w:rFonts w:hint="eastAsia" w:cs="Times New Roman"/>
                <w:color w:val="auto"/>
                <w:lang w:val="en-US" w:eastAsia="zh-CN"/>
              </w:rPr>
              <w:t xml:space="preserve"> </w:t>
            </w:r>
            <w:r>
              <w:rPr>
                <w:rFonts w:hint="eastAsia" w:cs="Times New Roman"/>
                <w:color w:val="auto"/>
              </w:rPr>
              <w:t>非道路移动机械用柴油机排气污染物排放限值及测量方法</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1625"/>
              <w:gridCol w:w="1381"/>
              <w:gridCol w:w="1991"/>
              <w:gridCol w:w="1771"/>
            </w:tblGrid>
            <w:tr w14:paraId="3078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pct"/>
                  <w:tcBorders>
                    <w:tl2br w:val="nil"/>
                    <w:tr2bl w:val="nil"/>
                  </w:tcBorders>
                  <w:noWrap w:val="0"/>
                  <w:vAlign w:val="center"/>
                </w:tcPr>
                <w:p w14:paraId="638EB3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阶段</w:t>
                  </w:r>
                </w:p>
              </w:tc>
              <w:tc>
                <w:tcPr>
                  <w:tcW w:w="1625" w:type="dxa"/>
                  <w:tcBorders>
                    <w:tl2br w:val="nil"/>
                    <w:tr2bl w:val="nil"/>
                  </w:tcBorders>
                  <w:noWrap w:val="0"/>
                  <w:vAlign w:val="center"/>
                </w:tcPr>
                <w:p w14:paraId="63B0F6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额定定功率</w:t>
                  </w:r>
                </w:p>
              </w:tc>
              <w:tc>
                <w:tcPr>
                  <w:tcW w:w="1381" w:type="dxa"/>
                  <w:tcBorders>
                    <w:tl2br w:val="nil"/>
                    <w:tr2bl w:val="nil"/>
                  </w:tcBorders>
                  <w:noWrap w:val="0"/>
                  <w:vAlign w:val="center"/>
                </w:tcPr>
                <w:p w14:paraId="306367B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CO</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g/kWh</w:t>
                  </w:r>
                  <w:r>
                    <w:rPr>
                      <w:rFonts w:hint="eastAsia" w:ascii="Times New Roman" w:hAnsi="Times New Roman" w:cs="Times New Roman"/>
                      <w:color w:val="auto"/>
                      <w:sz w:val="21"/>
                      <w:szCs w:val="21"/>
                      <w:lang w:eastAsia="zh-CN"/>
                    </w:rPr>
                    <w:t>）</w:t>
                  </w:r>
                </w:p>
              </w:tc>
              <w:tc>
                <w:tcPr>
                  <w:tcW w:w="1991" w:type="dxa"/>
                  <w:tcBorders>
                    <w:tl2br w:val="nil"/>
                    <w:tr2bl w:val="nil"/>
                  </w:tcBorders>
                  <w:noWrap w:val="0"/>
                  <w:vAlign w:val="center"/>
                </w:tcPr>
                <w:p w14:paraId="29FF8B4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HC</w:t>
                  </w:r>
                  <w:r>
                    <w:rPr>
                      <w:rFonts w:hint="eastAsia" w:ascii="Times New Roman" w:hAnsi="Times New Roman" w:cs="Times New Roman"/>
                      <w:color w:val="auto"/>
                      <w:sz w:val="21"/>
                      <w:szCs w:val="21"/>
                      <w:lang w:val="en-US" w:eastAsia="zh-CN"/>
                    </w:rPr>
                    <w:t>+NO</w:t>
                  </w:r>
                  <w:r>
                    <w:rPr>
                      <w:rFonts w:hint="eastAsia" w:ascii="Times New Roman" w:hAnsi="Times New Roman" w:cs="Times New Roman"/>
                      <w:color w:val="auto"/>
                      <w:sz w:val="21"/>
                      <w:szCs w:val="21"/>
                      <w:vertAlign w:val="subscript"/>
                      <w:lang w:val="en-US" w:eastAsia="zh-CN"/>
                    </w:rPr>
                    <w:t>X</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g/kWh</w:t>
                  </w:r>
                  <w:r>
                    <w:rPr>
                      <w:rFonts w:hint="eastAsia" w:ascii="Times New Roman" w:hAnsi="Times New Roman" w:cs="Times New Roman"/>
                      <w:color w:val="auto"/>
                      <w:sz w:val="21"/>
                      <w:szCs w:val="21"/>
                      <w:lang w:eastAsia="zh-CN"/>
                    </w:rPr>
                    <w:t>）</w:t>
                  </w:r>
                </w:p>
              </w:tc>
              <w:tc>
                <w:tcPr>
                  <w:tcW w:w="1771" w:type="dxa"/>
                  <w:tcBorders>
                    <w:tl2br w:val="nil"/>
                    <w:tr2bl w:val="nil"/>
                  </w:tcBorders>
                  <w:noWrap w:val="0"/>
                  <w:vAlign w:val="center"/>
                </w:tcPr>
                <w:p w14:paraId="5328584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PM</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g/kWh</w:t>
                  </w:r>
                  <w:r>
                    <w:rPr>
                      <w:rFonts w:hint="eastAsia" w:ascii="Times New Roman" w:hAnsi="Times New Roman" w:cs="Times New Roman"/>
                      <w:color w:val="auto"/>
                      <w:sz w:val="21"/>
                      <w:szCs w:val="21"/>
                      <w:lang w:eastAsia="zh-CN"/>
                    </w:rPr>
                    <w:t>）</w:t>
                  </w:r>
                </w:p>
              </w:tc>
            </w:tr>
            <w:tr w14:paraId="68D5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pct"/>
                  <w:tcBorders>
                    <w:tl2br w:val="nil"/>
                    <w:tr2bl w:val="nil"/>
                  </w:tcBorders>
                  <w:noWrap w:val="0"/>
                  <w:vAlign w:val="center"/>
                </w:tcPr>
                <w:p w14:paraId="4ED4D40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第四阶段</w:t>
                  </w:r>
                </w:p>
              </w:tc>
              <w:tc>
                <w:tcPr>
                  <w:tcW w:w="1625" w:type="dxa"/>
                  <w:tcBorders>
                    <w:tl2br w:val="nil"/>
                    <w:tr2bl w:val="nil"/>
                  </w:tcBorders>
                  <w:noWrap w:val="0"/>
                  <w:vAlign w:val="center"/>
                </w:tcPr>
                <w:p w14:paraId="4D186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P</w:t>
                  </w:r>
                  <w:r>
                    <w:rPr>
                      <w:rFonts w:hint="default" w:ascii="Times New Roman" w:hAnsi="Times New Roman" w:cs="Times New Roman"/>
                      <w:color w:val="auto"/>
                      <w:sz w:val="21"/>
                      <w:szCs w:val="21"/>
                      <w:vertAlign w:val="subscript"/>
                    </w:rPr>
                    <w:t>max</w:t>
                  </w:r>
                  <w:r>
                    <w:rPr>
                      <w:rFonts w:hint="eastAsia" w:ascii="Times New Roman" w:hAnsi="Times New Roman" w:cs="Times New Roman"/>
                      <w:color w:val="auto"/>
                      <w:sz w:val="21"/>
                      <w:szCs w:val="21"/>
                      <w:lang w:val="en-US" w:eastAsia="zh-CN"/>
                    </w:rPr>
                    <w:t>＜37</w:t>
                  </w:r>
                  <w:r>
                    <w:rPr>
                      <w:rFonts w:hint="eastAsia" w:cs="Times New Roman"/>
                      <w:color w:val="auto"/>
                      <w:sz w:val="21"/>
                      <w:szCs w:val="21"/>
                      <w:lang w:val="en-US" w:eastAsia="zh-CN"/>
                    </w:rPr>
                    <w:t>kW</w:t>
                  </w:r>
                </w:p>
              </w:tc>
              <w:tc>
                <w:tcPr>
                  <w:tcW w:w="1381" w:type="dxa"/>
                  <w:tcBorders>
                    <w:tl2br w:val="nil"/>
                    <w:tr2bl w:val="nil"/>
                  </w:tcBorders>
                  <w:noWrap w:val="0"/>
                  <w:vAlign w:val="center"/>
                </w:tcPr>
                <w:p w14:paraId="67885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5.5</w:t>
                  </w:r>
                </w:p>
              </w:tc>
              <w:tc>
                <w:tcPr>
                  <w:tcW w:w="1991" w:type="dxa"/>
                  <w:tcBorders>
                    <w:tl2br w:val="nil"/>
                    <w:tr2bl w:val="nil"/>
                  </w:tcBorders>
                  <w:noWrap w:val="0"/>
                  <w:vAlign w:val="center"/>
                </w:tcPr>
                <w:p w14:paraId="4C7BC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7.5</w:t>
                  </w:r>
                </w:p>
              </w:tc>
              <w:tc>
                <w:tcPr>
                  <w:tcW w:w="1771" w:type="dxa"/>
                  <w:tcBorders>
                    <w:tl2br w:val="nil"/>
                    <w:tr2bl w:val="nil"/>
                  </w:tcBorders>
                  <w:noWrap w:val="0"/>
                  <w:vAlign w:val="center"/>
                </w:tcPr>
                <w:p w14:paraId="218963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lang w:val="en-US" w:eastAsia="zh-CN"/>
                    </w:rPr>
                    <w:t>0.60</w:t>
                  </w:r>
                </w:p>
              </w:tc>
            </w:tr>
          </w:tbl>
          <w:p w14:paraId="70A0931C">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3.13.2噪声</w:t>
            </w:r>
          </w:p>
          <w:p w14:paraId="2B088D38">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施工期执行《建筑施工噪声排放标准》（GB12523—2025）中</w:t>
            </w:r>
            <w:r>
              <w:rPr>
                <w:rFonts w:hint="eastAsia" w:cs="Times New Roman"/>
                <w:b w:val="0"/>
                <w:bCs w:val="0"/>
                <w:color w:val="auto"/>
                <w:highlight w:val="none"/>
                <w:lang w:val="en-US" w:eastAsia="zh-CN"/>
              </w:rPr>
              <w:t>表1</w:t>
            </w:r>
            <w:r>
              <w:rPr>
                <w:rFonts w:hint="eastAsia" w:ascii="Times New Roman" w:hAnsi="Times New Roman" w:eastAsia="宋体" w:cs="Times New Roman"/>
                <w:b w:val="0"/>
                <w:bCs w:val="0"/>
                <w:color w:val="auto"/>
                <w:highlight w:val="none"/>
                <w:lang w:val="en-US" w:eastAsia="zh-CN"/>
              </w:rPr>
              <w:t>的标准，具体标准值见下表。</w:t>
            </w:r>
          </w:p>
          <w:p w14:paraId="15D01B0A">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baseline"/>
              <w:rPr>
                <w:rFonts w:hint="eastAsia" w:eastAsia="宋体" w:cs="Times New Roman"/>
                <w:color w:val="auto"/>
                <w:highlight w:val="none"/>
                <w:lang w:eastAsia="zh-CN"/>
              </w:rPr>
            </w:pPr>
            <w:r>
              <w:rPr>
                <w:rFonts w:hint="default" w:cs="Times New Roman"/>
                <w:color w:val="auto"/>
                <w:highlight w:val="none"/>
              </w:rPr>
              <w:t>表</w:t>
            </w:r>
            <w:r>
              <w:rPr>
                <w:rFonts w:hint="eastAsia" w:cs="Times New Roman"/>
                <w:color w:val="auto"/>
                <w:highlight w:val="none"/>
                <w:lang w:val="en-US" w:eastAsia="zh-CN"/>
              </w:rPr>
              <w:t>3.13-2</w:t>
            </w:r>
            <w:r>
              <w:rPr>
                <w:rFonts w:hint="default" w:cs="Times New Roman"/>
                <w:color w:val="auto"/>
                <w:highlight w:val="none"/>
              </w:rPr>
              <w:t xml:space="preserve">   建筑施工噪声排放标准</w:t>
            </w:r>
            <w:r>
              <w:rPr>
                <w:rFonts w:hint="eastAsia" w:cs="Times New Roman"/>
                <w:color w:val="auto"/>
                <w:highlight w:val="none"/>
                <w:lang w:eastAsia="zh-CN"/>
              </w:rPr>
              <w:t>（</w:t>
            </w:r>
            <w:r>
              <w:rPr>
                <w:rFonts w:hint="default" w:cs="Times New Roman"/>
                <w:color w:val="auto"/>
                <w:highlight w:val="none"/>
              </w:rPr>
              <w:t>摘录</w:t>
            </w:r>
            <w:r>
              <w:rPr>
                <w:rFonts w:hint="eastAsia" w:cs="Times New Roman"/>
                <w:color w:val="auto"/>
                <w:highlight w:val="none"/>
                <w:lang w:eastAsia="zh-CN"/>
              </w:rPr>
              <w:t>）</w:t>
            </w:r>
            <w:r>
              <w:rPr>
                <w:rFonts w:hint="default" w:cs="Times New Roman"/>
                <w:color w:val="auto"/>
                <w:highlight w:val="none"/>
              </w:rPr>
              <w:t>单位：dB</w:t>
            </w:r>
            <w:r>
              <w:rPr>
                <w:rFonts w:hint="eastAsia" w:cs="Times New Roman"/>
                <w:color w:val="auto"/>
                <w:highlight w:val="none"/>
                <w:lang w:eastAsia="zh-CN"/>
              </w:rPr>
              <w:t>（</w:t>
            </w:r>
            <w:r>
              <w:rPr>
                <w:rFonts w:hint="default" w:cs="Times New Roman"/>
                <w:color w:val="auto"/>
                <w:highlight w:val="none"/>
              </w:rPr>
              <w:t>A</w:t>
            </w:r>
            <w:r>
              <w:rPr>
                <w:rFonts w:hint="eastAsia" w:cs="Times New Roman"/>
                <w:color w:val="auto"/>
                <w:highlight w:val="none"/>
                <w:lang w:eastAsia="zh-CN"/>
              </w:rPr>
              <w:t>）</w:t>
            </w:r>
          </w:p>
          <w:tbl>
            <w:tblPr>
              <w:tblStyle w:val="28"/>
              <w:tblW w:w="4999" w:type="pct"/>
              <w:tblInd w:w="15"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3976"/>
              <w:gridCol w:w="3976"/>
            </w:tblGrid>
            <w:tr w14:paraId="24F2C5C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00" w:type="pct"/>
                  <w:tcBorders>
                    <w:tl2br w:val="nil"/>
                    <w:tr2bl w:val="nil"/>
                  </w:tcBorders>
                  <w:noWrap w:val="0"/>
                  <w:vAlign w:val="top"/>
                </w:tcPr>
                <w:p w14:paraId="34B4C178">
                  <w:pPr>
                    <w:pStyle w:val="68"/>
                    <w:keepNext w:val="0"/>
                    <w:keepLines w:val="0"/>
                    <w:suppressLineNumbers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p>
              </w:tc>
              <w:tc>
                <w:tcPr>
                  <w:tcW w:w="2500" w:type="pct"/>
                  <w:tcBorders>
                    <w:tl2br w:val="nil"/>
                    <w:tr2bl w:val="nil"/>
                  </w:tcBorders>
                  <w:noWrap w:val="0"/>
                  <w:vAlign w:val="top"/>
                </w:tcPr>
                <w:p w14:paraId="7A445631">
                  <w:pPr>
                    <w:pStyle w:val="68"/>
                    <w:keepNext w:val="0"/>
                    <w:keepLines w:val="0"/>
                    <w:suppressLineNumbers w:val="0"/>
                    <w:spacing w:before="0" w:beforeAutospacing="0" w:after="0" w:afterAutospacing="0"/>
                    <w:ind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夜间</w:t>
                  </w:r>
                </w:p>
              </w:tc>
            </w:tr>
            <w:tr w14:paraId="731C23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00" w:type="pct"/>
                  <w:tcBorders>
                    <w:tl2br w:val="nil"/>
                    <w:tr2bl w:val="nil"/>
                  </w:tcBorders>
                  <w:noWrap w:val="0"/>
                  <w:vAlign w:val="center"/>
                </w:tcPr>
                <w:p w14:paraId="68F91D37">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70</w:t>
                  </w:r>
                </w:p>
              </w:tc>
              <w:tc>
                <w:tcPr>
                  <w:tcW w:w="2500" w:type="pct"/>
                  <w:tcBorders>
                    <w:tl2br w:val="nil"/>
                    <w:tr2bl w:val="nil"/>
                  </w:tcBorders>
                  <w:noWrap w:val="0"/>
                  <w:vAlign w:val="center"/>
                </w:tcPr>
                <w:p w14:paraId="5D49E13E">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55</w:t>
                  </w:r>
                </w:p>
              </w:tc>
            </w:tr>
          </w:tbl>
          <w:p w14:paraId="18A0BFED">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eastAsia"/>
                <w:b w:val="0"/>
                <w:bCs w:val="0"/>
                <w:color w:val="auto"/>
              </w:rPr>
            </w:pPr>
            <w:r>
              <w:rPr>
                <w:rFonts w:hint="eastAsia"/>
                <w:color w:val="auto"/>
                <w:lang w:val="en-US" w:eastAsia="zh-CN"/>
              </w:rPr>
              <w:t>3.13.3</w:t>
            </w:r>
            <w:r>
              <w:rPr>
                <w:rFonts w:hint="eastAsia"/>
                <w:b/>
                <w:bCs/>
                <w:color w:val="auto"/>
              </w:rPr>
              <w:t>一般工业固体废物</w:t>
            </w:r>
          </w:p>
          <w:p w14:paraId="52C950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b w:val="0"/>
                <w:bCs w:val="0"/>
                <w:color w:val="auto"/>
                <w:kern w:val="2"/>
                <w:sz w:val="24"/>
                <w:szCs w:val="32"/>
                <w:lang w:val="en-US" w:eastAsia="zh-CN" w:bidi="ar-SA"/>
              </w:rPr>
            </w:pPr>
            <w:r>
              <w:rPr>
                <w:rFonts w:hint="eastAsia" w:ascii="Times New Roman" w:hAnsi="Times New Roman" w:eastAsia="宋体" w:cs="Times New Roman"/>
                <w:b w:val="0"/>
                <w:bCs w:val="0"/>
                <w:color w:val="auto"/>
                <w:kern w:val="2"/>
                <w:sz w:val="24"/>
                <w:szCs w:val="32"/>
                <w:lang w:val="en-US" w:eastAsia="zh-CN" w:bidi="ar-SA"/>
              </w:rPr>
              <w:t>本项目施工期一般工业固体废物参考《一般工业固体废物贮存和填埋污染控制标准》（GB18599-2020）中的相关要求。</w:t>
            </w:r>
          </w:p>
          <w:p w14:paraId="23E2C125">
            <w:pPr>
              <w:pStyle w:val="24"/>
              <w:keepNext w:val="0"/>
              <w:keepLines w:val="0"/>
              <w:suppressLineNumbers w:val="0"/>
              <w:spacing w:before="0" w:beforeAutospacing="0" w:after="0" w:afterAutospacing="0"/>
              <w:ind w:left="0" w:leftChars="0" w:right="0" w:firstLine="0" w:firstLineChars="0"/>
              <w:rPr>
                <w:rFonts w:hint="eastAsia"/>
                <w:lang w:val="en-US" w:eastAsia="zh-CN"/>
              </w:rPr>
            </w:pPr>
            <w:r>
              <w:rPr>
                <w:rFonts w:hint="eastAsia"/>
                <w:lang w:val="en-US" w:eastAsia="zh-CN"/>
              </w:rPr>
              <w:t>3.13.4废水</w:t>
            </w:r>
          </w:p>
          <w:p w14:paraId="278311F5">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outlineLvl w:val="9"/>
              <w:rPr>
                <w:rFonts w:hint="eastAsia"/>
                <w:b w:val="0"/>
                <w:bCs w:val="0"/>
                <w:color w:val="auto"/>
                <w:lang w:val="en-US" w:eastAsia="zh-CN"/>
              </w:rPr>
            </w:pPr>
            <w:r>
              <w:rPr>
                <w:rFonts w:hint="eastAsia"/>
                <w:b w:val="0"/>
                <w:bCs w:val="0"/>
                <w:color w:val="auto"/>
                <w:lang w:val="en-US" w:eastAsia="zh-CN"/>
              </w:rPr>
              <w:t>生活污水执行《农村生活污水处理排放标准》（DB65 4275-2019）表2A级标准。生活污水进入一体化处理设施，处理后用于草地灌溉。</w:t>
            </w:r>
          </w:p>
          <w:p w14:paraId="15C1DB2C">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b w:val="0"/>
                <w:bCs w:val="0"/>
                <w:sz w:val="24"/>
                <w:szCs w:val="24"/>
              </w:rPr>
            </w:pPr>
            <w:r>
              <w:rPr>
                <w:rFonts w:hint="eastAsia"/>
                <w:sz w:val="24"/>
                <w:szCs w:val="24"/>
                <w:lang w:val="en-US" w:eastAsia="zh-CN"/>
              </w:rPr>
              <w:t>3.11.5</w:t>
            </w:r>
            <w:r>
              <w:rPr>
                <w:rFonts w:hint="eastAsia"/>
                <w:b/>
                <w:bCs/>
                <w:sz w:val="24"/>
                <w:szCs w:val="24"/>
                <w:lang w:val="en-US" w:eastAsia="zh-CN"/>
              </w:rPr>
              <w:t>危险</w:t>
            </w:r>
            <w:r>
              <w:rPr>
                <w:rFonts w:hint="eastAsia"/>
                <w:b/>
                <w:bCs/>
                <w:sz w:val="24"/>
                <w:szCs w:val="24"/>
              </w:rPr>
              <w:t>废物</w:t>
            </w:r>
          </w:p>
          <w:p w14:paraId="11385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lang w:val="en-US" w:eastAsia="zh-CN"/>
              </w:rPr>
            </w:pPr>
            <w:r>
              <w:rPr>
                <w:rFonts w:hint="default" w:ascii="Times New Roman" w:hAnsi="Times New Roman" w:eastAsia="宋体" w:cs="Times New Roman"/>
                <w:kern w:val="2"/>
                <w:sz w:val="24"/>
                <w:szCs w:val="24"/>
                <w:lang w:val="en-US" w:eastAsia="zh-CN" w:bidi="ar-SA"/>
              </w:rPr>
              <w:t>危险废物执行《危险废物贮存污染控制标准》（GB18597-2023）。</w:t>
            </w:r>
          </w:p>
        </w:tc>
      </w:tr>
      <w:tr w14:paraId="1CC363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800" w:type="dxa"/>
            <w:noWrap w:val="0"/>
            <w:vAlign w:val="center"/>
          </w:tcPr>
          <w:p w14:paraId="5A9B7404">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sz w:val="24"/>
                <w:szCs w:val="24"/>
              </w:rPr>
              <w:t>其他</w:t>
            </w:r>
          </w:p>
        </w:tc>
        <w:tc>
          <w:tcPr>
            <w:tcW w:w="8190" w:type="dxa"/>
            <w:noWrap w:val="0"/>
            <w:vAlign w:val="center"/>
          </w:tcPr>
          <w:p w14:paraId="3E7131F4">
            <w:pPr>
              <w:keepNext w:val="0"/>
              <w:keepLines w:val="0"/>
              <w:suppressLineNumbers w:val="0"/>
              <w:snapToGrid w:val="0"/>
              <w:spacing w:before="0" w:beforeAutospacing="0" w:after="0" w:afterAutospacing="0"/>
              <w:ind w:left="0" w:right="0" w:firstLine="480"/>
              <w:rPr>
                <w:rFonts w:hint="eastAsia" w:ascii="Times New Roman" w:hAnsi="Times New Roman" w:cs="Times New Roman"/>
                <w:bCs/>
                <w:color w:val="auto"/>
              </w:rPr>
            </w:pPr>
            <w:r>
              <w:rPr>
                <w:rFonts w:hint="eastAsia" w:ascii="宋体" w:hAnsi="宋体" w:cs="Times New Roman"/>
                <w:color w:val="auto"/>
                <w:szCs w:val="22"/>
              </w:rPr>
              <w:t>无</w:t>
            </w:r>
          </w:p>
        </w:tc>
      </w:tr>
    </w:tbl>
    <w:p w14:paraId="3B5B7A9B">
      <w:pPr>
        <w:pStyle w:val="2"/>
        <w:rPr>
          <w:snapToGrid w:val="0"/>
          <w:color w:val="auto"/>
        </w:rPr>
      </w:pPr>
      <w:r>
        <w:rPr>
          <w:snapToGrid w:val="0"/>
          <w:color w:val="auto"/>
          <w:sz w:val="36"/>
          <w:szCs w:val="36"/>
        </w:rPr>
        <w:br w:type="page"/>
      </w:r>
      <w:r>
        <w:rPr>
          <w:rFonts w:hint="eastAsia"/>
          <w:snapToGrid w:val="0"/>
          <w:color w:val="auto"/>
        </w:rPr>
        <w:t>四、生态环境影响分析</w:t>
      </w:r>
    </w:p>
    <w:tbl>
      <w:tblPr>
        <w:tblStyle w:val="28"/>
        <w:tblpPr w:leftFromText="180" w:rightFromText="180" w:vertAnchor="text" w:tblpXSpec="center" w:tblpY="1"/>
        <w:tblOverlap w:val="never"/>
        <w:tblW w:w="915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8557"/>
      </w:tblGrid>
      <w:tr w14:paraId="2C415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5" w:hRule="atLeast"/>
        </w:trPr>
        <w:tc>
          <w:tcPr>
            <w:tcW w:w="595" w:type="dxa"/>
            <w:noWrap w:val="0"/>
            <w:tcMar>
              <w:left w:w="28" w:type="dxa"/>
              <w:right w:w="28" w:type="dxa"/>
            </w:tcMar>
            <w:vAlign w:val="center"/>
          </w:tcPr>
          <w:p w14:paraId="0740EF7E">
            <w:pPr>
              <w:pStyle w:val="68"/>
              <w:keepNext w:val="0"/>
              <w:keepLines w:val="0"/>
              <w:suppressLineNumbers w:val="0"/>
              <w:spacing w:before="0" w:beforeAutospacing="0" w:after="0" w:afterAutospacing="0"/>
              <w:ind w:right="0"/>
              <w:rPr>
                <w:rFonts w:hint="eastAsia" w:ascii="Times New Roman" w:hAnsi="Times New Roman" w:cs="Times New Roman"/>
                <w:color w:val="auto"/>
              </w:rPr>
            </w:pPr>
            <w:bookmarkStart w:id="3" w:name="_Hlk69138538"/>
            <w:r>
              <w:rPr>
                <w:rFonts w:hint="eastAsia" w:ascii="Times New Roman" w:hAnsi="Times New Roman" w:cs="Times New Roman"/>
                <w:color w:val="auto"/>
                <w:sz w:val="24"/>
                <w:szCs w:val="24"/>
              </w:rPr>
              <w:t>施工期生态环境影响分析</w:t>
            </w:r>
          </w:p>
        </w:tc>
        <w:tc>
          <w:tcPr>
            <w:tcW w:w="8557" w:type="dxa"/>
            <w:noWrap w:val="0"/>
            <w:vAlign w:val="center"/>
          </w:tcPr>
          <w:p w14:paraId="17793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本项目探矿期间主要的环境影响为探矿过程产生的废水、废气、噪声、固体废物排放对环境的影响及生态保护措施。</w:t>
            </w:r>
          </w:p>
          <w:p w14:paraId="6A6B149C">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4.1</w:t>
            </w:r>
            <w:r>
              <w:rPr>
                <w:rFonts w:hint="eastAsia"/>
                <w:color w:val="auto"/>
              </w:rPr>
              <w:t>大气环境影响分析</w:t>
            </w:r>
          </w:p>
          <w:p w14:paraId="7CE615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lang w:val="en-US" w:eastAsia="zh-CN"/>
              </w:rPr>
            </w:pPr>
            <w:r>
              <w:rPr>
                <w:rFonts w:hint="eastAsia" w:ascii="Times New Roman" w:hAnsi="Times New Roman" w:cs="Times New Roman"/>
                <w:color w:val="auto"/>
              </w:rPr>
              <w:t>结合项目施工特点及施工内容，本项目施工期大气污染源来自</w:t>
            </w:r>
            <w:r>
              <w:rPr>
                <w:rFonts w:hint="eastAsia" w:ascii="Times New Roman" w:hAnsi="Times New Roman" w:cs="Times New Roman"/>
                <w:color w:val="auto"/>
                <w:lang w:val="en-US" w:eastAsia="zh-CN"/>
              </w:rPr>
              <w:t>临时堆场、槽探、运输道路产生的扬尘以及</w:t>
            </w:r>
            <w:r>
              <w:rPr>
                <w:rFonts w:hint="eastAsia" w:ascii="Times New Roman" w:hAnsi="Times New Roman" w:cs="Times New Roman"/>
                <w:color w:val="auto"/>
              </w:rPr>
              <w:t>车辆、柴油发电机废气</w:t>
            </w:r>
            <w:r>
              <w:rPr>
                <w:rFonts w:hint="eastAsia" w:ascii="Times New Roman" w:hAnsi="Times New Roman" w:cs="Times New Roman"/>
                <w:color w:val="auto"/>
                <w:lang w:val="en-US" w:eastAsia="zh-CN"/>
              </w:rPr>
              <w:t>。</w:t>
            </w:r>
          </w:p>
          <w:p w14:paraId="6AED93E2">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4.1.1</w:t>
            </w:r>
            <w:r>
              <w:rPr>
                <w:rFonts w:hint="eastAsia"/>
                <w:color w:val="auto"/>
              </w:rPr>
              <w:t>扬尘</w:t>
            </w:r>
          </w:p>
          <w:p w14:paraId="1562A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在勘查过程中，扬尘污染来源于：</w:t>
            </w:r>
            <w:r>
              <w:rPr>
                <w:rFonts w:hint="eastAsia" w:ascii="Times New Roman" w:hAnsi="Times New Roman" w:cs="Times New Roman"/>
                <w:color w:val="auto"/>
                <w:lang w:val="en-US" w:eastAsia="zh-CN"/>
              </w:rPr>
              <w:t>临时堆场、槽探、运输道路</w:t>
            </w:r>
            <w:r>
              <w:rPr>
                <w:rFonts w:hint="eastAsia" w:ascii="Times New Roman" w:hAnsi="Times New Roman" w:cs="Times New Roman"/>
                <w:color w:val="auto"/>
              </w:rPr>
              <w:t>。</w:t>
            </w:r>
          </w:p>
          <w:p w14:paraId="3AEE0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宋体" w:hAnsi="宋体" w:cs="宋体"/>
                <w:color w:val="auto"/>
              </w:rPr>
              <w:t>①</w:t>
            </w:r>
            <w:r>
              <w:rPr>
                <w:rFonts w:hint="eastAsia" w:ascii="Times New Roman" w:hAnsi="Times New Roman" w:cs="Times New Roman"/>
                <w:color w:val="auto"/>
                <w:lang w:val="en-US" w:eastAsia="zh-CN"/>
              </w:rPr>
              <w:t>临时堆场</w:t>
            </w:r>
          </w:p>
          <w:p w14:paraId="4559E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对临时堆放的渣土表面进行压实，设置</w:t>
            </w:r>
            <w:r>
              <w:rPr>
                <w:rFonts w:hint="eastAsia" w:ascii="Times New Roman" w:hAnsi="Times New Roman" w:cs="Times New Roman"/>
                <w:color w:val="auto"/>
                <w:lang w:val="en-US" w:eastAsia="zh-CN"/>
              </w:rPr>
              <w:t>篷布苫盖</w:t>
            </w:r>
            <w:r>
              <w:rPr>
                <w:rFonts w:hint="eastAsia" w:ascii="Times New Roman" w:hAnsi="Times New Roman" w:cs="Times New Roman"/>
                <w:color w:val="auto"/>
              </w:rPr>
              <w:t>，</w:t>
            </w:r>
            <w:r>
              <w:rPr>
                <w:rFonts w:hint="eastAsia" w:ascii="Times New Roman" w:hAnsi="Times New Roman" w:cs="Times New Roman"/>
                <w:color w:val="auto"/>
                <w:lang w:val="en-US" w:eastAsia="zh-CN"/>
              </w:rPr>
              <w:t>并且</w:t>
            </w:r>
            <w:r>
              <w:rPr>
                <w:rFonts w:hint="eastAsia" w:ascii="Times New Roman" w:hAnsi="Times New Roman" w:cs="Times New Roman"/>
                <w:color w:val="auto"/>
              </w:rPr>
              <w:t>辅以洒水抑尘，可有效控制尘源，进一步减轻对环境的影响。</w:t>
            </w:r>
          </w:p>
          <w:p w14:paraId="3AF3B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②运输道路</w:t>
            </w:r>
          </w:p>
          <w:p w14:paraId="2DB9F2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rPr>
              <w:t>前期矿区内部道路平整过程以及车辆运输样品及生活用品时会产生一定扬尘，施工扬尘的污染程度与风速、粉尘颗粒、粉尘含水量和汽车行驶速度等因素有关，汽车行驶速度和风速增大，产生的起尘量</w:t>
            </w:r>
            <w:r>
              <w:rPr>
                <w:rFonts w:hint="eastAsia" w:ascii="Times New Roman" w:hAnsi="Times New Roman" w:cs="Times New Roman"/>
                <w:color w:val="auto"/>
                <w:lang w:eastAsia="zh-CN"/>
              </w:rPr>
              <w:t>成正比</w:t>
            </w:r>
            <w:r>
              <w:rPr>
                <w:rFonts w:hint="eastAsia" w:ascii="Times New Roman" w:hAnsi="Times New Roman" w:cs="Times New Roman"/>
                <w:color w:val="auto"/>
              </w:rPr>
              <w:t>或</w:t>
            </w:r>
            <w:r>
              <w:rPr>
                <w:rFonts w:hint="eastAsia" w:ascii="Times New Roman" w:hAnsi="Times New Roman" w:cs="Times New Roman"/>
                <w:color w:val="auto"/>
                <w:lang w:val="en-US" w:eastAsia="zh-CN"/>
              </w:rPr>
              <w:t>指</w:t>
            </w:r>
            <w:r>
              <w:rPr>
                <w:rFonts w:hint="eastAsia" w:ascii="Times New Roman" w:hAnsi="Times New Roman" w:cs="Times New Roman"/>
                <w:color w:val="auto"/>
              </w:rPr>
              <w:t>数增加，粉尘污染范围相应扩大。粉尘含水量增大，粉尘污染范围相应减小。施工扬尘会造成局部地段降尘量增多，对施工现场周围的大气环境会产生一定的影响。但这种污染是局部的、短期的，工程完成之后这种影响就会消失。</w:t>
            </w:r>
          </w:p>
          <w:p w14:paraId="1AACA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要求与建议：</w:t>
            </w:r>
          </w:p>
          <w:p w14:paraId="79623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a.</w:t>
            </w:r>
            <w:r>
              <w:rPr>
                <w:rFonts w:hint="eastAsia" w:ascii="Times New Roman" w:hAnsi="Times New Roman" w:cs="Times New Roman"/>
                <w:color w:val="auto"/>
              </w:rPr>
              <w:t>及时清理场地</w:t>
            </w:r>
            <w:r>
              <w:rPr>
                <w:rFonts w:hint="eastAsia" w:ascii="Times New Roman" w:hAnsi="Times New Roman" w:cs="Times New Roman"/>
                <w:color w:val="auto"/>
                <w:lang w:val="en-US" w:eastAsia="zh-CN"/>
              </w:rPr>
              <w:t>土石方</w:t>
            </w:r>
            <w:r>
              <w:rPr>
                <w:rFonts w:hint="eastAsia" w:ascii="Times New Roman" w:hAnsi="Times New Roman" w:cs="Times New Roman"/>
                <w:color w:val="auto"/>
              </w:rPr>
              <w:t>，不能及时清运的要求采取覆盖，洒水抑尘等措施；</w:t>
            </w:r>
          </w:p>
          <w:p w14:paraId="11A7E4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b.</w:t>
            </w:r>
            <w:r>
              <w:rPr>
                <w:rFonts w:hint="eastAsia" w:ascii="Times New Roman" w:hAnsi="Times New Roman" w:cs="Times New Roman"/>
                <w:color w:val="auto"/>
              </w:rPr>
              <w:t>尽量缩短施工期，干燥、大风天气施工必须采取洒水抑尘措施；</w:t>
            </w:r>
          </w:p>
          <w:p w14:paraId="3CDA50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c.运输道路要定时进行清扫、洒水；</w:t>
            </w:r>
          </w:p>
          <w:p w14:paraId="413C17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治理措施：在工作中建议施工人员</w:t>
            </w:r>
            <w:r>
              <w:rPr>
                <w:rFonts w:hint="default" w:ascii="Times New Roman" w:hAnsi="Times New Roman" w:cs="Times New Roman"/>
                <w:color w:val="auto"/>
              </w:rPr>
              <w:t>戴口罩、防尘面罩等劳动防护装备</w:t>
            </w:r>
            <w:r>
              <w:rPr>
                <w:rFonts w:hint="eastAsia" w:ascii="Times New Roman" w:hAnsi="Times New Roman" w:cs="Times New Roman"/>
                <w:color w:val="auto"/>
              </w:rPr>
              <w:t>，同时</w:t>
            </w:r>
            <w:r>
              <w:rPr>
                <w:rFonts w:hint="default" w:ascii="Times New Roman" w:hAnsi="Times New Roman" w:cs="Times New Roman"/>
                <w:color w:val="auto"/>
              </w:rPr>
              <w:t>避开大风天气作业</w:t>
            </w:r>
            <w:r>
              <w:rPr>
                <w:rFonts w:hint="eastAsia" w:ascii="Times New Roman" w:hAnsi="Times New Roman" w:cs="Times New Roman"/>
                <w:color w:val="auto"/>
              </w:rPr>
              <w:t>，矿区内部道路限速行驶</w:t>
            </w:r>
            <w:r>
              <w:rPr>
                <w:rFonts w:hint="default" w:ascii="Times New Roman" w:hAnsi="Times New Roman" w:cs="Times New Roman"/>
                <w:color w:val="auto"/>
              </w:rPr>
              <w:t>。</w:t>
            </w:r>
            <w:r>
              <w:rPr>
                <w:rFonts w:hint="eastAsia" w:ascii="Times New Roman" w:hAnsi="Times New Roman" w:cs="Times New Roman"/>
                <w:color w:val="auto"/>
              </w:rPr>
              <w:t>对于</w:t>
            </w:r>
            <w:r>
              <w:rPr>
                <w:rFonts w:hint="eastAsia" w:ascii="Times New Roman" w:hAnsi="Times New Roman" w:cs="Times New Roman"/>
                <w:color w:val="auto"/>
                <w:lang w:val="en-US" w:eastAsia="zh-CN"/>
              </w:rPr>
              <w:t>槽探产生</w:t>
            </w:r>
            <w:r>
              <w:rPr>
                <w:rFonts w:hint="eastAsia" w:ascii="Times New Roman" w:hAnsi="Times New Roman" w:cs="Times New Roman"/>
                <w:color w:val="auto"/>
              </w:rPr>
              <w:t>土石方，</w:t>
            </w:r>
            <w:r>
              <w:rPr>
                <w:rFonts w:hint="eastAsia" w:ascii="Times New Roman" w:hAnsi="Times New Roman" w:cs="Times New Roman"/>
                <w:bCs/>
                <w:color w:val="auto"/>
              </w:rPr>
              <w:t>要求采用篷布覆盖，可有效减少扬尘的产生，</w:t>
            </w:r>
            <w:r>
              <w:rPr>
                <w:rFonts w:hint="eastAsia" w:ascii="Times New Roman" w:hAnsi="Times New Roman" w:cs="Times New Roman"/>
                <w:color w:val="auto"/>
              </w:rPr>
              <w:t>由于挖方量较小，所以扬尘产生量较小。</w:t>
            </w:r>
          </w:p>
          <w:p w14:paraId="09975B4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lang w:val="en-US"/>
              </w:rPr>
            </w:pPr>
            <w:r>
              <w:rPr>
                <w:rFonts w:hint="eastAsia"/>
                <w:color w:val="auto"/>
                <w:lang w:val="en-US" w:eastAsia="zh-CN"/>
              </w:rPr>
              <w:t>4.1.2燃油废气</w:t>
            </w:r>
          </w:p>
          <w:p w14:paraId="22F044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lang w:val="en-US" w:eastAsia="zh-CN"/>
              </w:rPr>
              <w:t>产生情况：项目使用柴油发电机发电，会产生少量的燃油废气</w:t>
            </w:r>
            <w:r>
              <w:rPr>
                <w:rFonts w:hint="default" w:ascii="Times New Roman" w:hAnsi="Times New Roman" w:cs="Times New Roman"/>
                <w:color w:val="auto"/>
                <w:highlight w:val="none"/>
                <w:lang w:val="en-US" w:eastAsia="zh-CN"/>
              </w:rPr>
              <w:t>，本项目柴油使用量约为</w:t>
            </w:r>
            <w:r>
              <w:rPr>
                <w:rFonts w:hint="eastAsia" w:ascii="Times New Roman" w:hAnsi="Times New Roman" w:cs="Times New Roman"/>
                <w:color w:val="auto"/>
                <w:highlight w:val="none"/>
                <w:lang w:val="en-US" w:eastAsia="zh-CN"/>
              </w:rPr>
              <w:t>0.25t/a</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根据《非道路移动源大气污染物排放清单编制技术指南》</w:t>
            </w:r>
            <w:r>
              <w:rPr>
                <w:rFonts w:hint="eastAsia" w:ascii="Times New Roman" w:hAnsi="Times New Roman" w:eastAsia="宋体" w:cs="Times New Roman"/>
                <w:color w:val="auto"/>
                <w:kern w:val="0"/>
                <w:sz w:val="24"/>
                <w:szCs w:val="24"/>
                <w:highlight w:val="none"/>
                <w:lang w:val="en-US" w:eastAsia="zh-CN"/>
              </w:rPr>
              <w:t>（生态环境部</w:t>
            </w:r>
            <w:r>
              <w:rPr>
                <w:rFonts w:hint="eastAsia" w:ascii="宋体" w:hAnsi="宋体" w:eastAsia="宋体" w:cs="宋体"/>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2014</w:t>
            </w:r>
            <w:r>
              <w:rPr>
                <w:rFonts w:hint="eastAsia" w:ascii="宋体" w:hAnsi="宋体" w:eastAsia="宋体" w:cs="宋体"/>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92号）</w:t>
            </w:r>
            <w:r>
              <w:rPr>
                <w:rFonts w:hint="default" w:ascii="Times New Roman" w:hAnsi="Times New Roman" w:eastAsia="宋体" w:cs="Times New Roman"/>
                <w:color w:val="auto"/>
                <w:kern w:val="0"/>
                <w:sz w:val="24"/>
                <w:szCs w:val="24"/>
                <w:highlight w:val="none"/>
                <w:lang w:val="en-US" w:eastAsia="zh-CN"/>
              </w:rPr>
              <w:t>中非道路移动机械</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包括柴油发电机</w:t>
            </w:r>
            <w:r>
              <w:rPr>
                <w:rFonts w:hint="default" w:ascii="Times New Roman" w:hAnsi="Times New Roman" w:eastAsia="宋体" w:cs="Times New Roman"/>
                <w:color w:val="auto"/>
                <w:kern w:val="0"/>
                <w:sz w:val="24"/>
                <w:szCs w:val="24"/>
                <w:lang w:val="en-US" w:eastAsia="zh-CN"/>
              </w:rPr>
              <w:t>组</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大气污染物排放量计算方法1，计算CO、NO</w:t>
            </w:r>
            <w:r>
              <w:rPr>
                <w:rFonts w:hint="default" w:ascii="Times New Roman" w:hAnsi="Times New Roman" w:eastAsia="宋体" w:cs="Times New Roman"/>
                <w:color w:val="auto"/>
                <w:kern w:val="0"/>
                <w:sz w:val="24"/>
                <w:szCs w:val="24"/>
                <w:vertAlign w:val="subscript"/>
                <w:lang w:val="en-US" w:eastAsia="zh-CN"/>
              </w:rPr>
              <w:t>2</w:t>
            </w:r>
            <w:r>
              <w:rPr>
                <w:rFonts w:hint="default" w:ascii="Times New Roman" w:hAnsi="Times New Roman" w:eastAsia="宋体" w:cs="Times New Roman"/>
                <w:color w:val="auto"/>
                <w:kern w:val="0"/>
                <w:sz w:val="24"/>
                <w:szCs w:val="24"/>
                <w:lang w:val="en-US" w:eastAsia="zh-CN"/>
              </w:rPr>
              <w:t>和</w:t>
            </w:r>
            <w:r>
              <w:rPr>
                <w:rFonts w:hint="eastAsia" w:ascii="Times New Roman" w:hAnsi="Times New Roman" w:eastAsia="宋体" w:cs="Times New Roman"/>
                <w:color w:val="auto"/>
                <w:kern w:val="0"/>
                <w:sz w:val="24"/>
                <w:szCs w:val="24"/>
                <w:lang w:val="en-US" w:eastAsia="zh-CN"/>
              </w:rPr>
              <w:t>T</w:t>
            </w:r>
            <w:r>
              <w:rPr>
                <w:rFonts w:hint="default" w:ascii="Times New Roman" w:hAnsi="Times New Roman" w:eastAsia="宋体" w:cs="Times New Roman"/>
                <w:color w:val="auto"/>
                <w:kern w:val="0"/>
                <w:sz w:val="24"/>
                <w:szCs w:val="24"/>
                <w:lang w:val="en-US" w:eastAsia="zh-CN"/>
              </w:rPr>
              <w:t>HC、PM</w:t>
            </w:r>
            <w:r>
              <w:rPr>
                <w:rFonts w:hint="default" w:ascii="Times New Roman" w:hAnsi="Times New Roman" w:eastAsia="宋体" w:cs="Times New Roman"/>
                <w:color w:val="auto"/>
                <w:kern w:val="0"/>
                <w:sz w:val="24"/>
                <w:szCs w:val="24"/>
                <w:vertAlign w:val="subscript"/>
                <w:lang w:val="en-US" w:eastAsia="zh-CN"/>
              </w:rPr>
              <w:t>2.5</w:t>
            </w:r>
            <w:r>
              <w:rPr>
                <w:rFonts w:hint="default" w:ascii="Times New Roman" w:hAnsi="Times New Roman" w:eastAsia="宋体" w:cs="Times New Roman"/>
                <w:color w:val="auto"/>
                <w:kern w:val="0"/>
                <w:sz w:val="24"/>
                <w:szCs w:val="24"/>
                <w:lang w:val="en-US" w:eastAsia="zh-CN"/>
              </w:rPr>
              <w:t>和PM</w:t>
            </w:r>
            <w:r>
              <w:rPr>
                <w:rFonts w:hint="default" w:ascii="Times New Roman" w:hAnsi="Times New Roman" w:eastAsia="宋体" w:cs="Times New Roman"/>
                <w:color w:val="auto"/>
                <w:kern w:val="0"/>
                <w:sz w:val="24"/>
                <w:szCs w:val="24"/>
                <w:vertAlign w:val="subscript"/>
                <w:lang w:val="en-US" w:eastAsia="zh-CN"/>
              </w:rPr>
              <w:t>10</w:t>
            </w:r>
            <w:r>
              <w:rPr>
                <w:rFonts w:hint="default" w:ascii="Times New Roman" w:hAnsi="Times New Roman" w:eastAsia="宋体" w:cs="Times New Roman"/>
                <w:color w:val="auto"/>
                <w:kern w:val="0"/>
                <w:sz w:val="24"/>
                <w:szCs w:val="24"/>
                <w:lang w:val="en-US" w:eastAsia="zh-CN"/>
              </w:rPr>
              <w:t>的排放量。计算公式如下：</w:t>
            </w:r>
          </w:p>
          <w:p w14:paraId="1E8D5743">
            <w:pPr>
              <w:pStyle w:val="5"/>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643" w:firstLineChars="200"/>
              <w:jc w:val="left"/>
              <w:textAlignment w:val="auto"/>
              <w:outlineLvl w:val="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position w:val="-10"/>
                <w:lang w:val="en-US" w:eastAsia="zh-CN"/>
              </w:rPr>
              <w:object>
                <v:shape id="_x0000_i1026" o:spt="75" type="#_x0000_t75" style="height:18pt;width:92pt;" o:ole="t" filled="f" o:preferrelative="t" stroked="f" coordsize="21600,21600">
                  <v:path/>
                  <v:fill on="f" focussize="0,0"/>
                  <v:stroke on="f"/>
                  <v:imagedata r:id="rId17" o:title=""/>
                  <o:lock v:ext="edit" aspectratio="t"/>
                  <w10:wrap type="none"/>
                  <w10:anchorlock/>
                </v:shape>
                <o:OLEObject Type="Embed" ProgID="Equation.KSEE3" ShapeID="_x0000_i1026" DrawAspect="Content" ObjectID="_1468075726" r:id="rId16">
                  <o:LockedField>false</o:LockedField>
                </o:OLEObject>
              </w:object>
            </w:r>
          </w:p>
          <w:p w14:paraId="321917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式中，E为非道路移动机械的CO、</w:t>
            </w:r>
            <w:r>
              <w:rPr>
                <w:rFonts w:hint="eastAsia"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lang w:val="en-US" w:eastAsia="zh-CN"/>
              </w:rPr>
              <w:t>HC、NO</w:t>
            </w:r>
            <w:r>
              <w:rPr>
                <w:rFonts w:hint="default" w:ascii="Times New Roman" w:hAnsi="Times New Roman" w:eastAsia="宋体" w:cs="Times New Roman"/>
                <w:color w:val="auto"/>
                <w:sz w:val="24"/>
                <w:szCs w:val="24"/>
                <w:vertAlign w:val="subscript"/>
                <w:lang w:val="en-US" w:eastAsia="zh-CN"/>
              </w:rPr>
              <w:t>X</w:t>
            </w:r>
            <w:r>
              <w:rPr>
                <w:rFonts w:hint="default" w:ascii="Times New Roman" w:hAnsi="Times New Roman" w:eastAsia="宋体" w:cs="Times New Roman"/>
                <w:color w:val="auto"/>
                <w:sz w:val="24"/>
                <w:szCs w:val="24"/>
                <w:lang w:val="en-US" w:eastAsia="zh-CN"/>
              </w:rPr>
              <w:t>、PM</w:t>
            </w:r>
            <w:r>
              <w:rPr>
                <w:rFonts w:hint="default" w:ascii="Times New Roman" w:hAnsi="Times New Roman" w:eastAsia="宋体" w:cs="Times New Roman"/>
                <w:color w:val="auto"/>
                <w:sz w:val="24"/>
                <w:szCs w:val="24"/>
                <w:vertAlign w:val="subscript"/>
                <w:lang w:val="en-US" w:eastAsia="zh-CN"/>
              </w:rPr>
              <w:t>2.5</w:t>
            </w:r>
            <w:r>
              <w:rPr>
                <w:rFonts w:hint="default" w:ascii="Times New Roman" w:hAnsi="Times New Roman" w:eastAsia="宋体" w:cs="Times New Roman"/>
                <w:color w:val="auto"/>
                <w:sz w:val="24"/>
                <w:szCs w:val="24"/>
                <w:lang w:val="en-US" w:eastAsia="zh-CN"/>
              </w:rPr>
              <w:t>和PM</w:t>
            </w:r>
            <w:r>
              <w:rPr>
                <w:rFonts w:hint="default" w:ascii="Times New Roman" w:hAnsi="Times New Roman" w:eastAsia="宋体" w:cs="Times New Roman"/>
                <w:color w:val="auto"/>
                <w:sz w:val="24"/>
                <w:szCs w:val="24"/>
                <w:vertAlign w:val="subscript"/>
                <w:lang w:val="en-US" w:eastAsia="zh-CN"/>
              </w:rPr>
              <w:t>10</w:t>
            </w:r>
            <w:r>
              <w:rPr>
                <w:rFonts w:hint="default" w:ascii="Times New Roman" w:hAnsi="Times New Roman" w:eastAsia="宋体" w:cs="Times New Roman"/>
                <w:color w:val="auto"/>
                <w:sz w:val="24"/>
                <w:szCs w:val="24"/>
                <w:lang w:val="en-US" w:eastAsia="zh-CN"/>
              </w:rPr>
              <w:t>排放量，单位为吨；Y为燃油消耗量，单位为千克；EF为排放系数，单位为g/kg燃料。</w:t>
            </w:r>
          </w:p>
          <w:p w14:paraId="2A8E0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根据该指南方法1适用的非道路移动机械平均排放系数</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g/kg燃料</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，柴油发电机组SO</w:t>
            </w:r>
            <w:r>
              <w:rPr>
                <w:rFonts w:hint="default" w:ascii="Times New Roman" w:hAnsi="Times New Roman" w:eastAsia="宋体" w:cs="Times New Roman"/>
                <w:color w:val="auto"/>
                <w:kern w:val="0"/>
                <w:sz w:val="24"/>
                <w:szCs w:val="24"/>
                <w:vertAlign w:val="subscript"/>
                <w:lang w:val="en-US" w:eastAsia="zh-CN"/>
              </w:rPr>
              <w:t>2</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CO、</w:t>
            </w:r>
            <w:r>
              <w:rPr>
                <w:rFonts w:hint="eastAsia" w:ascii="Times New Roman" w:hAnsi="Times New Roman" w:eastAsia="宋体" w:cs="Times New Roman"/>
                <w:color w:val="auto"/>
                <w:kern w:val="0"/>
                <w:sz w:val="24"/>
                <w:szCs w:val="24"/>
                <w:lang w:val="en-US" w:eastAsia="zh-CN"/>
              </w:rPr>
              <w:t>T</w:t>
            </w:r>
            <w:r>
              <w:rPr>
                <w:rFonts w:hint="default" w:ascii="Times New Roman" w:hAnsi="Times New Roman" w:eastAsia="宋体" w:cs="Times New Roman"/>
                <w:color w:val="auto"/>
                <w:kern w:val="0"/>
                <w:sz w:val="24"/>
                <w:szCs w:val="24"/>
                <w:lang w:val="en-US" w:eastAsia="zh-CN"/>
              </w:rPr>
              <w:t>HC、NO</w:t>
            </w:r>
            <w:r>
              <w:rPr>
                <w:rFonts w:hint="default" w:ascii="Times New Roman" w:hAnsi="Times New Roman" w:eastAsia="宋体" w:cs="Times New Roman"/>
                <w:color w:val="auto"/>
                <w:kern w:val="0"/>
                <w:sz w:val="24"/>
                <w:szCs w:val="24"/>
                <w:vertAlign w:val="subscript"/>
                <w:lang w:val="en-US" w:eastAsia="zh-CN"/>
              </w:rPr>
              <w:t>X</w:t>
            </w:r>
            <w:r>
              <w:rPr>
                <w:rFonts w:hint="default" w:ascii="Times New Roman" w:hAnsi="Times New Roman" w:eastAsia="宋体" w:cs="Times New Roman"/>
                <w:color w:val="auto"/>
                <w:kern w:val="0"/>
                <w:sz w:val="24"/>
                <w:szCs w:val="24"/>
                <w:lang w:val="en-US" w:eastAsia="zh-CN"/>
              </w:rPr>
              <w:t>、PM</w:t>
            </w:r>
            <w:r>
              <w:rPr>
                <w:rFonts w:hint="default" w:ascii="Times New Roman" w:hAnsi="Times New Roman" w:eastAsia="宋体" w:cs="Times New Roman"/>
                <w:color w:val="auto"/>
                <w:kern w:val="0"/>
                <w:sz w:val="24"/>
                <w:szCs w:val="24"/>
                <w:vertAlign w:val="subscript"/>
                <w:lang w:val="en-US" w:eastAsia="zh-CN"/>
              </w:rPr>
              <w:t>2.5</w:t>
            </w:r>
            <w:r>
              <w:rPr>
                <w:rFonts w:hint="default" w:ascii="Times New Roman" w:hAnsi="Times New Roman" w:eastAsia="宋体" w:cs="Times New Roman"/>
                <w:color w:val="auto"/>
                <w:kern w:val="0"/>
                <w:sz w:val="24"/>
                <w:szCs w:val="24"/>
                <w:lang w:val="en-US" w:eastAsia="zh-CN"/>
              </w:rPr>
              <w:t>和PM</w:t>
            </w:r>
            <w:r>
              <w:rPr>
                <w:rFonts w:hint="default" w:ascii="Times New Roman" w:hAnsi="Times New Roman" w:eastAsia="宋体" w:cs="Times New Roman"/>
                <w:color w:val="auto"/>
                <w:kern w:val="0"/>
                <w:sz w:val="24"/>
                <w:szCs w:val="24"/>
                <w:vertAlign w:val="subscript"/>
                <w:lang w:val="en-US" w:eastAsia="zh-CN"/>
              </w:rPr>
              <w:t>10</w:t>
            </w:r>
            <w:r>
              <w:rPr>
                <w:rFonts w:hint="default" w:ascii="Times New Roman" w:hAnsi="Times New Roman" w:eastAsia="宋体" w:cs="Times New Roman"/>
                <w:color w:val="auto"/>
                <w:kern w:val="0"/>
                <w:sz w:val="24"/>
                <w:szCs w:val="24"/>
                <w:lang w:val="en-US" w:eastAsia="zh-CN"/>
              </w:rPr>
              <w:t>的排放系数分别为</w:t>
            </w:r>
            <w:r>
              <w:rPr>
                <w:rFonts w:hint="eastAsia" w:ascii="Times New Roman" w:hAnsi="Times New Roman" w:eastAsia="宋体" w:cs="Times New Roman"/>
                <w:color w:val="auto"/>
                <w:kern w:val="0"/>
                <w:sz w:val="24"/>
                <w:szCs w:val="24"/>
                <w:lang w:val="en-US" w:eastAsia="zh-CN"/>
              </w:rPr>
              <w:t>0.35</w:t>
            </w:r>
            <w:r>
              <w:rPr>
                <w:rFonts w:hint="default" w:ascii="Times New Roman" w:hAnsi="Times New Roman" w:eastAsia="宋体" w:cs="Times New Roman"/>
                <w:color w:val="auto"/>
                <w:kern w:val="0"/>
                <w:sz w:val="24"/>
                <w:szCs w:val="24"/>
                <w:lang w:val="en-US" w:eastAsia="zh-CN"/>
              </w:rPr>
              <w:t>1g/kg燃料</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0.72g/kg燃料、3.39g/kg燃料、32.79g/kg燃料、2.09g/kg燃料、2.09g/kg燃料。</w:t>
            </w:r>
          </w:p>
          <w:p w14:paraId="44A64A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lang w:val="en-US" w:eastAsia="zh-CN"/>
              </w:rPr>
            </w:pPr>
            <w:r>
              <w:rPr>
                <w:rFonts w:hint="default" w:ascii="Times New Roman" w:hAnsi="Times New Roman" w:eastAsia="宋体" w:cs="Times New Roman"/>
                <w:color w:val="auto"/>
                <w:kern w:val="0"/>
                <w:sz w:val="24"/>
                <w:szCs w:val="24"/>
                <w:lang w:val="en-US" w:eastAsia="zh-CN"/>
              </w:rPr>
              <w:t>本项目施工地点较为开阔，扩散条件较好，不会对周边环境产生影响。项目施工期间排放的大气污染物将随工程的结束而消失。</w:t>
            </w:r>
            <w:r>
              <w:rPr>
                <w:rFonts w:hint="default" w:ascii="Times New Roman" w:hAnsi="Times New Roman" w:eastAsia="宋体" w:cs="Times New Roman"/>
                <w:color w:val="auto"/>
                <w:kern w:val="0"/>
                <w:sz w:val="24"/>
                <w:szCs w:val="24"/>
                <w:lang w:eastAsia="zh-CN"/>
              </w:rPr>
              <w:t>则本项目</w:t>
            </w:r>
            <w:r>
              <w:rPr>
                <w:rFonts w:hint="eastAsia" w:ascii="Times New Roman" w:hAnsi="Times New Roman" w:eastAsia="宋体" w:cs="Times New Roman"/>
                <w:color w:val="auto"/>
                <w:kern w:val="0"/>
                <w:sz w:val="24"/>
                <w:szCs w:val="24"/>
                <w:lang w:eastAsia="zh-CN"/>
              </w:rPr>
              <w:t>施工</w:t>
            </w:r>
            <w:r>
              <w:rPr>
                <w:rFonts w:hint="default" w:ascii="Times New Roman" w:hAnsi="Times New Roman" w:eastAsia="宋体" w:cs="Times New Roman"/>
                <w:color w:val="auto"/>
                <w:kern w:val="0"/>
                <w:sz w:val="24"/>
                <w:szCs w:val="24"/>
                <w:lang w:eastAsia="zh-CN"/>
              </w:rPr>
              <w:t>期间机械设备的</w:t>
            </w:r>
            <w:r>
              <w:rPr>
                <w:rFonts w:hint="eastAsia" w:ascii="Times New Roman" w:hAnsi="Times New Roman" w:eastAsia="宋体" w:cs="Times New Roman"/>
                <w:color w:val="auto"/>
                <w:kern w:val="0"/>
                <w:sz w:val="24"/>
                <w:szCs w:val="24"/>
                <w:lang w:val="en-US" w:eastAsia="zh-CN"/>
              </w:rPr>
              <w:t>燃油废气</w:t>
            </w:r>
            <w:r>
              <w:rPr>
                <w:rFonts w:hint="default" w:ascii="Times New Roman" w:hAnsi="Times New Roman" w:eastAsia="宋体" w:cs="Times New Roman"/>
                <w:color w:val="auto"/>
                <w:kern w:val="0"/>
                <w:sz w:val="24"/>
                <w:szCs w:val="24"/>
                <w:lang w:eastAsia="zh-CN"/>
              </w:rPr>
              <w:t>产生情况</w:t>
            </w:r>
            <w:r>
              <w:rPr>
                <w:rFonts w:hint="eastAsia" w:cs="Times New Roman"/>
                <w:color w:val="auto"/>
                <w:kern w:val="0"/>
                <w:sz w:val="24"/>
                <w:szCs w:val="24"/>
                <w:lang w:eastAsia="zh-CN"/>
              </w:rPr>
              <w:t>见下</w:t>
            </w:r>
            <w:r>
              <w:rPr>
                <w:rFonts w:hint="default" w:ascii="Times New Roman" w:hAnsi="Times New Roman" w:eastAsia="宋体" w:cs="Times New Roman"/>
                <w:color w:val="auto"/>
                <w:kern w:val="0"/>
                <w:sz w:val="24"/>
                <w:szCs w:val="24"/>
                <w:lang w:eastAsia="zh-CN"/>
              </w:rPr>
              <w:t>表4</w:t>
            </w:r>
            <w:r>
              <w:rPr>
                <w:rFonts w:hint="eastAsia" w:cs="Times New Roman"/>
                <w:color w:val="auto"/>
                <w:kern w:val="0"/>
                <w:sz w:val="24"/>
                <w:szCs w:val="24"/>
                <w:lang w:val="en-US" w:eastAsia="zh-CN"/>
              </w:rPr>
              <w:t>.1</w:t>
            </w:r>
            <w:r>
              <w:rPr>
                <w:rFonts w:hint="default" w:ascii="Times New Roman" w:hAnsi="Times New Roman" w:eastAsia="宋体" w:cs="Times New Roman"/>
                <w:color w:val="auto"/>
                <w:kern w:val="0"/>
                <w:sz w:val="24"/>
                <w:szCs w:val="24"/>
                <w:lang w:eastAsia="zh-CN"/>
              </w:rPr>
              <w:t>-1。</w:t>
            </w:r>
          </w:p>
          <w:p w14:paraId="6FB8A867">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textAlignment w:val="baseline"/>
              <w:rPr>
                <w:rFonts w:hint="default" w:cs="Times New Roman"/>
                <w:color w:val="auto"/>
              </w:rPr>
            </w:pPr>
            <w:r>
              <w:rPr>
                <w:rFonts w:hint="eastAsia" w:cs="Times New Roman"/>
                <w:color w:val="auto"/>
              </w:rPr>
              <w:t>表4</w:t>
            </w:r>
            <w:r>
              <w:rPr>
                <w:rFonts w:hint="eastAsia" w:cs="Times New Roman"/>
                <w:color w:val="auto"/>
                <w:lang w:val="en-US" w:eastAsia="zh-CN"/>
              </w:rPr>
              <w:t>.1</w:t>
            </w:r>
            <w:r>
              <w:rPr>
                <w:rFonts w:hint="eastAsia" w:cs="Times New Roman"/>
                <w:color w:val="auto"/>
              </w:rPr>
              <w:t>-1</w:t>
            </w:r>
            <w:r>
              <w:rPr>
                <w:rFonts w:hint="default" w:cs="Times New Roman"/>
                <w:color w:val="auto"/>
              </w:rPr>
              <w:t xml:space="preserve">   </w:t>
            </w:r>
            <w:r>
              <w:rPr>
                <w:rFonts w:hint="eastAsia" w:cs="Times New Roman"/>
                <w:color w:val="auto"/>
              </w:rPr>
              <w:t>发电机</w:t>
            </w:r>
            <w:r>
              <w:rPr>
                <w:rFonts w:hint="default" w:cs="Times New Roman"/>
                <w:color w:val="auto"/>
              </w:rPr>
              <w:t>产排污情况一览表</w:t>
            </w:r>
          </w:p>
          <w:tbl>
            <w:tblPr>
              <w:tblStyle w:val="28"/>
              <w:tblW w:w="5000" w:type="pct"/>
              <w:tblInd w:w="-11"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248"/>
              <w:gridCol w:w="1526"/>
              <w:gridCol w:w="1524"/>
              <w:gridCol w:w="1524"/>
              <w:gridCol w:w="1704"/>
            </w:tblGrid>
            <w:tr w14:paraId="7C3B1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 w:type="pct"/>
                  <w:tcBorders>
                    <w:tl2br w:val="nil"/>
                    <w:tr2bl w:val="nil"/>
                  </w:tcBorders>
                  <w:noWrap w:val="0"/>
                  <w:vAlign w:val="center"/>
                </w:tcPr>
                <w:p w14:paraId="389B7422">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749" w:type="pct"/>
                  <w:tcBorders>
                    <w:tl2br w:val="nil"/>
                    <w:tr2bl w:val="nil"/>
                  </w:tcBorders>
                  <w:noWrap w:val="0"/>
                  <w:vAlign w:val="center"/>
                </w:tcPr>
                <w:p w14:paraId="1CEF419E">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w:t>
                  </w:r>
                </w:p>
              </w:tc>
              <w:tc>
                <w:tcPr>
                  <w:tcW w:w="916" w:type="pct"/>
                  <w:tcBorders>
                    <w:tl2br w:val="nil"/>
                    <w:tr2bl w:val="nil"/>
                  </w:tcBorders>
                  <w:noWrap w:val="0"/>
                  <w:vAlign w:val="center"/>
                </w:tcPr>
                <w:p w14:paraId="49F4165E">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产污系数</w:t>
                  </w:r>
                </w:p>
              </w:tc>
              <w:tc>
                <w:tcPr>
                  <w:tcW w:w="915" w:type="pct"/>
                  <w:tcBorders>
                    <w:tl2br w:val="nil"/>
                    <w:tr2bl w:val="nil"/>
                  </w:tcBorders>
                  <w:noWrap w:val="0"/>
                  <w:vAlign w:val="center"/>
                </w:tcPr>
                <w:p w14:paraId="2C8A8D83">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污染物产生量</w:t>
                  </w:r>
                </w:p>
              </w:tc>
              <w:tc>
                <w:tcPr>
                  <w:tcW w:w="915" w:type="pct"/>
                  <w:tcBorders>
                    <w:tl2br w:val="nil"/>
                    <w:tr2bl w:val="nil"/>
                  </w:tcBorders>
                  <w:noWrap w:val="0"/>
                  <w:vAlign w:val="center"/>
                </w:tcPr>
                <w:p w14:paraId="2F704FF3">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污染物排放量</w:t>
                  </w:r>
                </w:p>
              </w:tc>
              <w:tc>
                <w:tcPr>
                  <w:tcW w:w="1023" w:type="pct"/>
                  <w:tcBorders>
                    <w:tl2br w:val="nil"/>
                    <w:tr2bl w:val="nil"/>
                  </w:tcBorders>
                  <w:noWrap w:val="0"/>
                  <w:vAlign w:val="center"/>
                </w:tcPr>
                <w:p w14:paraId="2605C818">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排放浓度</w:t>
                  </w:r>
                </w:p>
              </w:tc>
            </w:tr>
            <w:tr w14:paraId="110BE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78" w:type="pct"/>
                  <w:tcBorders>
                    <w:tl2br w:val="nil"/>
                    <w:tr2bl w:val="nil"/>
                  </w:tcBorders>
                  <w:noWrap w:val="0"/>
                  <w:vAlign w:val="center"/>
                </w:tcPr>
                <w:p w14:paraId="6AFAE995">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749" w:type="pct"/>
                  <w:tcBorders>
                    <w:tl2br w:val="nil"/>
                    <w:tr2bl w:val="nil"/>
                  </w:tcBorders>
                  <w:noWrap w:val="0"/>
                  <w:vAlign w:val="center"/>
                </w:tcPr>
                <w:p w14:paraId="3C97252C">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916" w:type="pct"/>
                  <w:tcBorders>
                    <w:tl2br w:val="nil"/>
                    <w:tr2bl w:val="nil"/>
                  </w:tcBorders>
                  <w:noWrap w:val="0"/>
                  <w:vAlign w:val="center"/>
                </w:tcPr>
                <w:p w14:paraId="3EFCCCD1">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0.35g</w:t>
                  </w:r>
                  <w:r>
                    <w:rPr>
                      <w:rFonts w:hint="default" w:ascii="Times New Roman" w:hAnsi="Times New Roman" w:cs="Times New Roman"/>
                      <w:color w:val="auto"/>
                      <w:sz w:val="21"/>
                      <w:szCs w:val="21"/>
                      <w:highlight w:val="none"/>
                    </w:rPr>
                    <w:t>/kg燃料</w:t>
                  </w:r>
                </w:p>
              </w:tc>
              <w:tc>
                <w:tcPr>
                  <w:tcW w:w="1524" w:type="dxa"/>
                  <w:tcBorders>
                    <w:tl2br w:val="nil"/>
                    <w:tr2bl w:val="nil"/>
                  </w:tcBorders>
                  <w:noWrap w:val="0"/>
                  <w:vAlign w:val="center"/>
                </w:tcPr>
                <w:p w14:paraId="515460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0.0000875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524" w:type="dxa"/>
                  <w:tcBorders>
                    <w:tl2br w:val="nil"/>
                    <w:tr2bl w:val="nil"/>
                  </w:tcBorders>
                  <w:noWrap w:val="0"/>
                  <w:vAlign w:val="center"/>
                </w:tcPr>
                <w:p w14:paraId="51282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0.0000875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023" w:type="pct"/>
                  <w:tcBorders>
                    <w:tl2br w:val="nil"/>
                    <w:tr2bl w:val="nil"/>
                  </w:tcBorders>
                  <w:noWrap w:val="0"/>
                  <w:vAlign w:val="center"/>
                </w:tcPr>
                <w:p w14:paraId="535DBE9D">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yellow"/>
                    </w:rPr>
                  </w:pPr>
                  <w:r>
                    <w:rPr>
                      <w:rFonts w:hint="default" w:ascii="Times New Roman" w:hAnsi="Times New Roman" w:cs="Times New Roman"/>
                      <w:color w:val="auto"/>
                      <w:sz w:val="21"/>
                      <w:szCs w:val="21"/>
                      <w:highlight w:val="none"/>
                    </w:rPr>
                    <w:t>/</w:t>
                  </w:r>
                </w:p>
              </w:tc>
            </w:tr>
            <w:tr w14:paraId="3B1D5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78" w:type="pct"/>
                  <w:tcBorders>
                    <w:tl2br w:val="nil"/>
                    <w:tr2bl w:val="nil"/>
                  </w:tcBorders>
                  <w:noWrap w:val="0"/>
                  <w:vAlign w:val="center"/>
                </w:tcPr>
                <w:p w14:paraId="361EF601">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749" w:type="pct"/>
                  <w:tcBorders>
                    <w:tl2br w:val="nil"/>
                    <w:tr2bl w:val="nil"/>
                  </w:tcBorders>
                  <w:noWrap w:val="0"/>
                  <w:vAlign w:val="center"/>
                </w:tcPr>
                <w:p w14:paraId="6FBE8BFD">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PM</w:t>
                  </w:r>
                  <w:r>
                    <w:rPr>
                      <w:rFonts w:hint="eastAsia" w:ascii="Times New Roman" w:hAnsi="Times New Roman" w:eastAsia="宋体" w:cs="Times New Roman"/>
                      <w:color w:val="auto"/>
                      <w:kern w:val="0"/>
                      <w:sz w:val="21"/>
                      <w:szCs w:val="21"/>
                      <w:highlight w:val="none"/>
                      <w:vertAlign w:val="subscript"/>
                      <w:lang w:val="en-US" w:eastAsia="zh-CN" w:bidi="ar-SA"/>
                    </w:rPr>
                    <w:t>10</w:t>
                  </w:r>
                </w:p>
              </w:tc>
              <w:tc>
                <w:tcPr>
                  <w:tcW w:w="916" w:type="pct"/>
                  <w:tcBorders>
                    <w:tl2br w:val="nil"/>
                    <w:tr2bl w:val="nil"/>
                  </w:tcBorders>
                  <w:noWrap w:val="0"/>
                  <w:vAlign w:val="center"/>
                </w:tcPr>
                <w:p w14:paraId="6A889D6F">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2.09g</w:t>
                  </w:r>
                  <w:r>
                    <w:rPr>
                      <w:rFonts w:hint="default" w:ascii="Times New Roman" w:hAnsi="Times New Roman" w:cs="Times New Roman"/>
                      <w:color w:val="auto"/>
                      <w:sz w:val="21"/>
                      <w:szCs w:val="21"/>
                      <w:highlight w:val="none"/>
                    </w:rPr>
                    <w:t>/kg燃料</w:t>
                  </w:r>
                </w:p>
              </w:tc>
              <w:tc>
                <w:tcPr>
                  <w:tcW w:w="1524" w:type="dxa"/>
                  <w:tcBorders>
                    <w:tl2br w:val="nil"/>
                    <w:tr2bl w:val="nil"/>
                  </w:tcBorders>
                  <w:noWrap w:val="0"/>
                  <w:vAlign w:val="center"/>
                </w:tcPr>
                <w:p w14:paraId="53661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0.0005225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524" w:type="dxa"/>
                  <w:tcBorders>
                    <w:tl2br w:val="nil"/>
                    <w:tr2bl w:val="nil"/>
                  </w:tcBorders>
                  <w:noWrap w:val="0"/>
                  <w:vAlign w:val="center"/>
                </w:tcPr>
                <w:p w14:paraId="505040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0.0005225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023" w:type="pct"/>
                  <w:tcBorders>
                    <w:tl2br w:val="nil"/>
                    <w:tr2bl w:val="nil"/>
                  </w:tcBorders>
                  <w:noWrap w:val="0"/>
                  <w:vAlign w:val="center"/>
                </w:tcPr>
                <w:p w14:paraId="1323A7F5">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w:t>
                  </w:r>
                </w:p>
              </w:tc>
            </w:tr>
            <w:tr w14:paraId="7453FA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78" w:type="pct"/>
                  <w:tcBorders>
                    <w:tl2br w:val="nil"/>
                    <w:tr2bl w:val="nil"/>
                  </w:tcBorders>
                  <w:noWrap w:val="0"/>
                  <w:vAlign w:val="center"/>
                </w:tcPr>
                <w:p w14:paraId="2D1E264D">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749" w:type="pct"/>
                  <w:tcBorders>
                    <w:tl2br w:val="nil"/>
                    <w:tr2bl w:val="nil"/>
                  </w:tcBorders>
                  <w:noWrap w:val="0"/>
                  <w:vAlign w:val="center"/>
                </w:tcPr>
                <w:p w14:paraId="222025CB">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PM</w:t>
                  </w:r>
                  <w:r>
                    <w:rPr>
                      <w:rFonts w:hint="eastAsia" w:ascii="Times New Roman" w:hAnsi="Times New Roman" w:eastAsia="宋体" w:cs="Times New Roman"/>
                      <w:color w:val="auto"/>
                      <w:kern w:val="0"/>
                      <w:sz w:val="21"/>
                      <w:szCs w:val="21"/>
                      <w:highlight w:val="none"/>
                      <w:vertAlign w:val="subscript"/>
                      <w:lang w:val="en-US" w:eastAsia="zh-CN" w:bidi="ar-SA"/>
                    </w:rPr>
                    <w:t>2.5</w:t>
                  </w:r>
                </w:p>
              </w:tc>
              <w:tc>
                <w:tcPr>
                  <w:tcW w:w="916" w:type="pct"/>
                  <w:tcBorders>
                    <w:tl2br w:val="nil"/>
                    <w:tr2bl w:val="nil"/>
                  </w:tcBorders>
                  <w:noWrap w:val="0"/>
                  <w:vAlign w:val="center"/>
                </w:tcPr>
                <w:p w14:paraId="45113CF3">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2.09g</w:t>
                  </w:r>
                  <w:r>
                    <w:rPr>
                      <w:rFonts w:hint="default" w:ascii="Times New Roman" w:hAnsi="Times New Roman" w:cs="Times New Roman"/>
                      <w:color w:val="auto"/>
                      <w:sz w:val="21"/>
                      <w:szCs w:val="21"/>
                      <w:highlight w:val="none"/>
                    </w:rPr>
                    <w:t>/kg燃料</w:t>
                  </w:r>
                </w:p>
              </w:tc>
              <w:tc>
                <w:tcPr>
                  <w:tcW w:w="1524" w:type="dxa"/>
                  <w:tcBorders>
                    <w:tl2br w:val="nil"/>
                    <w:tr2bl w:val="nil"/>
                  </w:tcBorders>
                  <w:noWrap w:val="0"/>
                  <w:vAlign w:val="center"/>
                </w:tcPr>
                <w:p w14:paraId="22024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0.0005225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524" w:type="dxa"/>
                  <w:tcBorders>
                    <w:tl2br w:val="nil"/>
                    <w:tr2bl w:val="nil"/>
                  </w:tcBorders>
                  <w:noWrap w:val="0"/>
                  <w:vAlign w:val="center"/>
                </w:tcPr>
                <w:p w14:paraId="4D5DF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0.0005225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023" w:type="pct"/>
                  <w:tcBorders>
                    <w:tl2br w:val="nil"/>
                    <w:tr2bl w:val="nil"/>
                  </w:tcBorders>
                  <w:noWrap w:val="0"/>
                  <w:vAlign w:val="center"/>
                </w:tcPr>
                <w:p w14:paraId="3FB273C6">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w:t>
                  </w:r>
                </w:p>
              </w:tc>
            </w:tr>
            <w:tr w14:paraId="3DA6AE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78" w:type="pct"/>
                  <w:tcBorders>
                    <w:tl2br w:val="nil"/>
                    <w:tr2bl w:val="nil"/>
                  </w:tcBorders>
                  <w:noWrap w:val="0"/>
                  <w:vAlign w:val="center"/>
                </w:tcPr>
                <w:p w14:paraId="63147DD2">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749" w:type="pct"/>
                  <w:tcBorders>
                    <w:tl2br w:val="nil"/>
                    <w:tr2bl w:val="nil"/>
                  </w:tcBorders>
                  <w:noWrap w:val="0"/>
                  <w:vAlign w:val="center"/>
                </w:tcPr>
                <w:p w14:paraId="4CA23F99">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THC</w:t>
                  </w:r>
                </w:p>
              </w:tc>
              <w:tc>
                <w:tcPr>
                  <w:tcW w:w="916" w:type="pct"/>
                  <w:tcBorders>
                    <w:tl2br w:val="nil"/>
                    <w:tr2bl w:val="nil"/>
                  </w:tcBorders>
                  <w:noWrap w:val="0"/>
                  <w:vAlign w:val="center"/>
                </w:tcPr>
                <w:p w14:paraId="49F58BE7">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3.39g</w:t>
                  </w:r>
                  <w:r>
                    <w:rPr>
                      <w:rFonts w:hint="default" w:ascii="Times New Roman" w:hAnsi="Times New Roman" w:cs="Times New Roman"/>
                      <w:color w:val="auto"/>
                      <w:sz w:val="21"/>
                      <w:szCs w:val="21"/>
                      <w:highlight w:val="none"/>
                    </w:rPr>
                    <w:t>/kg燃料</w:t>
                  </w:r>
                </w:p>
              </w:tc>
              <w:tc>
                <w:tcPr>
                  <w:tcW w:w="1524" w:type="dxa"/>
                  <w:tcBorders>
                    <w:tl2br w:val="nil"/>
                    <w:tr2bl w:val="nil"/>
                  </w:tcBorders>
                  <w:noWrap w:val="0"/>
                  <w:vAlign w:val="center"/>
                </w:tcPr>
                <w:p w14:paraId="6204E9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0.0008475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524" w:type="dxa"/>
                  <w:tcBorders>
                    <w:tl2br w:val="nil"/>
                    <w:tr2bl w:val="nil"/>
                  </w:tcBorders>
                  <w:noWrap w:val="0"/>
                  <w:vAlign w:val="center"/>
                </w:tcPr>
                <w:p w14:paraId="3BC118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0.0008475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023" w:type="pct"/>
                  <w:tcBorders>
                    <w:tl2br w:val="nil"/>
                    <w:tr2bl w:val="nil"/>
                  </w:tcBorders>
                  <w:noWrap w:val="0"/>
                  <w:vAlign w:val="center"/>
                </w:tcPr>
                <w:p w14:paraId="2713B033">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w:t>
                  </w:r>
                </w:p>
              </w:tc>
            </w:tr>
            <w:tr w14:paraId="32585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78" w:type="pct"/>
                  <w:tcBorders>
                    <w:tl2br w:val="nil"/>
                    <w:tr2bl w:val="nil"/>
                  </w:tcBorders>
                  <w:noWrap w:val="0"/>
                  <w:vAlign w:val="center"/>
                </w:tcPr>
                <w:p w14:paraId="16E569C4">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p>
              </w:tc>
              <w:tc>
                <w:tcPr>
                  <w:tcW w:w="749" w:type="pct"/>
                  <w:tcBorders>
                    <w:tl2br w:val="nil"/>
                    <w:tr2bl w:val="nil"/>
                  </w:tcBorders>
                  <w:noWrap w:val="0"/>
                  <w:vAlign w:val="center"/>
                </w:tcPr>
                <w:p w14:paraId="6876A121">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lang w:val="en-US" w:eastAsia="zh-CN"/>
                    </w:rPr>
                    <w:t>X</w:t>
                  </w:r>
                </w:p>
              </w:tc>
              <w:tc>
                <w:tcPr>
                  <w:tcW w:w="916" w:type="pct"/>
                  <w:tcBorders>
                    <w:tl2br w:val="nil"/>
                    <w:tr2bl w:val="nil"/>
                  </w:tcBorders>
                  <w:noWrap w:val="0"/>
                  <w:vAlign w:val="center"/>
                </w:tcPr>
                <w:p w14:paraId="687559D5">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32.79g</w:t>
                  </w:r>
                  <w:r>
                    <w:rPr>
                      <w:rFonts w:hint="default" w:ascii="Times New Roman" w:hAnsi="Times New Roman" w:cs="Times New Roman"/>
                      <w:color w:val="auto"/>
                      <w:sz w:val="21"/>
                      <w:szCs w:val="21"/>
                      <w:highlight w:val="none"/>
                    </w:rPr>
                    <w:t>/kg燃料</w:t>
                  </w:r>
                </w:p>
              </w:tc>
              <w:tc>
                <w:tcPr>
                  <w:tcW w:w="1524" w:type="dxa"/>
                  <w:tcBorders>
                    <w:tl2br w:val="nil"/>
                    <w:tr2bl w:val="nil"/>
                  </w:tcBorders>
                  <w:noWrap w:val="0"/>
                  <w:vAlign w:val="center"/>
                </w:tcPr>
                <w:p w14:paraId="50CB59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0.0081975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524" w:type="dxa"/>
                  <w:tcBorders>
                    <w:tl2br w:val="nil"/>
                    <w:tr2bl w:val="nil"/>
                  </w:tcBorders>
                  <w:noWrap w:val="0"/>
                  <w:vAlign w:val="center"/>
                </w:tcPr>
                <w:p w14:paraId="309A04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0.0081975</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023" w:type="pct"/>
                  <w:tcBorders>
                    <w:tl2br w:val="nil"/>
                    <w:tr2bl w:val="nil"/>
                  </w:tcBorders>
                  <w:noWrap w:val="0"/>
                  <w:vAlign w:val="center"/>
                </w:tcPr>
                <w:p w14:paraId="1614FCF5">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57FE0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78" w:type="pct"/>
                  <w:tcBorders>
                    <w:tl2br w:val="nil"/>
                    <w:tr2bl w:val="nil"/>
                  </w:tcBorders>
                  <w:noWrap w:val="0"/>
                  <w:vAlign w:val="center"/>
                </w:tcPr>
                <w:p w14:paraId="79A9E759">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749" w:type="pct"/>
                  <w:tcBorders>
                    <w:tl2br w:val="nil"/>
                    <w:tr2bl w:val="nil"/>
                  </w:tcBorders>
                  <w:noWrap w:val="0"/>
                  <w:vAlign w:val="center"/>
                </w:tcPr>
                <w:p w14:paraId="23BBDD69">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CO</w:t>
                  </w:r>
                </w:p>
              </w:tc>
              <w:tc>
                <w:tcPr>
                  <w:tcW w:w="916" w:type="pct"/>
                  <w:tcBorders>
                    <w:tl2br w:val="nil"/>
                    <w:tr2bl w:val="nil"/>
                  </w:tcBorders>
                  <w:noWrap w:val="0"/>
                  <w:vAlign w:val="center"/>
                </w:tcPr>
                <w:p w14:paraId="60F58DBB">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10.72g</w:t>
                  </w:r>
                  <w:r>
                    <w:rPr>
                      <w:rFonts w:hint="default" w:ascii="Times New Roman" w:hAnsi="Times New Roman" w:cs="Times New Roman"/>
                      <w:color w:val="auto"/>
                      <w:sz w:val="21"/>
                      <w:szCs w:val="21"/>
                      <w:highlight w:val="none"/>
                    </w:rPr>
                    <w:t>/kg燃料</w:t>
                  </w:r>
                </w:p>
              </w:tc>
              <w:tc>
                <w:tcPr>
                  <w:tcW w:w="1524" w:type="dxa"/>
                  <w:tcBorders>
                    <w:tl2br w:val="nil"/>
                    <w:tr2bl w:val="nil"/>
                  </w:tcBorders>
                  <w:noWrap w:val="0"/>
                  <w:vAlign w:val="center"/>
                </w:tcPr>
                <w:p w14:paraId="6A66CD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0.00268</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524" w:type="dxa"/>
                  <w:tcBorders>
                    <w:tl2br w:val="nil"/>
                    <w:tr2bl w:val="nil"/>
                  </w:tcBorders>
                  <w:noWrap w:val="0"/>
                  <w:vAlign w:val="center"/>
                </w:tcPr>
                <w:p w14:paraId="1A40BF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firstLine="0" w:firstLineChars="0"/>
                    <w:jc w:val="center"/>
                    <w:textAlignment w:val="center"/>
                    <w:rPr>
                      <w:rFonts w:hint="default" w:ascii="Times New Roman" w:hAnsi="Times New Roman" w:cs="Times New Roman"/>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0.00268</w:t>
                  </w:r>
                  <w:r>
                    <w:rPr>
                      <w:rFonts w:hint="default" w:ascii="Times New Roman" w:hAnsi="Times New Roman" w:cs="Times New Roman"/>
                      <w:color w:val="auto"/>
                      <w:sz w:val="21"/>
                      <w:szCs w:val="21"/>
                      <w:highlight w:val="none"/>
                    </w:rPr>
                    <w:t>kg/</w:t>
                  </w:r>
                  <w:r>
                    <w:rPr>
                      <w:rFonts w:hint="eastAsia" w:ascii="Times New Roman" w:hAnsi="Times New Roman" w:cs="Times New Roman"/>
                      <w:color w:val="auto"/>
                      <w:sz w:val="21"/>
                      <w:szCs w:val="21"/>
                      <w:highlight w:val="none"/>
                      <w:lang w:val="en-US" w:eastAsia="zh-CN"/>
                    </w:rPr>
                    <w:t>a</w:t>
                  </w:r>
                </w:p>
              </w:tc>
              <w:tc>
                <w:tcPr>
                  <w:tcW w:w="1023" w:type="pct"/>
                  <w:tcBorders>
                    <w:tl2br w:val="nil"/>
                    <w:tr2bl w:val="nil"/>
                  </w:tcBorders>
                  <w:noWrap w:val="0"/>
                  <w:vAlign w:val="center"/>
                </w:tcPr>
                <w:p w14:paraId="575A1E7E">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bl>
          <w:p w14:paraId="22442516">
            <w:pPr>
              <w:pStyle w:val="2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柴油发电机燃烧废气各污染物排放浓度能够满足《非道路移动机械用柴油机排气污染物排放限值及测量方法（中国第三、四阶段）》（GB 20891-2014）中排放标准要求。</w:t>
            </w:r>
          </w:p>
          <w:p w14:paraId="4FCEE7C9">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4.2</w:t>
            </w:r>
            <w:r>
              <w:rPr>
                <w:rFonts w:hint="eastAsia"/>
                <w:color w:val="auto"/>
              </w:rPr>
              <w:t>地表水环境影响分析</w:t>
            </w:r>
          </w:p>
          <w:p w14:paraId="41D2B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lang w:val="en-US" w:eastAsia="zh-CN"/>
              </w:rPr>
              <w:t>勘查</w:t>
            </w:r>
            <w:r>
              <w:rPr>
                <w:rFonts w:hint="eastAsia" w:ascii="Times New Roman" w:hAnsi="Times New Roman" w:cs="Times New Roman"/>
                <w:color w:val="auto"/>
              </w:rPr>
              <w:t>作业期间产生的废水</w:t>
            </w:r>
            <w:r>
              <w:rPr>
                <w:rFonts w:hint="eastAsia" w:ascii="Times New Roman" w:hAnsi="Times New Roman" w:cs="Times New Roman"/>
                <w:color w:val="auto"/>
                <w:lang w:val="en-US" w:eastAsia="zh-CN"/>
              </w:rPr>
              <w:t>主要为</w:t>
            </w:r>
            <w:r>
              <w:rPr>
                <w:rFonts w:hint="eastAsia" w:ascii="Times New Roman" w:hAnsi="Times New Roman" w:cs="Times New Roman"/>
                <w:color w:val="auto"/>
              </w:rPr>
              <w:t>生活</w:t>
            </w:r>
            <w:r>
              <w:rPr>
                <w:rFonts w:hint="eastAsia" w:ascii="Times New Roman" w:hAnsi="Times New Roman" w:cs="Times New Roman"/>
                <w:color w:val="auto"/>
                <w:lang w:val="en-US" w:eastAsia="zh-CN"/>
              </w:rPr>
              <w:t>污水</w:t>
            </w:r>
            <w:r>
              <w:rPr>
                <w:rFonts w:hint="eastAsia" w:ascii="Times New Roman" w:hAnsi="Times New Roman" w:cs="Times New Roman"/>
                <w:color w:val="auto"/>
              </w:rPr>
              <w:t>。</w:t>
            </w:r>
          </w:p>
          <w:p w14:paraId="54F6BC82">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4.2.1生活污水</w:t>
            </w:r>
          </w:p>
          <w:p w14:paraId="103B74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产生情况：本项目</w:t>
            </w:r>
            <w:r>
              <w:rPr>
                <w:rFonts w:hint="default" w:ascii="Times New Roman" w:hAnsi="Times New Roman" w:cs="Times New Roman"/>
                <w:color w:val="auto"/>
              </w:rPr>
              <w:t>在施工场地的生活</w:t>
            </w:r>
            <w:r>
              <w:rPr>
                <w:rFonts w:hint="eastAsia" w:ascii="Times New Roman" w:hAnsi="Times New Roman" w:cs="Times New Roman"/>
                <w:color w:val="auto"/>
              </w:rPr>
              <w:t>用水</w:t>
            </w:r>
            <w:r>
              <w:rPr>
                <w:rFonts w:hint="default" w:ascii="Times New Roman" w:hAnsi="Times New Roman" w:cs="Times New Roman"/>
                <w:color w:val="auto"/>
              </w:rPr>
              <w:t>量</w:t>
            </w:r>
            <w:r>
              <w:rPr>
                <w:rFonts w:hint="eastAsia" w:ascii="Times New Roman" w:hAnsi="Times New Roman" w:cs="Times New Roman"/>
                <w:color w:val="auto"/>
              </w:rPr>
              <w:t>按5</w:t>
            </w:r>
            <w:r>
              <w:rPr>
                <w:rFonts w:hint="eastAsia" w:ascii="Times New Roman" w:hAnsi="Times New Roman" w:cs="Times New Roman"/>
                <w:color w:val="auto"/>
                <w:lang w:val="en-US" w:eastAsia="zh-CN"/>
              </w:rPr>
              <w:t>0</w:t>
            </w:r>
            <w:r>
              <w:rPr>
                <w:rFonts w:hint="default" w:ascii="Times New Roman" w:hAnsi="Times New Roman" w:cs="Times New Roman"/>
                <w:color w:val="auto"/>
              </w:rPr>
              <w:t>L/</w:t>
            </w:r>
            <w:r>
              <w:rPr>
                <w:rFonts w:hint="eastAsia" w:ascii="Times New Roman" w:hAnsi="Times New Roman" w:cs="Times New Roman"/>
                <w:color w:val="auto"/>
              </w:rPr>
              <w:t>人</w:t>
            </w:r>
            <w:r>
              <w:rPr>
                <w:rFonts w:hint="default" w:ascii="Times New Roman" w:hAnsi="Times New Roman" w:cs="Times New Roman"/>
                <w:color w:val="auto"/>
              </w:rPr>
              <w:t>d</w:t>
            </w:r>
            <w:r>
              <w:rPr>
                <w:rFonts w:hint="eastAsia" w:ascii="Times New Roman" w:hAnsi="Times New Roman" w:cs="Times New Roman"/>
                <w:color w:val="auto"/>
              </w:rPr>
              <w:t>计</w:t>
            </w:r>
            <w:r>
              <w:rPr>
                <w:rFonts w:hint="eastAsia" w:ascii="Times New Roman" w:hAnsi="Times New Roman" w:cs="Times New Roman"/>
                <w:color w:val="auto"/>
                <w:lang w:val="en-US" w:eastAsia="zh-CN"/>
              </w:rPr>
              <w:t>算</w:t>
            </w:r>
            <w:r>
              <w:rPr>
                <w:rFonts w:hint="eastAsia" w:ascii="Times New Roman" w:hAnsi="Times New Roman" w:cs="Times New Roman"/>
                <w:color w:val="auto"/>
              </w:rPr>
              <w:t>，</w:t>
            </w:r>
            <w:r>
              <w:rPr>
                <w:rFonts w:hint="default" w:ascii="Times New Roman" w:hAnsi="Times New Roman" w:cs="Times New Roman"/>
                <w:color w:val="auto"/>
              </w:rPr>
              <w:t>本项目按照施工人员</w:t>
            </w:r>
            <w:r>
              <w:rPr>
                <w:rFonts w:hint="eastAsia" w:cs="Times New Roman"/>
                <w:color w:val="auto"/>
                <w:lang w:val="en-US" w:eastAsia="zh-CN"/>
              </w:rPr>
              <w:t>10</w:t>
            </w:r>
            <w:r>
              <w:rPr>
                <w:rFonts w:hint="eastAsia" w:ascii="Times New Roman" w:hAnsi="Times New Roman" w:cs="Times New Roman"/>
                <w:color w:val="auto"/>
              </w:rPr>
              <w:t>人</w:t>
            </w:r>
            <w:r>
              <w:rPr>
                <w:rFonts w:hint="default" w:ascii="Times New Roman" w:hAnsi="Times New Roman" w:cs="Times New Roman"/>
                <w:color w:val="auto"/>
              </w:rPr>
              <w:t>计算，排污按照</w:t>
            </w:r>
            <w:r>
              <w:rPr>
                <w:rFonts w:hint="eastAsia" w:ascii="Times New Roman" w:hAnsi="Times New Roman" w:cs="Times New Roman"/>
                <w:color w:val="auto"/>
              </w:rPr>
              <w:t>80</w:t>
            </w:r>
            <w:r>
              <w:rPr>
                <w:rFonts w:hint="default" w:ascii="Times New Roman" w:hAnsi="Times New Roman" w:cs="Times New Roman"/>
                <w:color w:val="auto"/>
              </w:rPr>
              <w:t>%计算，则本项目</w:t>
            </w:r>
            <w:r>
              <w:rPr>
                <w:rFonts w:hint="eastAsia" w:ascii="Times New Roman" w:hAnsi="Times New Roman" w:cs="Times New Roman"/>
                <w:color w:val="auto"/>
              </w:rPr>
              <w:t>生活用水量</w:t>
            </w:r>
            <w:r>
              <w:rPr>
                <w:rFonts w:hint="default" w:ascii="Times New Roman" w:hAnsi="Times New Roman" w:cs="Times New Roman"/>
                <w:color w:val="auto"/>
              </w:rPr>
              <w:t>为</w:t>
            </w:r>
            <w:r>
              <w:rPr>
                <w:rFonts w:hint="eastAsia" w:ascii="Times New Roman" w:hAnsi="Times New Roman" w:cs="Times New Roman"/>
                <w:color w:val="auto"/>
                <w:lang w:val="en-US" w:eastAsia="zh-CN"/>
              </w:rPr>
              <w:t>0.</w:t>
            </w:r>
            <w:r>
              <w:rPr>
                <w:rFonts w:hint="eastAsia" w:cs="Times New Roman"/>
                <w:color w:val="auto"/>
                <w:lang w:val="en-US" w:eastAsia="zh-CN"/>
              </w:rPr>
              <w:t>5</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/d</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1</w:t>
            </w:r>
            <w:r>
              <w:rPr>
                <w:rFonts w:hint="eastAsia" w:cs="Times New Roman"/>
                <w:color w:val="auto"/>
                <w:lang w:val="en-US" w:eastAsia="zh-CN"/>
              </w:rPr>
              <w:t>3</w:t>
            </w:r>
            <w:r>
              <w:rPr>
                <w:rFonts w:hint="eastAsia" w:ascii="Times New Roman" w:hAnsi="Times New Roman" w:cs="Times New Roman"/>
                <w:color w:val="auto"/>
                <w:lang w:val="en-US" w:eastAsia="zh-CN"/>
              </w:rPr>
              <w:t>5</w:t>
            </w:r>
            <w:r>
              <w:rPr>
                <w:rFonts w:hint="eastAsia"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w:t>
            </w:r>
            <w:r>
              <w:rPr>
                <w:rFonts w:hint="eastAsia" w:ascii="Times New Roman" w:hAnsi="Times New Roman" w:cs="Times New Roman"/>
                <w:color w:val="auto"/>
              </w:rPr>
              <w:t>a</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eastAsia" w:ascii="Times New Roman" w:hAnsi="Times New Roman" w:cs="Times New Roman"/>
                <w:color w:val="auto"/>
              </w:rPr>
              <w:t>生活污水产生量</w:t>
            </w:r>
            <w:r>
              <w:rPr>
                <w:rFonts w:hint="default" w:ascii="Times New Roman" w:hAnsi="Times New Roman" w:cs="Times New Roman"/>
                <w:color w:val="auto"/>
              </w:rPr>
              <w:t>为</w:t>
            </w:r>
            <w:r>
              <w:rPr>
                <w:rFonts w:hint="eastAsia" w:ascii="Times New Roman" w:hAnsi="Times New Roman" w:cs="Times New Roman"/>
                <w:color w:val="auto"/>
                <w:lang w:val="en-US" w:eastAsia="zh-CN"/>
              </w:rPr>
              <w:t>0.</w:t>
            </w:r>
            <w:r>
              <w:rPr>
                <w:rFonts w:hint="eastAsia" w:cs="Times New Roman"/>
                <w:color w:val="auto"/>
                <w:lang w:val="en-US" w:eastAsia="zh-CN"/>
              </w:rPr>
              <w:t>4</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/d</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1</w:t>
            </w:r>
            <w:r>
              <w:rPr>
                <w:rFonts w:hint="eastAsia" w:cs="Times New Roman"/>
                <w:color w:val="auto"/>
                <w:lang w:val="en-US" w:eastAsia="zh-CN"/>
              </w:rPr>
              <w:t>08</w:t>
            </w:r>
            <w:r>
              <w:rPr>
                <w:rFonts w:hint="eastAsia"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w:t>
            </w:r>
            <w:r>
              <w:rPr>
                <w:rFonts w:hint="eastAsia" w:ascii="Times New Roman" w:hAnsi="Times New Roman" w:cs="Times New Roman"/>
                <w:color w:val="auto"/>
              </w:rPr>
              <w:t>a</w:t>
            </w:r>
            <w:r>
              <w:rPr>
                <w:rFonts w:hint="eastAsia" w:ascii="Times New Roman" w:hAnsi="Times New Roman" w:cs="Times New Roman"/>
                <w:color w:val="auto"/>
                <w:lang w:eastAsia="zh-CN"/>
              </w:rPr>
              <w:t>）</w:t>
            </w:r>
            <w:r>
              <w:rPr>
                <w:rFonts w:hint="eastAsia" w:ascii="Times New Roman" w:hAnsi="Times New Roman" w:cs="Times New Roman"/>
                <w:color w:val="auto"/>
              </w:rPr>
              <w:t>。</w:t>
            </w:r>
            <w:r>
              <w:rPr>
                <w:rFonts w:hint="default" w:ascii="Times New Roman" w:hAnsi="Times New Roman" w:cs="Times New Roman"/>
                <w:color w:val="auto"/>
              </w:rPr>
              <w:t>一般生活污水COD的产生浓度约为400mg/L，BOD</w:t>
            </w:r>
            <w:r>
              <w:rPr>
                <w:rFonts w:hint="default" w:ascii="Times New Roman" w:hAnsi="Times New Roman" w:cs="Times New Roman"/>
                <w:color w:val="auto"/>
                <w:vertAlign w:val="subscript"/>
              </w:rPr>
              <w:t>5</w:t>
            </w:r>
            <w:r>
              <w:rPr>
                <w:rFonts w:hint="default" w:ascii="Times New Roman" w:hAnsi="Times New Roman" w:cs="Times New Roman"/>
                <w:color w:val="auto"/>
              </w:rPr>
              <w:t>的产生浓度约为300mg/L，SS的产生浓度约为250mg/L，NH</w:t>
            </w:r>
            <w:r>
              <w:rPr>
                <w:rFonts w:hint="default" w:ascii="Times New Roman" w:hAnsi="Times New Roman" w:cs="Times New Roman"/>
                <w:color w:val="auto"/>
                <w:vertAlign w:val="subscript"/>
              </w:rPr>
              <w:t>3</w:t>
            </w:r>
            <w:r>
              <w:rPr>
                <w:rFonts w:hint="default" w:ascii="Times New Roman" w:hAnsi="Times New Roman" w:cs="Times New Roman"/>
                <w:color w:val="auto"/>
              </w:rPr>
              <w:t>-N的产生浓度约为30mg/L，则本项目COD产生量约为</w:t>
            </w:r>
            <w:r>
              <w:rPr>
                <w:rFonts w:hint="eastAsia" w:ascii="Times New Roman" w:hAnsi="Times New Roman" w:cs="Times New Roman"/>
                <w:color w:val="auto"/>
                <w:lang w:val="en-US" w:eastAsia="zh-CN"/>
              </w:rPr>
              <w:t>0.0</w:t>
            </w:r>
            <w:r>
              <w:rPr>
                <w:rFonts w:hint="eastAsia" w:cs="Times New Roman"/>
                <w:color w:val="auto"/>
                <w:lang w:val="en-US" w:eastAsia="zh-CN"/>
              </w:rPr>
              <w:t>432</w:t>
            </w:r>
            <w:r>
              <w:rPr>
                <w:rFonts w:hint="eastAsia" w:ascii="Times New Roman" w:hAnsi="Times New Roman" w:cs="Times New Roman"/>
                <w:color w:val="auto"/>
              </w:rPr>
              <w:t>t</w:t>
            </w:r>
            <w:r>
              <w:rPr>
                <w:rFonts w:hint="default" w:ascii="Times New Roman" w:hAnsi="Times New Roman" w:cs="Times New Roman"/>
                <w:color w:val="auto"/>
              </w:rPr>
              <w:t>/a，BOD</w:t>
            </w:r>
            <w:r>
              <w:rPr>
                <w:rFonts w:hint="default" w:ascii="Times New Roman" w:hAnsi="Times New Roman" w:cs="Times New Roman"/>
                <w:color w:val="auto"/>
                <w:vertAlign w:val="subscript"/>
              </w:rPr>
              <w:t>5</w:t>
            </w:r>
            <w:r>
              <w:rPr>
                <w:rFonts w:hint="default" w:ascii="Times New Roman" w:hAnsi="Times New Roman" w:cs="Times New Roman"/>
                <w:color w:val="auto"/>
              </w:rPr>
              <w:t>产生量约为</w:t>
            </w:r>
            <w:r>
              <w:rPr>
                <w:rFonts w:hint="eastAsia" w:ascii="Times New Roman" w:hAnsi="Times New Roman" w:cs="Times New Roman"/>
                <w:color w:val="auto"/>
                <w:lang w:val="en-US" w:eastAsia="zh-CN"/>
              </w:rPr>
              <w:t>0.0</w:t>
            </w:r>
            <w:r>
              <w:rPr>
                <w:rFonts w:hint="eastAsia" w:cs="Times New Roman"/>
                <w:color w:val="auto"/>
                <w:lang w:val="en-US" w:eastAsia="zh-CN"/>
              </w:rPr>
              <w:t>324</w:t>
            </w:r>
            <w:r>
              <w:rPr>
                <w:rFonts w:hint="default" w:ascii="Times New Roman" w:hAnsi="Times New Roman" w:cs="Times New Roman"/>
                <w:color w:val="auto"/>
              </w:rPr>
              <w:t>t/a，SS产生量约为</w:t>
            </w:r>
            <w:r>
              <w:rPr>
                <w:rFonts w:hint="eastAsia" w:ascii="Times New Roman" w:hAnsi="Times New Roman" w:cs="Times New Roman"/>
                <w:color w:val="auto"/>
                <w:lang w:val="en-US" w:eastAsia="zh-CN"/>
              </w:rPr>
              <w:t>0.0</w:t>
            </w:r>
            <w:r>
              <w:rPr>
                <w:rFonts w:hint="eastAsia" w:cs="Times New Roman"/>
                <w:color w:val="auto"/>
                <w:lang w:val="en-US" w:eastAsia="zh-CN"/>
              </w:rPr>
              <w:t>27</w:t>
            </w:r>
            <w:r>
              <w:rPr>
                <w:rFonts w:hint="default" w:ascii="Times New Roman" w:hAnsi="Times New Roman" w:cs="Times New Roman"/>
                <w:color w:val="auto"/>
              </w:rPr>
              <w:t>t/a，NH</w:t>
            </w:r>
            <w:r>
              <w:rPr>
                <w:rFonts w:hint="default" w:ascii="Times New Roman" w:hAnsi="Times New Roman" w:cs="Times New Roman"/>
                <w:color w:val="auto"/>
                <w:vertAlign w:val="subscript"/>
              </w:rPr>
              <w:t>3</w:t>
            </w:r>
            <w:r>
              <w:rPr>
                <w:rFonts w:hint="default" w:ascii="Times New Roman" w:hAnsi="Times New Roman" w:cs="Times New Roman"/>
                <w:color w:val="auto"/>
              </w:rPr>
              <w:t>-N产生量约为</w:t>
            </w:r>
            <w:r>
              <w:rPr>
                <w:rFonts w:hint="eastAsia" w:ascii="Times New Roman" w:hAnsi="Times New Roman" w:cs="Times New Roman"/>
                <w:color w:val="auto"/>
                <w:lang w:val="en-US" w:eastAsia="zh-CN"/>
              </w:rPr>
              <w:t>0.00</w:t>
            </w:r>
            <w:r>
              <w:rPr>
                <w:rFonts w:hint="eastAsia" w:cs="Times New Roman"/>
                <w:color w:val="auto"/>
                <w:lang w:val="en-US" w:eastAsia="zh-CN"/>
              </w:rPr>
              <w:t>324</w:t>
            </w:r>
            <w:r>
              <w:rPr>
                <w:rFonts w:hint="default" w:ascii="Times New Roman" w:hAnsi="Times New Roman" w:cs="Times New Roman"/>
                <w:color w:val="auto"/>
              </w:rPr>
              <w:t>t/a。</w:t>
            </w:r>
          </w:p>
          <w:p w14:paraId="7E9409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cs="Times New Roman"/>
                <w:color w:val="auto"/>
                <w:highlight w:val="none"/>
              </w:rPr>
            </w:pPr>
            <w:r>
              <w:rPr>
                <w:rFonts w:hint="default" w:ascii="Times New Roman" w:hAnsi="Times New Roman" w:eastAsia="宋体" w:cs="Times New Roman"/>
                <w:b/>
                <w:bCs/>
                <w:snapToGrid w:val="0"/>
                <w:color w:val="auto"/>
                <w:kern w:val="0"/>
                <w:sz w:val="21"/>
                <w:szCs w:val="21"/>
                <w:highlight w:val="none"/>
                <w:lang w:val="en-US" w:eastAsia="zh-CN" w:bidi="ar-SA"/>
                <w14:ligatures w14:val="none"/>
              </w:rPr>
              <w:t>表4</w:t>
            </w:r>
            <w:r>
              <w:rPr>
                <w:rFonts w:hint="eastAsia" w:ascii="Times New Roman" w:hAnsi="Times New Roman" w:eastAsia="宋体" w:cs="Times New Roman"/>
                <w:b/>
                <w:bCs/>
                <w:snapToGrid w:val="0"/>
                <w:color w:val="auto"/>
                <w:kern w:val="0"/>
                <w:sz w:val="21"/>
                <w:szCs w:val="21"/>
                <w:highlight w:val="none"/>
                <w:lang w:val="en-US" w:eastAsia="zh-CN" w:bidi="ar-SA"/>
                <w14:ligatures w14:val="none"/>
              </w:rPr>
              <w:t>.2-1</w:t>
            </w:r>
            <w:r>
              <w:rPr>
                <w:rFonts w:hint="default" w:ascii="Times New Roman" w:hAnsi="Times New Roman" w:eastAsia="宋体" w:cs="Times New Roman"/>
                <w:b/>
                <w:bCs/>
                <w:snapToGrid w:val="0"/>
                <w:color w:val="auto"/>
                <w:kern w:val="0"/>
                <w:sz w:val="21"/>
                <w:szCs w:val="21"/>
                <w:highlight w:val="none"/>
                <w:lang w:val="en-US" w:eastAsia="zh-CN" w:bidi="ar-SA"/>
                <w14:ligatures w14:val="none"/>
              </w:rPr>
              <w:t xml:space="preserve">  </w:t>
            </w:r>
            <w:r>
              <w:rPr>
                <w:rFonts w:hint="eastAsia" w:ascii="Times New Roman" w:hAnsi="Times New Roman" w:eastAsia="宋体" w:cs="Times New Roman"/>
                <w:b/>
                <w:bCs/>
                <w:snapToGrid w:val="0"/>
                <w:color w:val="auto"/>
                <w:kern w:val="0"/>
                <w:sz w:val="21"/>
                <w:szCs w:val="21"/>
                <w:highlight w:val="none"/>
                <w:lang w:val="en-US" w:eastAsia="zh-CN" w:bidi="ar-SA"/>
                <w14:ligatures w14:val="none"/>
              </w:rPr>
              <w:t xml:space="preserve"> </w:t>
            </w:r>
            <w:r>
              <w:rPr>
                <w:rFonts w:hint="default" w:ascii="Times New Roman" w:hAnsi="Times New Roman" w:eastAsia="宋体" w:cs="Times New Roman"/>
                <w:b/>
                <w:bCs/>
                <w:snapToGrid w:val="0"/>
                <w:color w:val="auto"/>
                <w:kern w:val="0"/>
                <w:sz w:val="21"/>
                <w:szCs w:val="21"/>
                <w:highlight w:val="none"/>
                <w:lang w:val="en-US" w:eastAsia="zh-CN" w:bidi="ar-SA"/>
                <w14:ligatures w14:val="none"/>
              </w:rPr>
              <w:t>项目废水排放情况一览表</w:t>
            </w:r>
          </w:p>
          <w:tbl>
            <w:tblPr>
              <w:tblStyle w:val="28"/>
              <w:tblW w:w="5000" w:type="pct"/>
              <w:jc w:val="right"/>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517"/>
              <w:gridCol w:w="575"/>
              <w:gridCol w:w="647"/>
              <w:gridCol w:w="613"/>
              <w:gridCol w:w="715"/>
              <w:gridCol w:w="825"/>
              <w:gridCol w:w="557"/>
              <w:gridCol w:w="621"/>
              <w:gridCol w:w="913"/>
              <w:gridCol w:w="715"/>
              <w:gridCol w:w="853"/>
              <w:gridCol w:w="770"/>
            </w:tblGrid>
            <w:tr w14:paraId="3A369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61" w:hRule="atLeast"/>
                <w:jc w:val="right"/>
              </w:trPr>
              <w:tc>
                <w:tcPr>
                  <w:tcW w:w="501" w:type="dxa"/>
                  <w:vMerge w:val="restart"/>
                  <w:tcBorders>
                    <w:tl2br w:val="nil"/>
                    <w:tr2bl w:val="nil"/>
                  </w:tcBorders>
                  <w:vAlign w:val="center"/>
                </w:tcPr>
                <w:p w14:paraId="695C5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废水</w:t>
                  </w:r>
                </w:p>
                <w:p w14:paraId="46CE19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来源</w:t>
                  </w:r>
                </w:p>
              </w:tc>
              <w:tc>
                <w:tcPr>
                  <w:tcW w:w="543" w:type="dxa"/>
                  <w:vMerge w:val="restart"/>
                  <w:tcBorders>
                    <w:tl2br w:val="nil"/>
                    <w:tr2bl w:val="nil"/>
                  </w:tcBorders>
                  <w:vAlign w:val="center"/>
                </w:tcPr>
                <w:p w14:paraId="6E9C7B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废水量</w:t>
                  </w:r>
                </w:p>
                <w:p w14:paraId="7221000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(m</w:t>
                  </w:r>
                  <w:r>
                    <w:rPr>
                      <w:rFonts w:hint="default" w:ascii="Times New Roman" w:hAnsi="Times New Roman" w:eastAsia="宋体" w:cs="Times New Roman"/>
                      <w:b/>
                      <w:color w:val="auto"/>
                      <w:sz w:val="21"/>
                      <w:szCs w:val="21"/>
                      <w:highlight w:val="none"/>
                      <w:vertAlign w:val="superscript"/>
                    </w:rPr>
                    <w:t>3</w:t>
                  </w:r>
                  <w:r>
                    <w:rPr>
                      <w:rFonts w:hint="default" w:ascii="Times New Roman" w:hAnsi="Times New Roman" w:eastAsia="宋体" w:cs="Times New Roman"/>
                      <w:b/>
                      <w:color w:val="auto"/>
                      <w:sz w:val="21"/>
                      <w:szCs w:val="21"/>
                      <w:highlight w:val="none"/>
                    </w:rPr>
                    <w:t>/a)</w:t>
                  </w:r>
                </w:p>
              </w:tc>
              <w:tc>
                <w:tcPr>
                  <w:tcW w:w="627" w:type="dxa"/>
                  <w:vMerge w:val="restart"/>
                  <w:tcBorders>
                    <w:tl2br w:val="nil"/>
                    <w:tr2bl w:val="nil"/>
                  </w:tcBorders>
                  <w:vAlign w:val="center"/>
                </w:tcPr>
                <w:p w14:paraId="24446AD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污染物名称</w:t>
                  </w:r>
                </w:p>
              </w:tc>
              <w:tc>
                <w:tcPr>
                  <w:tcW w:w="1275" w:type="dxa"/>
                  <w:gridSpan w:val="2"/>
                  <w:tcBorders>
                    <w:tl2br w:val="nil"/>
                    <w:tr2bl w:val="nil"/>
                  </w:tcBorders>
                  <w:vAlign w:val="center"/>
                </w:tcPr>
                <w:p w14:paraId="77E3A08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pacing w:val="-8"/>
                      <w:sz w:val="21"/>
                      <w:szCs w:val="21"/>
                      <w:highlight w:val="none"/>
                    </w:rPr>
                    <w:t>污染物产生量</w:t>
                  </w:r>
                </w:p>
              </w:tc>
              <w:tc>
                <w:tcPr>
                  <w:tcW w:w="800" w:type="dxa"/>
                  <w:vMerge w:val="restart"/>
                  <w:tcBorders>
                    <w:tl2br w:val="nil"/>
                    <w:tr2bl w:val="nil"/>
                  </w:tcBorders>
                  <w:vAlign w:val="center"/>
                </w:tcPr>
                <w:p w14:paraId="7BDEE0B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治理</w:t>
                  </w:r>
                </w:p>
                <w:p w14:paraId="63FC9B3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工艺</w:t>
                  </w:r>
                </w:p>
              </w:tc>
              <w:tc>
                <w:tcPr>
                  <w:tcW w:w="540" w:type="dxa"/>
                  <w:vMerge w:val="restart"/>
                  <w:tcBorders>
                    <w:tl2br w:val="nil"/>
                    <w:tr2bl w:val="nil"/>
                  </w:tcBorders>
                  <w:vAlign w:val="center"/>
                </w:tcPr>
                <w:p w14:paraId="4B81E10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8"/>
                      <w:sz w:val="21"/>
                      <w:szCs w:val="21"/>
                      <w:highlight w:val="none"/>
                    </w:rPr>
                  </w:pPr>
                  <w:r>
                    <w:rPr>
                      <w:rFonts w:hint="default" w:ascii="Times New Roman" w:hAnsi="Times New Roman" w:eastAsia="宋体" w:cs="Times New Roman"/>
                      <w:b/>
                      <w:color w:val="auto"/>
                      <w:spacing w:val="-8"/>
                      <w:sz w:val="21"/>
                      <w:szCs w:val="21"/>
                      <w:highlight w:val="none"/>
                    </w:rPr>
                    <w:t>是否为可行技术</w:t>
                  </w:r>
                </w:p>
              </w:tc>
              <w:tc>
                <w:tcPr>
                  <w:tcW w:w="540" w:type="dxa"/>
                  <w:vMerge w:val="restart"/>
                  <w:tcBorders>
                    <w:tl2br w:val="nil"/>
                    <w:tr2bl w:val="nil"/>
                  </w:tcBorders>
                  <w:vAlign w:val="center"/>
                </w:tcPr>
                <w:p w14:paraId="2F68D40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8"/>
                      <w:sz w:val="21"/>
                      <w:szCs w:val="21"/>
                      <w:highlight w:val="none"/>
                    </w:rPr>
                  </w:pPr>
                  <w:r>
                    <w:rPr>
                      <w:rFonts w:hint="default" w:ascii="Times New Roman" w:hAnsi="Times New Roman" w:eastAsia="宋体" w:cs="Times New Roman"/>
                      <w:b/>
                      <w:color w:val="auto"/>
                      <w:spacing w:val="-8"/>
                      <w:sz w:val="21"/>
                      <w:szCs w:val="21"/>
                      <w:highlight w:val="none"/>
                    </w:rPr>
                    <w:t>去除率（%）</w:t>
                  </w:r>
                </w:p>
              </w:tc>
              <w:tc>
                <w:tcPr>
                  <w:tcW w:w="1440" w:type="dxa"/>
                  <w:gridSpan w:val="2"/>
                  <w:tcBorders>
                    <w:tl2br w:val="nil"/>
                    <w:tr2bl w:val="nil"/>
                  </w:tcBorders>
                  <w:vAlign w:val="center"/>
                </w:tcPr>
                <w:p w14:paraId="261C22A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pacing w:val="-8"/>
                      <w:sz w:val="21"/>
                      <w:szCs w:val="21"/>
                      <w:highlight w:val="none"/>
                    </w:rPr>
                    <w:t>污染物排放量</w:t>
                  </w:r>
                </w:p>
              </w:tc>
              <w:tc>
                <w:tcPr>
                  <w:tcW w:w="827" w:type="dxa"/>
                  <w:vMerge w:val="restart"/>
                  <w:tcBorders>
                    <w:tl2br w:val="nil"/>
                    <w:tr2bl w:val="nil"/>
                  </w:tcBorders>
                  <w:vAlign w:val="center"/>
                </w:tcPr>
                <w:p w14:paraId="57D70C3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标准浓</w:t>
                  </w:r>
                </w:p>
                <w:p w14:paraId="1118720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度限值</w:t>
                  </w:r>
                </w:p>
                <w:p w14:paraId="023B8E4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pacing w:val="-10"/>
                      <w:sz w:val="21"/>
                      <w:szCs w:val="21"/>
                      <w:highlight w:val="none"/>
                    </w:rPr>
                    <w:t>(mg/L)</w:t>
                  </w:r>
                </w:p>
              </w:tc>
              <w:tc>
                <w:tcPr>
                  <w:tcW w:w="746" w:type="dxa"/>
                  <w:vMerge w:val="restart"/>
                  <w:tcBorders>
                    <w:tl2br w:val="nil"/>
                    <w:tr2bl w:val="nil"/>
                  </w:tcBorders>
                  <w:vAlign w:val="center"/>
                </w:tcPr>
                <w:p w14:paraId="1E99C36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排放方式与去向</w:t>
                  </w:r>
                </w:p>
              </w:tc>
            </w:tr>
            <w:tr w14:paraId="3D398D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73" w:hRule="atLeast"/>
                <w:jc w:val="right"/>
              </w:trPr>
              <w:tc>
                <w:tcPr>
                  <w:tcW w:w="501" w:type="dxa"/>
                  <w:vMerge w:val="continue"/>
                  <w:tcBorders>
                    <w:tl2br w:val="nil"/>
                    <w:tr2bl w:val="nil"/>
                  </w:tcBorders>
                  <w:vAlign w:val="center"/>
                </w:tcPr>
                <w:p w14:paraId="256F17D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3" w:type="dxa"/>
                  <w:vMerge w:val="continue"/>
                  <w:tcBorders>
                    <w:tl2br w:val="nil"/>
                    <w:tr2bl w:val="nil"/>
                  </w:tcBorders>
                  <w:vAlign w:val="center"/>
                </w:tcPr>
                <w:p w14:paraId="2846008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627" w:type="dxa"/>
                  <w:vMerge w:val="continue"/>
                  <w:tcBorders>
                    <w:tl2br w:val="nil"/>
                    <w:tr2bl w:val="nil"/>
                  </w:tcBorders>
                  <w:vAlign w:val="center"/>
                </w:tcPr>
                <w:p w14:paraId="7218CDF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94" w:type="dxa"/>
                  <w:tcBorders>
                    <w:tl2br w:val="nil"/>
                    <w:tr2bl w:val="nil"/>
                  </w:tcBorders>
                  <w:vAlign w:val="center"/>
                </w:tcPr>
                <w:p w14:paraId="72265DB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浓度</w:t>
                  </w:r>
                </w:p>
                <w:p w14:paraId="7480B1D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(mg/L)</w:t>
                  </w:r>
                </w:p>
              </w:tc>
              <w:tc>
                <w:tcPr>
                  <w:tcW w:w="681" w:type="dxa"/>
                  <w:tcBorders>
                    <w:tl2br w:val="nil"/>
                    <w:tr2bl w:val="nil"/>
                  </w:tcBorders>
                  <w:vAlign w:val="center"/>
                </w:tcPr>
                <w:p w14:paraId="7841F75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产生量</w:t>
                  </w:r>
                </w:p>
                <w:p w14:paraId="070D980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(t/a)</w:t>
                  </w:r>
                </w:p>
              </w:tc>
              <w:tc>
                <w:tcPr>
                  <w:tcW w:w="800" w:type="dxa"/>
                  <w:vMerge w:val="continue"/>
                  <w:tcBorders>
                    <w:tl2br w:val="nil"/>
                    <w:tr2bl w:val="nil"/>
                  </w:tcBorders>
                  <w:vAlign w:val="center"/>
                </w:tcPr>
                <w:p w14:paraId="1B6F177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p>
              </w:tc>
              <w:tc>
                <w:tcPr>
                  <w:tcW w:w="540" w:type="dxa"/>
                  <w:vMerge w:val="continue"/>
                  <w:tcBorders>
                    <w:tl2br w:val="nil"/>
                    <w:tr2bl w:val="nil"/>
                  </w:tcBorders>
                  <w:vAlign w:val="center"/>
                </w:tcPr>
                <w:p w14:paraId="660434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10"/>
                      <w:sz w:val="21"/>
                      <w:szCs w:val="21"/>
                      <w:highlight w:val="none"/>
                    </w:rPr>
                  </w:pPr>
                </w:p>
              </w:tc>
              <w:tc>
                <w:tcPr>
                  <w:tcW w:w="540" w:type="dxa"/>
                  <w:vMerge w:val="continue"/>
                  <w:tcBorders>
                    <w:tl2br w:val="nil"/>
                    <w:tr2bl w:val="nil"/>
                  </w:tcBorders>
                  <w:vAlign w:val="center"/>
                </w:tcPr>
                <w:p w14:paraId="2A545B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10"/>
                      <w:sz w:val="21"/>
                      <w:szCs w:val="21"/>
                      <w:highlight w:val="none"/>
                    </w:rPr>
                  </w:pPr>
                </w:p>
              </w:tc>
              <w:tc>
                <w:tcPr>
                  <w:tcW w:w="885" w:type="dxa"/>
                  <w:tcBorders>
                    <w:tl2br w:val="nil"/>
                    <w:tr2bl w:val="nil"/>
                  </w:tcBorders>
                  <w:vAlign w:val="center"/>
                </w:tcPr>
                <w:p w14:paraId="68EDF59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浓度</w:t>
                  </w:r>
                </w:p>
                <w:p w14:paraId="010FFFB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pacing w:val="-10"/>
                      <w:sz w:val="21"/>
                      <w:szCs w:val="21"/>
                      <w:highlight w:val="none"/>
                    </w:rPr>
                    <w:t>(mg/L)</w:t>
                  </w:r>
                </w:p>
              </w:tc>
              <w:tc>
                <w:tcPr>
                  <w:tcW w:w="555" w:type="dxa"/>
                  <w:tcBorders>
                    <w:tl2br w:val="nil"/>
                    <w:tr2bl w:val="nil"/>
                  </w:tcBorders>
                  <w:vAlign w:val="center"/>
                </w:tcPr>
                <w:p w14:paraId="34B759C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10"/>
                      <w:sz w:val="21"/>
                      <w:szCs w:val="21"/>
                      <w:highlight w:val="none"/>
                    </w:rPr>
                  </w:pPr>
                  <w:r>
                    <w:rPr>
                      <w:rFonts w:hint="default" w:ascii="Times New Roman" w:hAnsi="Times New Roman" w:eastAsia="宋体" w:cs="Times New Roman"/>
                      <w:b/>
                      <w:color w:val="auto"/>
                      <w:spacing w:val="-10"/>
                      <w:sz w:val="21"/>
                      <w:szCs w:val="21"/>
                      <w:highlight w:val="none"/>
                    </w:rPr>
                    <w:t>排放量</w:t>
                  </w:r>
                </w:p>
                <w:p w14:paraId="62CA236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(t/a)</w:t>
                  </w:r>
                </w:p>
              </w:tc>
              <w:tc>
                <w:tcPr>
                  <w:tcW w:w="827" w:type="dxa"/>
                  <w:vMerge w:val="continue"/>
                  <w:tcBorders>
                    <w:tl2br w:val="nil"/>
                    <w:tr2bl w:val="nil"/>
                  </w:tcBorders>
                  <w:vAlign w:val="center"/>
                </w:tcPr>
                <w:p w14:paraId="620723E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p>
              </w:tc>
              <w:tc>
                <w:tcPr>
                  <w:tcW w:w="746" w:type="dxa"/>
                  <w:vMerge w:val="continue"/>
                  <w:tcBorders>
                    <w:tl2br w:val="nil"/>
                    <w:tr2bl w:val="nil"/>
                  </w:tcBorders>
                  <w:vAlign w:val="center"/>
                </w:tcPr>
                <w:p w14:paraId="7F7BB02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highlight w:val="none"/>
                    </w:rPr>
                  </w:pPr>
                </w:p>
              </w:tc>
            </w:tr>
            <w:tr w14:paraId="50A37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16" w:hRule="atLeast"/>
                <w:jc w:val="right"/>
              </w:trPr>
              <w:tc>
                <w:tcPr>
                  <w:tcW w:w="501" w:type="dxa"/>
                  <w:vMerge w:val="restart"/>
                  <w:tcBorders>
                    <w:tl2br w:val="nil"/>
                    <w:tr2bl w:val="nil"/>
                  </w:tcBorders>
                  <w:vAlign w:val="center"/>
                </w:tcPr>
                <w:p w14:paraId="72A6AF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rPr>
                    <w:t>生活污水</w:t>
                  </w:r>
                </w:p>
              </w:tc>
              <w:tc>
                <w:tcPr>
                  <w:tcW w:w="543" w:type="dxa"/>
                  <w:vMerge w:val="restart"/>
                  <w:tcBorders>
                    <w:tl2br w:val="nil"/>
                    <w:tr2bl w:val="nil"/>
                  </w:tcBorders>
                  <w:vAlign w:val="center"/>
                </w:tcPr>
                <w:p w14:paraId="3469DF3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color w:val="auto"/>
                      <w:lang w:val="en-US" w:eastAsia="zh-CN"/>
                    </w:rPr>
                    <w:t>1</w:t>
                  </w:r>
                  <w:r>
                    <w:rPr>
                      <w:rFonts w:hint="eastAsia" w:cs="Times New Roman"/>
                      <w:color w:val="auto"/>
                      <w:lang w:val="en-US" w:eastAsia="zh-CN"/>
                    </w:rPr>
                    <w:t>08</w:t>
                  </w:r>
                </w:p>
              </w:tc>
              <w:tc>
                <w:tcPr>
                  <w:tcW w:w="627" w:type="dxa"/>
                  <w:tcBorders>
                    <w:tl2br w:val="nil"/>
                    <w:tr2bl w:val="nil"/>
                  </w:tcBorders>
                  <w:vAlign w:val="center"/>
                </w:tcPr>
                <w:p w14:paraId="181C02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COD</w:t>
                  </w:r>
                </w:p>
              </w:tc>
              <w:tc>
                <w:tcPr>
                  <w:tcW w:w="594" w:type="dxa"/>
                  <w:tcBorders>
                    <w:tl2br w:val="nil"/>
                    <w:tr2bl w:val="nil"/>
                  </w:tcBorders>
                  <w:vAlign w:val="center"/>
                </w:tcPr>
                <w:p w14:paraId="3894E0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400</w:t>
                  </w:r>
                </w:p>
              </w:tc>
              <w:tc>
                <w:tcPr>
                  <w:tcW w:w="681" w:type="dxa"/>
                  <w:tcBorders>
                    <w:tl2br w:val="nil"/>
                    <w:tr2bl w:val="nil"/>
                  </w:tcBorders>
                  <w:vAlign w:val="center"/>
                </w:tcPr>
                <w:p w14:paraId="487800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0.0432</w:t>
                  </w:r>
                </w:p>
              </w:tc>
              <w:tc>
                <w:tcPr>
                  <w:tcW w:w="800" w:type="dxa"/>
                  <w:vMerge w:val="restart"/>
                  <w:tcBorders>
                    <w:tl2br w:val="nil"/>
                    <w:tr2bl w:val="nil"/>
                  </w:tcBorders>
                  <w:vAlign w:val="center"/>
                </w:tcPr>
                <w:p w14:paraId="65DA1D2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szCs w:val="21"/>
                      <w:highlight w:val="none"/>
                      <w:lang w:eastAsia="zh-CN"/>
                    </w:rPr>
                  </w:pPr>
                  <w:r>
                    <w:rPr>
                      <w:rFonts w:hint="eastAsia"/>
                      <w:sz w:val="21"/>
                      <w:szCs w:val="21"/>
                      <w:highlight w:val="none"/>
                      <w:lang w:eastAsia="zh-CN"/>
                    </w:rPr>
                    <w:t>格栅+A/O+二沉+消毒</w:t>
                  </w:r>
                </w:p>
              </w:tc>
              <w:tc>
                <w:tcPr>
                  <w:tcW w:w="540" w:type="dxa"/>
                  <w:vMerge w:val="restart"/>
                  <w:tcBorders>
                    <w:tl2br w:val="nil"/>
                    <w:tr2bl w:val="nil"/>
                  </w:tcBorders>
                  <w:vAlign w:val="center"/>
                </w:tcPr>
                <w:p w14:paraId="43FFE97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val="0"/>
                      <w:color w:val="auto"/>
                      <w:sz w:val="21"/>
                      <w:szCs w:val="21"/>
                      <w:highlight w:val="none"/>
                      <w:lang w:eastAsia="zh-CN"/>
                    </w:rPr>
                  </w:pPr>
                  <w:r>
                    <w:rPr>
                      <w:rFonts w:hint="eastAsia" w:cs="Times New Roman"/>
                      <w:b w:val="0"/>
                      <w:bCs w:val="0"/>
                      <w:color w:val="auto"/>
                      <w:sz w:val="21"/>
                      <w:szCs w:val="21"/>
                      <w:highlight w:val="none"/>
                      <w:lang w:val="en-US" w:eastAsia="zh-CN"/>
                    </w:rPr>
                    <w:t>是</w:t>
                  </w:r>
                </w:p>
              </w:tc>
              <w:tc>
                <w:tcPr>
                  <w:tcW w:w="540" w:type="dxa"/>
                  <w:tcBorders>
                    <w:tl2br w:val="nil"/>
                    <w:tr2bl w:val="nil"/>
                  </w:tcBorders>
                  <w:vAlign w:val="center"/>
                </w:tcPr>
                <w:p w14:paraId="6184D2E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90</w:t>
                  </w:r>
                </w:p>
              </w:tc>
              <w:tc>
                <w:tcPr>
                  <w:tcW w:w="885" w:type="dxa"/>
                  <w:tcBorders>
                    <w:tl2br w:val="nil"/>
                    <w:tr2bl w:val="nil"/>
                  </w:tcBorders>
                  <w:vAlign w:val="center"/>
                </w:tcPr>
                <w:p w14:paraId="1547E7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40</w:t>
                  </w:r>
                </w:p>
              </w:tc>
              <w:tc>
                <w:tcPr>
                  <w:tcW w:w="555" w:type="dxa"/>
                  <w:tcBorders>
                    <w:tl2br w:val="nil"/>
                    <w:tr2bl w:val="nil"/>
                  </w:tcBorders>
                  <w:vAlign w:val="center"/>
                </w:tcPr>
                <w:p w14:paraId="478BD0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w:t>
                  </w:r>
                  <w:r>
                    <w:rPr>
                      <w:rFonts w:hint="eastAsia" w:ascii="Times New Roman" w:hAnsi="Times New Roman" w:eastAsia="宋体" w:cs="Times New Roman"/>
                      <w:b w:val="0"/>
                      <w:bCs w:val="0"/>
                      <w:color w:val="auto"/>
                      <w:sz w:val="21"/>
                      <w:szCs w:val="21"/>
                      <w:highlight w:val="none"/>
                      <w:lang w:val="en-US" w:eastAsia="zh-CN"/>
                    </w:rPr>
                    <w:t>0</w:t>
                  </w:r>
                  <w:r>
                    <w:rPr>
                      <w:rFonts w:hint="default" w:ascii="Times New Roman" w:hAnsi="Times New Roman" w:eastAsia="宋体" w:cs="Times New Roman"/>
                      <w:b w:val="0"/>
                      <w:bCs w:val="0"/>
                      <w:color w:val="auto"/>
                      <w:sz w:val="21"/>
                      <w:szCs w:val="21"/>
                      <w:highlight w:val="none"/>
                      <w:lang w:val="en-US" w:eastAsia="zh-CN"/>
                    </w:rPr>
                    <w:t>432</w:t>
                  </w:r>
                </w:p>
              </w:tc>
              <w:tc>
                <w:tcPr>
                  <w:tcW w:w="827" w:type="dxa"/>
                  <w:tcBorders>
                    <w:tl2br w:val="nil"/>
                    <w:tr2bl w:val="nil"/>
                  </w:tcBorders>
                  <w:vAlign w:val="center"/>
                </w:tcPr>
                <w:p w14:paraId="2EACF1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60</w:t>
                  </w:r>
                </w:p>
              </w:tc>
              <w:tc>
                <w:tcPr>
                  <w:tcW w:w="746" w:type="dxa"/>
                  <w:vMerge w:val="restart"/>
                  <w:tcBorders>
                    <w:tl2br w:val="nil"/>
                    <w:tr2bl w:val="nil"/>
                  </w:tcBorders>
                  <w:vAlign w:val="center"/>
                </w:tcPr>
                <w:p w14:paraId="34B73CF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sz w:val="21"/>
                      <w:szCs w:val="21"/>
                      <w:highlight w:val="none"/>
                      <w:lang w:val="en-US"/>
                    </w:rPr>
                    <w:t>生活污水进入一体化处理设施，处理后用于草地灌溉</w:t>
                  </w:r>
                </w:p>
              </w:tc>
            </w:tr>
            <w:tr w14:paraId="4065BA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right"/>
              </w:trPr>
              <w:tc>
                <w:tcPr>
                  <w:tcW w:w="501" w:type="dxa"/>
                  <w:vMerge w:val="continue"/>
                  <w:tcBorders>
                    <w:tl2br w:val="nil"/>
                    <w:tr2bl w:val="nil"/>
                  </w:tcBorders>
                  <w:vAlign w:val="center"/>
                </w:tcPr>
                <w:p w14:paraId="34A8FAB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3" w:type="dxa"/>
                  <w:vMerge w:val="continue"/>
                  <w:tcBorders>
                    <w:tl2br w:val="nil"/>
                    <w:tr2bl w:val="nil"/>
                  </w:tcBorders>
                  <w:vAlign w:val="center"/>
                </w:tcPr>
                <w:p w14:paraId="6559C18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627" w:type="dxa"/>
                  <w:tcBorders>
                    <w:tl2br w:val="nil"/>
                    <w:tr2bl w:val="nil"/>
                  </w:tcBorders>
                  <w:vAlign w:val="center"/>
                </w:tcPr>
                <w:p w14:paraId="22AD38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tc>
              <w:tc>
                <w:tcPr>
                  <w:tcW w:w="594" w:type="dxa"/>
                  <w:tcBorders>
                    <w:tl2br w:val="nil"/>
                    <w:tr2bl w:val="nil"/>
                  </w:tcBorders>
                  <w:vAlign w:val="center"/>
                </w:tcPr>
                <w:p w14:paraId="43CA80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c>
                <w:tcPr>
                  <w:tcW w:w="681" w:type="dxa"/>
                  <w:tcBorders>
                    <w:tl2br w:val="nil"/>
                    <w:tr2bl w:val="nil"/>
                  </w:tcBorders>
                  <w:vAlign w:val="center"/>
                </w:tcPr>
                <w:p w14:paraId="52D3C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0.0324</w:t>
                  </w:r>
                </w:p>
              </w:tc>
              <w:tc>
                <w:tcPr>
                  <w:tcW w:w="800" w:type="dxa"/>
                  <w:vMerge w:val="continue"/>
                  <w:tcBorders>
                    <w:tl2br w:val="nil"/>
                    <w:tr2bl w:val="nil"/>
                  </w:tcBorders>
                  <w:vAlign w:val="center"/>
                </w:tcPr>
                <w:p w14:paraId="5C29286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0" w:type="dxa"/>
                  <w:vMerge w:val="continue"/>
                  <w:tcBorders>
                    <w:tl2br w:val="nil"/>
                    <w:tr2bl w:val="nil"/>
                  </w:tcBorders>
                  <w:vAlign w:val="center"/>
                </w:tcPr>
                <w:p w14:paraId="1908660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540" w:type="dxa"/>
                  <w:tcBorders>
                    <w:tl2br w:val="nil"/>
                    <w:tr2bl w:val="nil"/>
                  </w:tcBorders>
                  <w:vAlign w:val="center"/>
                </w:tcPr>
                <w:p w14:paraId="16B0FD5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885" w:type="dxa"/>
                  <w:tcBorders>
                    <w:tl2br w:val="nil"/>
                    <w:tr2bl w:val="nil"/>
                  </w:tcBorders>
                  <w:vAlign w:val="center"/>
                </w:tcPr>
                <w:p w14:paraId="3CDC8A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45</w:t>
                  </w:r>
                </w:p>
              </w:tc>
              <w:tc>
                <w:tcPr>
                  <w:tcW w:w="555" w:type="dxa"/>
                  <w:tcBorders>
                    <w:tl2br w:val="nil"/>
                    <w:tr2bl w:val="nil"/>
                  </w:tcBorders>
                  <w:vAlign w:val="center"/>
                </w:tcPr>
                <w:p w14:paraId="1D8D30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ascii="Times New Roman" w:hAnsi="Times New Roman" w:eastAsia="宋体" w:cs="Times New Roman"/>
                      <w:color w:val="auto"/>
                      <w:sz w:val="21"/>
                      <w:szCs w:val="21"/>
                      <w:highlight w:val="none"/>
                      <w:lang w:val="en-US" w:eastAsia="zh-CN"/>
                    </w:rPr>
                    <w:t>0486</w:t>
                  </w:r>
                </w:p>
              </w:tc>
              <w:tc>
                <w:tcPr>
                  <w:tcW w:w="827" w:type="dxa"/>
                  <w:tcBorders>
                    <w:tl2br w:val="nil"/>
                    <w:tr2bl w:val="nil"/>
                  </w:tcBorders>
                  <w:vAlign w:val="center"/>
                </w:tcPr>
                <w:p w14:paraId="7E5CA8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w:t>
                  </w:r>
                </w:p>
              </w:tc>
              <w:tc>
                <w:tcPr>
                  <w:tcW w:w="746" w:type="dxa"/>
                  <w:vMerge w:val="continue"/>
                  <w:tcBorders>
                    <w:tl2br w:val="nil"/>
                    <w:tr2bl w:val="nil"/>
                  </w:tcBorders>
                  <w:vAlign w:val="center"/>
                </w:tcPr>
                <w:p w14:paraId="698B628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r>
            <w:tr w14:paraId="570279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right"/>
              </w:trPr>
              <w:tc>
                <w:tcPr>
                  <w:tcW w:w="501" w:type="dxa"/>
                  <w:vMerge w:val="continue"/>
                  <w:tcBorders>
                    <w:tl2br w:val="nil"/>
                    <w:tr2bl w:val="nil"/>
                  </w:tcBorders>
                  <w:vAlign w:val="center"/>
                </w:tcPr>
                <w:p w14:paraId="0DE0CA2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3" w:type="dxa"/>
                  <w:vMerge w:val="continue"/>
                  <w:tcBorders>
                    <w:tl2br w:val="nil"/>
                    <w:tr2bl w:val="nil"/>
                  </w:tcBorders>
                  <w:vAlign w:val="center"/>
                </w:tcPr>
                <w:p w14:paraId="670BB7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627" w:type="dxa"/>
                  <w:tcBorders>
                    <w:tl2br w:val="nil"/>
                    <w:tr2bl w:val="nil"/>
                  </w:tcBorders>
                  <w:vAlign w:val="center"/>
                </w:tcPr>
                <w:p w14:paraId="7F9820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tc>
              <w:tc>
                <w:tcPr>
                  <w:tcW w:w="594" w:type="dxa"/>
                  <w:tcBorders>
                    <w:tl2br w:val="nil"/>
                    <w:tr2bl w:val="nil"/>
                  </w:tcBorders>
                  <w:vAlign w:val="center"/>
                </w:tcPr>
                <w:p w14:paraId="2E6888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681" w:type="dxa"/>
                  <w:tcBorders>
                    <w:tl2br w:val="nil"/>
                    <w:tr2bl w:val="nil"/>
                  </w:tcBorders>
                  <w:vAlign w:val="center"/>
                </w:tcPr>
                <w:p w14:paraId="60451B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0.00324</w:t>
                  </w:r>
                </w:p>
              </w:tc>
              <w:tc>
                <w:tcPr>
                  <w:tcW w:w="800" w:type="dxa"/>
                  <w:vMerge w:val="continue"/>
                  <w:tcBorders>
                    <w:tl2br w:val="nil"/>
                    <w:tr2bl w:val="nil"/>
                  </w:tcBorders>
                  <w:vAlign w:val="center"/>
                </w:tcPr>
                <w:p w14:paraId="0C42AC4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0" w:type="dxa"/>
                  <w:vMerge w:val="continue"/>
                  <w:tcBorders>
                    <w:tl2br w:val="nil"/>
                    <w:tr2bl w:val="nil"/>
                  </w:tcBorders>
                  <w:vAlign w:val="center"/>
                </w:tcPr>
                <w:p w14:paraId="4F5D2C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540" w:type="dxa"/>
                  <w:tcBorders>
                    <w:tl2br w:val="nil"/>
                    <w:tr2bl w:val="nil"/>
                  </w:tcBorders>
                  <w:vAlign w:val="center"/>
                </w:tcPr>
                <w:p w14:paraId="04E6509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75</w:t>
                  </w:r>
                </w:p>
              </w:tc>
              <w:tc>
                <w:tcPr>
                  <w:tcW w:w="885" w:type="dxa"/>
                  <w:tcBorders>
                    <w:tl2br w:val="nil"/>
                    <w:tr2bl w:val="nil"/>
                  </w:tcBorders>
                  <w:vAlign w:val="center"/>
                </w:tcPr>
                <w:p w14:paraId="7BE345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7.5</w:t>
                  </w:r>
                </w:p>
              </w:tc>
              <w:tc>
                <w:tcPr>
                  <w:tcW w:w="555" w:type="dxa"/>
                  <w:tcBorders>
                    <w:tl2br w:val="nil"/>
                    <w:tr2bl w:val="nil"/>
                  </w:tcBorders>
                  <w:vAlign w:val="center"/>
                </w:tcPr>
                <w:p w14:paraId="0EE094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w:t>
                  </w:r>
                  <w:r>
                    <w:rPr>
                      <w:rFonts w:hint="eastAsia" w:ascii="Times New Roman" w:hAnsi="Times New Roman" w:eastAsia="宋体" w:cs="Times New Roman"/>
                      <w:color w:val="auto"/>
                      <w:sz w:val="21"/>
                      <w:szCs w:val="21"/>
                      <w:highlight w:val="none"/>
                      <w:lang w:val="en-US" w:eastAsia="zh-CN"/>
                    </w:rPr>
                    <w:t>081</w:t>
                  </w:r>
                </w:p>
              </w:tc>
              <w:tc>
                <w:tcPr>
                  <w:tcW w:w="827" w:type="dxa"/>
                  <w:tcBorders>
                    <w:tl2br w:val="nil"/>
                    <w:tr2bl w:val="nil"/>
                  </w:tcBorders>
                  <w:vAlign w:val="center"/>
                </w:tcPr>
                <w:p w14:paraId="7E398E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w:t>
                  </w:r>
                </w:p>
              </w:tc>
              <w:tc>
                <w:tcPr>
                  <w:tcW w:w="746" w:type="dxa"/>
                  <w:vMerge w:val="continue"/>
                  <w:tcBorders>
                    <w:tl2br w:val="nil"/>
                    <w:tr2bl w:val="nil"/>
                  </w:tcBorders>
                  <w:vAlign w:val="center"/>
                </w:tcPr>
                <w:p w14:paraId="693B09F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r>
            <w:tr w14:paraId="5E0D1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83" w:hRule="atLeast"/>
                <w:jc w:val="right"/>
              </w:trPr>
              <w:tc>
                <w:tcPr>
                  <w:tcW w:w="501" w:type="dxa"/>
                  <w:vMerge w:val="continue"/>
                  <w:tcBorders>
                    <w:tl2br w:val="nil"/>
                    <w:tr2bl w:val="nil"/>
                  </w:tcBorders>
                  <w:vAlign w:val="center"/>
                </w:tcPr>
                <w:p w14:paraId="15AE36E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3" w:type="dxa"/>
                  <w:vMerge w:val="continue"/>
                  <w:tcBorders>
                    <w:tl2br w:val="nil"/>
                    <w:tr2bl w:val="nil"/>
                  </w:tcBorders>
                  <w:vAlign w:val="center"/>
                </w:tcPr>
                <w:p w14:paraId="4F6921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627" w:type="dxa"/>
                  <w:tcBorders>
                    <w:tl2br w:val="nil"/>
                    <w:tr2bl w:val="nil"/>
                  </w:tcBorders>
                  <w:vAlign w:val="center"/>
                </w:tcPr>
                <w:p w14:paraId="621007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SS</w:t>
                  </w:r>
                </w:p>
              </w:tc>
              <w:tc>
                <w:tcPr>
                  <w:tcW w:w="594" w:type="dxa"/>
                  <w:tcBorders>
                    <w:tl2br w:val="nil"/>
                    <w:tr2bl w:val="nil"/>
                  </w:tcBorders>
                  <w:vAlign w:val="center"/>
                </w:tcPr>
                <w:p w14:paraId="705AE4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c>
                <w:tcPr>
                  <w:tcW w:w="681" w:type="dxa"/>
                  <w:tcBorders>
                    <w:tl2br w:val="nil"/>
                    <w:tr2bl w:val="nil"/>
                  </w:tcBorders>
                  <w:vAlign w:val="center"/>
                </w:tcPr>
                <w:p w14:paraId="1CBAE5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0.027</w:t>
                  </w:r>
                </w:p>
              </w:tc>
              <w:tc>
                <w:tcPr>
                  <w:tcW w:w="800" w:type="dxa"/>
                  <w:vMerge w:val="continue"/>
                  <w:tcBorders>
                    <w:tl2br w:val="nil"/>
                    <w:tr2bl w:val="nil"/>
                  </w:tcBorders>
                  <w:vAlign w:val="center"/>
                </w:tcPr>
                <w:p w14:paraId="2B6EDC2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c>
                <w:tcPr>
                  <w:tcW w:w="540" w:type="dxa"/>
                  <w:vMerge w:val="continue"/>
                  <w:tcBorders>
                    <w:tl2br w:val="nil"/>
                    <w:tr2bl w:val="nil"/>
                  </w:tcBorders>
                  <w:vAlign w:val="center"/>
                </w:tcPr>
                <w:p w14:paraId="772CC36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rPr>
                  </w:pPr>
                </w:p>
              </w:tc>
              <w:tc>
                <w:tcPr>
                  <w:tcW w:w="540" w:type="dxa"/>
                  <w:tcBorders>
                    <w:tl2br w:val="nil"/>
                    <w:tr2bl w:val="nil"/>
                  </w:tcBorders>
                  <w:vAlign w:val="center"/>
                </w:tcPr>
                <w:p w14:paraId="2279AC3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c>
                <w:tcPr>
                  <w:tcW w:w="885" w:type="dxa"/>
                  <w:tcBorders>
                    <w:tl2br w:val="nil"/>
                    <w:tr2bl w:val="nil"/>
                  </w:tcBorders>
                  <w:vAlign w:val="center"/>
                </w:tcPr>
                <w:p w14:paraId="6C3210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w:t>
                  </w:r>
                </w:p>
              </w:tc>
              <w:tc>
                <w:tcPr>
                  <w:tcW w:w="555" w:type="dxa"/>
                  <w:tcBorders>
                    <w:tl2br w:val="nil"/>
                    <w:tr2bl w:val="nil"/>
                  </w:tcBorders>
                  <w:vAlign w:val="center"/>
                </w:tcPr>
                <w:p w14:paraId="40BDFD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lang w:val="en-US" w:eastAsia="zh-CN"/>
                    </w:rPr>
                    <w:t>27</w:t>
                  </w:r>
                </w:p>
              </w:tc>
              <w:tc>
                <w:tcPr>
                  <w:tcW w:w="827" w:type="dxa"/>
                  <w:tcBorders>
                    <w:tl2br w:val="nil"/>
                    <w:tr2bl w:val="nil"/>
                  </w:tcBorders>
                  <w:vAlign w:val="center"/>
                </w:tcPr>
                <w:p w14:paraId="13A838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val="0"/>
                      <w:bCs w:val="0"/>
                      <w:color w:val="auto"/>
                      <w:sz w:val="21"/>
                      <w:szCs w:val="21"/>
                      <w:highlight w:val="none"/>
                      <w:lang w:val="en-US" w:eastAsia="zh-CN"/>
                    </w:rPr>
                    <w:t>30</w:t>
                  </w:r>
                </w:p>
              </w:tc>
              <w:tc>
                <w:tcPr>
                  <w:tcW w:w="746" w:type="dxa"/>
                  <w:vMerge w:val="continue"/>
                  <w:tcBorders>
                    <w:tl2br w:val="nil"/>
                    <w:tr2bl w:val="nil"/>
                  </w:tcBorders>
                  <w:vAlign w:val="center"/>
                </w:tcPr>
                <w:p w14:paraId="095212D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p>
              </w:tc>
            </w:tr>
          </w:tbl>
          <w:p w14:paraId="36C34F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lang w:val="en-US" w:eastAsia="zh-CN"/>
              </w:rPr>
            </w:pPr>
            <w:r>
              <w:rPr>
                <w:rFonts w:hint="default" w:ascii="Times New Roman" w:hAnsi="Times New Roman" w:cs="Times New Roman"/>
                <w:color w:val="auto"/>
              </w:rPr>
              <w:t>治理措施：</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p>
          <w:p w14:paraId="2BD69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污水处理的可行性分析：生活污水一体化处理设施采用“格栅+缺氧池+好氧池+二沉池+消毒池”处理工艺，简称“A/O”工艺，其中二沉池污泥回流至缺氧池，完成反硝化脱氮，该处理工艺为成熟的生活污水处理工艺，且属于《农村生活污水处理技术规范》（DB65/T4346-2021）中“表2农村生活污水处理排放标准分级与推荐处理工艺对应表”建议处理工艺及推荐技术，故生活污水处理方式可行。</w:t>
            </w:r>
          </w:p>
          <w:p w14:paraId="2ECF1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eastAsia" w:ascii="Times New Roman" w:hAnsi="Times New Roman" w:cs="Times New Roman"/>
                <w:b/>
                <w:bCs/>
                <w:color w:val="auto"/>
                <w:lang w:val="en-US" w:eastAsia="zh-CN"/>
              </w:rPr>
            </w:pPr>
            <w:r>
              <w:rPr>
                <w:rFonts w:hint="eastAsia" w:ascii="Times New Roman" w:hAnsi="Times New Roman" w:cs="Times New Roman"/>
                <w:b/>
                <w:bCs/>
                <w:color w:val="auto"/>
                <w:lang w:val="en-US" w:eastAsia="zh-CN"/>
              </w:rPr>
              <w:t>4.2.3洒水降尘</w:t>
            </w:r>
          </w:p>
          <w:p w14:paraId="4BCBE3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b/>
                <w:bCs/>
                <w:color w:val="auto"/>
                <w:lang w:val="en-US" w:eastAsia="zh-CN"/>
              </w:rPr>
            </w:pPr>
            <w:r>
              <w:rPr>
                <w:rFonts w:hint="default" w:ascii="Times New Roman" w:hAnsi="Times New Roman" w:cs="Times New Roman"/>
                <w:color w:val="auto"/>
              </w:rPr>
              <w:t>为减少</w:t>
            </w:r>
            <w:r>
              <w:rPr>
                <w:rFonts w:hint="eastAsia" w:ascii="Times New Roman" w:hAnsi="Times New Roman" w:cs="Times New Roman"/>
                <w:color w:val="auto"/>
                <w:lang w:val="en-US" w:eastAsia="zh-CN"/>
              </w:rPr>
              <w:t>临时堆场、运输道路、作业点</w:t>
            </w:r>
            <w:r>
              <w:rPr>
                <w:rFonts w:hint="default" w:ascii="Times New Roman" w:hAnsi="Times New Roman" w:cs="Times New Roman"/>
                <w:color w:val="auto"/>
              </w:rPr>
              <w:t>的扬尘，本环评提出采用洒水抑尘的方法控制扬尘。根据同类型报告，洒水用水量为</w:t>
            </w:r>
            <w:r>
              <w:rPr>
                <w:rFonts w:hint="eastAsia" w:ascii="Times New Roman" w:hAnsi="Times New Roman" w:cs="Times New Roman"/>
                <w:color w:val="auto"/>
                <w:lang w:val="en-US" w:eastAsia="zh-CN"/>
              </w:rPr>
              <w:t>1</w:t>
            </w:r>
            <w:r>
              <w:rPr>
                <w:rFonts w:hint="default" w:ascii="Times New Roman" w:hAnsi="Times New Roman" w:cs="Times New Roman"/>
                <w:color w:val="auto"/>
              </w:rPr>
              <w:t>m³/d，</w:t>
            </w:r>
            <w:r>
              <w:rPr>
                <w:rFonts w:hint="eastAsia" w:cs="Times New Roman"/>
                <w:color w:val="auto"/>
                <w:lang w:val="en-US" w:eastAsia="zh-CN"/>
              </w:rPr>
              <w:t>270</w:t>
            </w:r>
            <w:r>
              <w:rPr>
                <w:rFonts w:hint="default" w:ascii="Times New Roman" w:hAnsi="Times New Roman" w:cs="Times New Roman"/>
                <w:color w:val="auto"/>
              </w:rPr>
              <w:t>m³/a。此部分水全部蒸发损耗。</w:t>
            </w:r>
          </w:p>
          <w:p w14:paraId="5F4A7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本项目用水一览表见下表。</w:t>
            </w:r>
          </w:p>
          <w:p w14:paraId="24E0B6A6">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textAlignment w:val="baseline"/>
              <w:rPr>
                <w:rFonts w:hint="default" w:cs="Times New Roman"/>
                <w:color w:val="auto"/>
              </w:rPr>
            </w:pPr>
            <w:r>
              <w:rPr>
                <w:rFonts w:hint="eastAsia" w:cs="Times New Roman"/>
                <w:color w:val="auto"/>
              </w:rPr>
              <w:t>表</w:t>
            </w:r>
            <w:r>
              <w:rPr>
                <w:rFonts w:hint="eastAsia" w:cs="Times New Roman"/>
                <w:color w:val="auto"/>
                <w:lang w:val="en-US" w:eastAsia="zh-CN"/>
              </w:rPr>
              <w:t>4.2-1</w:t>
            </w:r>
            <w:r>
              <w:rPr>
                <w:rFonts w:hint="default" w:cs="Times New Roman"/>
                <w:color w:val="auto"/>
              </w:rPr>
              <w:t xml:space="preserve">   </w:t>
            </w:r>
            <w:r>
              <w:rPr>
                <w:rFonts w:hint="eastAsia" w:cs="Times New Roman"/>
                <w:color w:val="auto"/>
              </w:rPr>
              <w:t>项目用水情况一览表</w:t>
            </w:r>
          </w:p>
          <w:tbl>
            <w:tblPr>
              <w:tblStyle w:val="28"/>
              <w:tblW w:w="5000"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991"/>
              <w:gridCol w:w="1505"/>
              <w:gridCol w:w="2866"/>
            </w:tblGrid>
            <w:tr w14:paraId="0D8CEC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76" w:type="pct"/>
                  <w:tcBorders>
                    <w:tl2br w:val="nil"/>
                    <w:tr2bl w:val="nil"/>
                  </w:tcBorders>
                  <w:noWrap w:val="0"/>
                  <w:vAlign w:val="center"/>
                </w:tcPr>
                <w:p w14:paraId="4B04D5E4">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default" w:ascii="Times New Roman" w:hAnsi="Times New Roman" w:cs="Times New Roman"/>
                      <w:color w:val="auto"/>
                    </w:rPr>
                    <w:t>序号</w:t>
                  </w:r>
                </w:p>
              </w:tc>
              <w:tc>
                <w:tcPr>
                  <w:tcW w:w="1797" w:type="pct"/>
                  <w:tcBorders>
                    <w:tl2br w:val="nil"/>
                    <w:tr2bl w:val="nil"/>
                  </w:tcBorders>
                  <w:noWrap w:val="0"/>
                  <w:vAlign w:val="center"/>
                </w:tcPr>
                <w:p w14:paraId="4973D7A7">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default" w:ascii="Times New Roman" w:hAnsi="Times New Roman" w:cs="Times New Roman"/>
                      <w:color w:val="auto"/>
                    </w:rPr>
                    <w:t>用水位置</w:t>
                  </w:r>
                </w:p>
              </w:tc>
              <w:tc>
                <w:tcPr>
                  <w:tcW w:w="904" w:type="pct"/>
                  <w:tcBorders>
                    <w:tl2br w:val="nil"/>
                    <w:tr2bl w:val="nil"/>
                  </w:tcBorders>
                  <w:noWrap w:val="0"/>
                  <w:vAlign w:val="center"/>
                </w:tcPr>
                <w:p w14:paraId="413FA6A7">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default" w:ascii="Times New Roman" w:hAnsi="Times New Roman" w:cs="Times New Roman"/>
                      <w:color w:val="auto"/>
                    </w:rPr>
                    <w:t>用水方式</w:t>
                  </w:r>
                </w:p>
              </w:tc>
              <w:tc>
                <w:tcPr>
                  <w:tcW w:w="1722" w:type="pct"/>
                  <w:tcBorders>
                    <w:tl2br w:val="nil"/>
                    <w:tr2bl w:val="nil"/>
                  </w:tcBorders>
                  <w:noWrap w:val="0"/>
                  <w:vAlign w:val="center"/>
                </w:tcPr>
                <w:p w14:paraId="587A6A3B">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default" w:ascii="Times New Roman" w:hAnsi="Times New Roman" w:cs="Times New Roman"/>
                      <w:color w:val="auto"/>
                    </w:rPr>
                    <w:t>用水量</w:t>
                  </w:r>
                </w:p>
              </w:tc>
            </w:tr>
            <w:tr w14:paraId="707D2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76" w:type="pct"/>
                  <w:tcBorders>
                    <w:tl2br w:val="nil"/>
                    <w:tr2bl w:val="nil"/>
                  </w:tcBorders>
                  <w:noWrap w:val="0"/>
                  <w:vAlign w:val="center"/>
                </w:tcPr>
                <w:p w14:paraId="27CF4FEB">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center"/>
                    <w:rPr>
                      <w:rFonts w:hint="eastAsia" w:ascii="Times New Roman" w:hAnsi="Times New Roman" w:cs="Times New Roman"/>
                      <w:color w:val="auto"/>
                      <w:kern w:val="2"/>
                      <w:sz w:val="21"/>
                      <w:szCs w:val="22"/>
                      <w:lang w:val="en-US" w:eastAsia="zh-CN" w:bidi="ar-SA"/>
                    </w:rPr>
                  </w:pPr>
                  <w:r>
                    <w:rPr>
                      <w:rFonts w:hint="eastAsia" w:ascii="Times New Roman" w:hAnsi="Times New Roman" w:cs="Times New Roman"/>
                      <w:color w:val="auto"/>
                      <w:lang w:val="en-US" w:eastAsia="zh-CN"/>
                    </w:rPr>
                    <w:t>1</w:t>
                  </w:r>
                </w:p>
              </w:tc>
              <w:tc>
                <w:tcPr>
                  <w:tcW w:w="1797" w:type="pct"/>
                  <w:tcBorders>
                    <w:tl2br w:val="nil"/>
                    <w:tr2bl w:val="nil"/>
                  </w:tcBorders>
                  <w:noWrap w:val="0"/>
                  <w:vAlign w:val="center"/>
                </w:tcPr>
                <w:p w14:paraId="599F9139">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eastAsia" w:ascii="Times New Roman" w:hAnsi="Times New Roman" w:cs="Times New Roman"/>
                      <w:color w:val="auto"/>
                      <w:lang w:val="en-US" w:eastAsia="zh-CN"/>
                    </w:rPr>
                    <w:t>工作人员</w:t>
                  </w:r>
                  <w:r>
                    <w:rPr>
                      <w:rFonts w:hint="default" w:ascii="Times New Roman" w:hAnsi="Times New Roman" w:cs="Times New Roman"/>
                      <w:color w:val="auto"/>
                    </w:rPr>
                    <w:t>生活</w:t>
                  </w:r>
                </w:p>
              </w:tc>
              <w:tc>
                <w:tcPr>
                  <w:tcW w:w="904" w:type="pct"/>
                  <w:tcBorders>
                    <w:tl2br w:val="nil"/>
                    <w:tr2bl w:val="nil"/>
                  </w:tcBorders>
                  <w:noWrap w:val="0"/>
                  <w:vAlign w:val="center"/>
                </w:tcPr>
                <w:p w14:paraId="2AD9D364">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eastAsia" w:ascii="Times New Roman" w:hAnsi="Times New Roman" w:eastAsia="宋体" w:cs="Times New Roman"/>
                      <w:color w:val="auto"/>
                      <w:lang w:val="en-US" w:eastAsia="zh-CN"/>
                    </w:rPr>
                  </w:pPr>
                  <w:r>
                    <w:rPr>
                      <w:rFonts w:hint="default" w:ascii="Times New Roman" w:hAnsi="Times New Roman" w:cs="Times New Roman"/>
                      <w:color w:val="auto"/>
                    </w:rPr>
                    <w:t>生活</w:t>
                  </w:r>
                  <w:r>
                    <w:rPr>
                      <w:rFonts w:hint="eastAsia" w:ascii="Times New Roman" w:hAnsi="Times New Roman" w:cs="Times New Roman"/>
                      <w:color w:val="auto"/>
                      <w:lang w:val="en-US" w:eastAsia="zh-CN"/>
                    </w:rPr>
                    <w:t>用水</w:t>
                  </w:r>
                </w:p>
              </w:tc>
              <w:tc>
                <w:tcPr>
                  <w:tcW w:w="1722" w:type="pct"/>
                  <w:tcBorders>
                    <w:tl2br w:val="nil"/>
                    <w:tr2bl w:val="nil"/>
                  </w:tcBorders>
                  <w:noWrap w:val="0"/>
                  <w:vAlign w:val="center"/>
                </w:tcPr>
                <w:p w14:paraId="361A52EE">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eastAsia" w:ascii="Times New Roman" w:hAnsi="Times New Roman" w:cs="Times New Roman"/>
                      <w:bCs/>
                      <w:color w:val="auto"/>
                      <w:lang w:val="en-US" w:eastAsia="zh-CN"/>
                    </w:rPr>
                    <w:t>0.</w:t>
                  </w:r>
                  <w:r>
                    <w:rPr>
                      <w:rFonts w:hint="eastAsia" w:cs="Times New Roman"/>
                      <w:bCs/>
                      <w:color w:val="auto"/>
                      <w:lang w:val="en-US" w:eastAsia="zh-CN"/>
                    </w:rPr>
                    <w:t>5</w:t>
                  </w:r>
                  <w:r>
                    <w:rPr>
                      <w:rFonts w:hint="default" w:ascii="Times New Roman" w:hAnsi="Times New Roman" w:cs="Times New Roman"/>
                      <w:bCs/>
                      <w:color w:val="auto"/>
                    </w:rPr>
                    <w:t>m</w:t>
                  </w:r>
                  <w:r>
                    <w:rPr>
                      <w:rFonts w:hint="default" w:ascii="Times New Roman" w:hAnsi="Times New Roman" w:cs="Times New Roman"/>
                      <w:bCs/>
                      <w:color w:val="auto"/>
                      <w:vertAlign w:val="superscript"/>
                    </w:rPr>
                    <w:t>3</w:t>
                  </w:r>
                  <w:r>
                    <w:rPr>
                      <w:rFonts w:hint="default" w:ascii="Times New Roman" w:hAnsi="Times New Roman" w:cs="Times New Roman"/>
                      <w:bCs/>
                      <w:color w:val="auto"/>
                    </w:rPr>
                    <w:t>/d</w:t>
                  </w:r>
                  <w:r>
                    <w:rPr>
                      <w:rFonts w:hint="default" w:ascii="Times New Roman" w:hAnsi="Times New Roman" w:cs="Times New Roman"/>
                      <w:color w:val="auto"/>
                    </w:rPr>
                    <w:t>，</w:t>
                  </w:r>
                  <w:r>
                    <w:rPr>
                      <w:rFonts w:hint="eastAsia" w:ascii="Times New Roman" w:hAnsi="Times New Roman" w:cs="Times New Roman"/>
                      <w:color w:val="auto"/>
                      <w:lang w:val="en-US" w:eastAsia="zh-CN"/>
                    </w:rPr>
                    <w:t>1</w:t>
                  </w:r>
                  <w:r>
                    <w:rPr>
                      <w:rFonts w:hint="eastAsia" w:cs="Times New Roman"/>
                      <w:color w:val="auto"/>
                      <w:lang w:val="en-US" w:eastAsia="zh-CN"/>
                    </w:rPr>
                    <w:t>3</w:t>
                  </w:r>
                  <w:r>
                    <w:rPr>
                      <w:rFonts w:hint="eastAsia" w:ascii="Times New Roman" w:hAnsi="Times New Roman" w:cs="Times New Roman"/>
                      <w:color w:val="auto"/>
                      <w:lang w:val="en-US" w:eastAsia="zh-CN"/>
                    </w:rPr>
                    <w:t>5</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/a</w:t>
                  </w:r>
                </w:p>
              </w:tc>
            </w:tr>
            <w:tr w14:paraId="53C867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76" w:type="pct"/>
                  <w:tcBorders>
                    <w:tl2br w:val="nil"/>
                    <w:tr2bl w:val="nil"/>
                  </w:tcBorders>
                  <w:noWrap w:val="0"/>
                  <w:vAlign w:val="center"/>
                </w:tcPr>
                <w:p w14:paraId="0F3528CB">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w:t>
                  </w:r>
                </w:p>
              </w:tc>
              <w:tc>
                <w:tcPr>
                  <w:tcW w:w="1797" w:type="pct"/>
                  <w:tcBorders>
                    <w:tl2br w:val="nil"/>
                    <w:tr2bl w:val="nil"/>
                  </w:tcBorders>
                  <w:noWrap w:val="0"/>
                  <w:vAlign w:val="center"/>
                </w:tcPr>
                <w:p w14:paraId="037DF574">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临时堆场、运输道路、作业点</w:t>
                  </w:r>
                </w:p>
              </w:tc>
              <w:tc>
                <w:tcPr>
                  <w:tcW w:w="904" w:type="pct"/>
                  <w:tcBorders>
                    <w:tl2br w:val="nil"/>
                    <w:tr2bl w:val="nil"/>
                  </w:tcBorders>
                  <w:noWrap w:val="0"/>
                  <w:vAlign w:val="center"/>
                </w:tcPr>
                <w:p w14:paraId="2F1A9562">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default" w:ascii="Times New Roman" w:hAnsi="Times New Roman" w:cs="Times New Roman"/>
                      <w:color w:val="auto"/>
                    </w:rPr>
                  </w:pPr>
                  <w:r>
                    <w:rPr>
                      <w:rFonts w:hint="eastAsia" w:ascii="Times New Roman" w:hAnsi="Times New Roman" w:cs="Times New Roman"/>
                      <w:color w:val="auto"/>
                      <w:lang w:val="en-US" w:eastAsia="zh-CN"/>
                    </w:rPr>
                    <w:t>洒水降尘</w:t>
                  </w:r>
                </w:p>
              </w:tc>
              <w:tc>
                <w:tcPr>
                  <w:tcW w:w="1722" w:type="pct"/>
                  <w:tcBorders>
                    <w:tl2br w:val="nil"/>
                    <w:tr2bl w:val="nil"/>
                  </w:tcBorders>
                  <w:noWrap w:val="0"/>
                  <w:vAlign w:val="center"/>
                </w:tcPr>
                <w:p w14:paraId="7430424D">
                  <w:pPr>
                    <w:pStyle w:val="6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textAlignment w:val="center"/>
                    <w:rPr>
                      <w:rFonts w:hint="eastAsia" w:ascii="Times New Roman" w:hAnsi="Times New Roman" w:cs="Times New Roman"/>
                      <w:bCs/>
                      <w:color w:val="auto"/>
                      <w:lang w:val="en-US" w:eastAsia="zh-CN"/>
                    </w:rPr>
                  </w:pPr>
                  <w:r>
                    <w:rPr>
                      <w:rFonts w:hint="eastAsia" w:ascii="Times New Roman" w:hAnsi="Times New Roman" w:cs="Times New Roman"/>
                      <w:bCs/>
                      <w:color w:val="auto"/>
                      <w:lang w:val="en-US" w:eastAsia="zh-CN"/>
                    </w:rPr>
                    <w:t>1</w:t>
                  </w:r>
                  <w:r>
                    <w:rPr>
                      <w:rFonts w:hint="default" w:ascii="Times New Roman" w:hAnsi="Times New Roman" w:cs="Times New Roman"/>
                      <w:bCs/>
                      <w:color w:val="auto"/>
                    </w:rPr>
                    <w:t>m</w:t>
                  </w:r>
                  <w:r>
                    <w:rPr>
                      <w:rFonts w:hint="default" w:ascii="Times New Roman" w:hAnsi="Times New Roman" w:cs="Times New Roman"/>
                      <w:bCs/>
                      <w:color w:val="auto"/>
                      <w:vertAlign w:val="superscript"/>
                    </w:rPr>
                    <w:t>3</w:t>
                  </w:r>
                  <w:r>
                    <w:rPr>
                      <w:rFonts w:hint="default" w:ascii="Times New Roman" w:hAnsi="Times New Roman" w:cs="Times New Roman"/>
                      <w:bCs/>
                      <w:color w:val="auto"/>
                    </w:rPr>
                    <w:t>/d</w:t>
                  </w:r>
                  <w:r>
                    <w:rPr>
                      <w:rFonts w:hint="default" w:ascii="Times New Roman" w:hAnsi="Times New Roman" w:cs="Times New Roman"/>
                      <w:color w:val="auto"/>
                    </w:rPr>
                    <w:t>，</w:t>
                  </w:r>
                  <w:r>
                    <w:rPr>
                      <w:rFonts w:hint="eastAsia" w:cs="Times New Roman"/>
                      <w:color w:val="auto"/>
                      <w:lang w:val="en-US" w:eastAsia="zh-CN"/>
                    </w:rPr>
                    <w:t>27</w:t>
                  </w:r>
                  <w:r>
                    <w:rPr>
                      <w:rFonts w:hint="eastAsia" w:ascii="Times New Roman" w:hAnsi="Times New Roman" w:cs="Times New Roman"/>
                      <w:color w:val="auto"/>
                      <w:lang w:val="en-US" w:eastAsia="zh-CN"/>
                    </w:rPr>
                    <w:t>0</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/a</w:t>
                  </w:r>
                </w:p>
              </w:tc>
            </w:tr>
          </w:tbl>
          <w:p w14:paraId="46F3A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项目水平衡见图</w:t>
            </w:r>
            <w:r>
              <w:rPr>
                <w:rFonts w:hint="eastAsia" w:ascii="Times New Roman" w:hAnsi="Times New Roman" w:eastAsia="宋体" w:cs="Times New Roman"/>
                <w:color w:val="auto"/>
                <w:lang w:val="en-US" w:eastAsia="zh-CN"/>
              </w:rPr>
              <w:t>4.2-1</w:t>
            </w:r>
            <w:r>
              <w:rPr>
                <w:rFonts w:hint="eastAsia" w:ascii="Times New Roman" w:hAnsi="Times New Roman" w:eastAsia="宋体" w:cs="Times New Roman"/>
                <w:color w:val="auto"/>
              </w:rPr>
              <w:t>。</w:t>
            </w:r>
          </w:p>
          <w:p w14:paraId="6ADDD0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b/>
                <w:bCs/>
                <w:color w:val="auto"/>
                <w:sz w:val="21"/>
                <w:szCs w:val="21"/>
              </w:rPr>
            </w:pPr>
            <w:r>
              <w:rPr>
                <w:rFonts w:hint="default" w:ascii="Times New Roman" w:hAnsi="Times New Roman" w:cs="Times New Roman"/>
                <w:b/>
                <w:color w:val="auto"/>
              </w:rPr>
              <w:object>
                <v:shape id="_x0000_i1027" o:spt="75" type="#_x0000_t75" style="height:126pt;width:370.5pt;" o:ole="t" filled="f" o:preferrelative="t" stroked="t" coordsize="21600,21600">
                  <v:path/>
                  <v:fill on="f" focussize="0,0"/>
                  <v:stroke color="#000000" joinstyle="miter"/>
                  <v:imagedata r:id="rId19" o:title=""/>
                  <o:lock v:ext="edit" aspectratio="f"/>
                  <w10:wrap type="none"/>
                  <w10:anchorlock/>
                </v:shape>
                <o:OLEObject Type="Embed" ProgID="Visio.Drawing.15" ShapeID="_x0000_i1027" DrawAspect="Content" ObjectID="_1468075727" r:id="rId18">
                  <o:LockedField>false</o:LockedField>
                </o:OLEObject>
              </w:object>
            </w:r>
          </w:p>
          <w:p w14:paraId="03F30D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lang w:eastAsia="zh-CN"/>
              </w:rPr>
            </w:pPr>
            <w:r>
              <w:rPr>
                <w:rFonts w:hint="eastAsia" w:ascii="Times New Roman" w:hAnsi="Times New Roman" w:cs="Times New Roman"/>
                <w:b/>
                <w:bCs/>
                <w:color w:val="auto"/>
                <w:sz w:val="21"/>
                <w:szCs w:val="21"/>
              </w:rPr>
              <w:t>图</w:t>
            </w:r>
            <w:r>
              <w:rPr>
                <w:rFonts w:hint="eastAsia" w:ascii="Times New Roman" w:hAnsi="Times New Roman" w:cs="Times New Roman"/>
                <w:b/>
                <w:bCs/>
                <w:color w:val="auto"/>
                <w:sz w:val="21"/>
                <w:szCs w:val="21"/>
                <w:lang w:val="en-US" w:eastAsia="zh-CN"/>
              </w:rPr>
              <w:t>4.2-1</w:t>
            </w:r>
            <w:r>
              <w:rPr>
                <w:rFonts w:hint="default" w:ascii="Times New Roman" w:hAnsi="Times New Roman" w:cs="Times New Roman"/>
                <w:b/>
                <w:bCs/>
                <w:color w:val="auto"/>
                <w:sz w:val="21"/>
                <w:szCs w:val="21"/>
              </w:rPr>
              <w:t xml:space="preserve">   </w:t>
            </w:r>
            <w:r>
              <w:rPr>
                <w:rFonts w:hint="eastAsia" w:ascii="Times New Roman" w:hAnsi="Times New Roman" w:cs="Times New Roman"/>
                <w:b/>
                <w:bCs/>
                <w:color w:val="auto"/>
                <w:sz w:val="21"/>
                <w:szCs w:val="21"/>
              </w:rPr>
              <w:t>本项目水平衡图</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rPr>
              <w:t>单位：m</w:t>
            </w:r>
            <w:r>
              <w:rPr>
                <w:rFonts w:hint="eastAsia" w:ascii="Times New Roman" w:hAnsi="Times New Roman" w:cs="Times New Roman"/>
                <w:b/>
                <w:bCs/>
                <w:color w:val="auto"/>
                <w:sz w:val="21"/>
                <w:szCs w:val="21"/>
                <w:vertAlign w:val="superscript"/>
              </w:rPr>
              <w:t>3</w:t>
            </w:r>
            <w:r>
              <w:rPr>
                <w:rFonts w:hint="eastAsia" w:ascii="Times New Roman" w:hAnsi="Times New Roman" w:cs="Times New Roman"/>
                <w:b/>
                <w:bCs/>
                <w:color w:val="auto"/>
                <w:sz w:val="21"/>
                <w:szCs w:val="21"/>
              </w:rPr>
              <w:t>/</w:t>
            </w:r>
            <w:r>
              <w:rPr>
                <w:rFonts w:hint="eastAsia" w:ascii="Times New Roman" w:hAnsi="Times New Roman" w:cs="Times New Roman"/>
                <w:b/>
                <w:bCs/>
                <w:color w:val="auto"/>
                <w:sz w:val="21"/>
                <w:szCs w:val="21"/>
                <w:lang w:val="en-US" w:eastAsia="zh-CN"/>
              </w:rPr>
              <w:t>a</w:t>
            </w:r>
          </w:p>
          <w:p w14:paraId="1814E6AA">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因此，本项目施工期间废水产生量较</w:t>
            </w:r>
            <w:r>
              <w:rPr>
                <w:rFonts w:hint="eastAsia" w:ascii="Times New Roman" w:hAnsi="Times New Roman" w:cs="Times New Roman"/>
                <w:color w:val="auto"/>
                <w:lang w:val="en-US" w:eastAsia="zh-CN"/>
              </w:rPr>
              <w:t>少</w:t>
            </w:r>
            <w:r>
              <w:rPr>
                <w:rFonts w:hint="eastAsia" w:ascii="Times New Roman" w:hAnsi="Times New Roman" w:cs="Times New Roman"/>
                <w:color w:val="auto"/>
              </w:rPr>
              <w:t>，水质较为简单，采取上述措施后施工期间产生的废水能够全部做到综合利用不外排。本次评价认为，项目施工期基本不对周边地表水环境产生污染影响。</w:t>
            </w:r>
          </w:p>
          <w:p w14:paraId="4A9D36FA">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4.3</w:t>
            </w:r>
            <w:r>
              <w:rPr>
                <w:rFonts w:hint="eastAsia"/>
                <w:color w:val="auto"/>
              </w:rPr>
              <w:t>施工期噪声影响分析</w:t>
            </w:r>
          </w:p>
          <w:p w14:paraId="612B16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b/>
                <w:color w:val="auto"/>
                <w:lang w:eastAsia="zh-CN"/>
              </w:rPr>
            </w:pPr>
            <w:r>
              <w:rPr>
                <w:rFonts w:hint="default" w:ascii="Times New Roman" w:hAnsi="Times New Roman" w:cs="Times New Roman"/>
                <w:color w:val="auto"/>
              </w:rPr>
              <w:t>本项目噪声来源包括运输车辆噪声</w:t>
            </w:r>
            <w:r>
              <w:rPr>
                <w:rFonts w:hint="eastAsia" w:ascii="Times New Roman" w:hAnsi="Times New Roman" w:cs="Times New Roman"/>
                <w:color w:val="auto"/>
              </w:rPr>
              <w:t>以及作业</w:t>
            </w:r>
            <w:r>
              <w:rPr>
                <w:rFonts w:hint="default" w:ascii="Times New Roman" w:hAnsi="Times New Roman" w:cs="Times New Roman"/>
                <w:color w:val="auto"/>
              </w:rPr>
              <w:t>机械噪声</w:t>
            </w:r>
            <w:r>
              <w:rPr>
                <w:rFonts w:hint="eastAsia" w:ascii="Times New Roman" w:hAnsi="Times New Roman" w:cs="Times New Roman"/>
                <w:color w:val="auto"/>
              </w:rPr>
              <w:t>。</w:t>
            </w:r>
            <w:r>
              <w:rPr>
                <w:rFonts w:hint="default" w:ascii="Times New Roman" w:hAnsi="Times New Roman" w:cs="Times New Roman"/>
                <w:color w:val="auto"/>
              </w:rPr>
              <w:t>噪声源强约</w:t>
            </w:r>
            <w:r>
              <w:rPr>
                <w:rFonts w:hint="eastAsia" w:ascii="Times New Roman" w:hAnsi="Times New Roman" w:cs="Times New Roman"/>
                <w:color w:val="auto"/>
              </w:rPr>
              <w:t>8</w:t>
            </w:r>
            <w:r>
              <w:rPr>
                <w:rFonts w:hint="eastAsia" w:ascii="Times New Roman" w:hAnsi="Times New Roman" w:cs="Times New Roman"/>
                <w:color w:val="auto"/>
                <w:lang w:val="en-US" w:eastAsia="zh-CN"/>
              </w:rPr>
              <w:t>0</w:t>
            </w:r>
            <w:r>
              <w:rPr>
                <w:rFonts w:hint="eastAsia" w:ascii="Times New Roman" w:hAnsi="Times New Roman" w:cs="Times New Roman"/>
                <w:color w:val="auto"/>
              </w:rPr>
              <w:t>~</w:t>
            </w:r>
            <w:r>
              <w:rPr>
                <w:rFonts w:hint="eastAsia" w:ascii="Times New Roman" w:hAnsi="Times New Roman" w:cs="Times New Roman"/>
                <w:color w:val="auto"/>
                <w:lang w:val="en-US" w:eastAsia="zh-CN"/>
              </w:rPr>
              <w:t>9</w:t>
            </w:r>
            <w:r>
              <w:rPr>
                <w:rFonts w:hint="eastAsia" w:ascii="Times New Roman" w:hAnsi="Times New Roman" w:cs="Times New Roman"/>
                <w:color w:val="auto"/>
              </w:rPr>
              <w:t>0</w:t>
            </w:r>
            <w:r>
              <w:rPr>
                <w:rFonts w:hint="default" w:ascii="Times New Roman" w:hAnsi="Times New Roman" w:cs="Times New Roman"/>
                <w:color w:val="auto"/>
              </w:rPr>
              <w:t>dB</w:t>
            </w:r>
            <w:r>
              <w:rPr>
                <w:rFonts w:hint="eastAsia" w:ascii="Times New Roman" w:hAnsi="Times New Roman" w:cs="Times New Roman"/>
                <w:color w:val="auto"/>
                <w:lang w:eastAsia="zh-CN"/>
              </w:rPr>
              <w:t>（</w:t>
            </w:r>
            <w:r>
              <w:rPr>
                <w:rFonts w:hint="default" w:ascii="Times New Roman" w:hAnsi="Times New Roman" w:cs="Times New Roman"/>
                <w:color w:val="auto"/>
              </w:rPr>
              <w:t>A</w:t>
            </w:r>
            <w:r>
              <w:rPr>
                <w:rFonts w:hint="eastAsia" w:ascii="Times New Roman" w:hAnsi="Times New Roman" w:cs="Times New Roman"/>
                <w:color w:val="auto"/>
                <w:lang w:eastAsia="zh-CN"/>
              </w:rPr>
              <w:t>）</w:t>
            </w:r>
            <w:r>
              <w:rPr>
                <w:rFonts w:hint="eastAsia" w:ascii="Times New Roman" w:hAnsi="Times New Roman" w:cs="Times New Roman"/>
                <w:color w:val="auto"/>
              </w:rPr>
              <w:t>。</w:t>
            </w:r>
            <w:r>
              <w:rPr>
                <w:rFonts w:hint="default" w:ascii="Times New Roman" w:hAnsi="Times New Roman" w:cs="Times New Roman"/>
                <w:color w:val="auto"/>
              </w:rPr>
              <w:t>根据类比调查，主要噪声源及声级详见表</w:t>
            </w:r>
            <w:r>
              <w:rPr>
                <w:rFonts w:hint="eastAsia" w:ascii="Times New Roman" w:hAnsi="Times New Roman" w:cs="Times New Roman"/>
                <w:color w:val="auto"/>
                <w:lang w:val="en-US" w:eastAsia="zh-CN"/>
              </w:rPr>
              <w:t>4.3-1</w:t>
            </w:r>
            <w:r>
              <w:rPr>
                <w:rFonts w:hint="eastAsia" w:ascii="Times New Roman" w:hAnsi="Times New Roman" w:cs="Times New Roman"/>
                <w:b/>
                <w:color w:val="auto"/>
                <w:lang w:eastAsia="zh-CN"/>
              </w:rPr>
              <w:t>。</w:t>
            </w:r>
          </w:p>
          <w:p w14:paraId="630BB5E1">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textAlignment w:val="baseline"/>
              <w:rPr>
                <w:rFonts w:hint="default" w:cs="Times New Roman"/>
                <w:color w:val="auto"/>
              </w:rPr>
            </w:pPr>
            <w:r>
              <w:rPr>
                <w:rFonts w:hint="eastAsia" w:cs="Times New Roman"/>
                <w:color w:val="auto"/>
              </w:rPr>
              <w:t>表</w:t>
            </w:r>
            <w:r>
              <w:rPr>
                <w:rFonts w:hint="eastAsia" w:cs="Times New Roman"/>
                <w:color w:val="auto"/>
                <w:lang w:val="en-US" w:eastAsia="zh-CN"/>
              </w:rPr>
              <w:t>4.3-1</w:t>
            </w:r>
            <w:r>
              <w:rPr>
                <w:rFonts w:hint="default" w:cs="Times New Roman"/>
                <w:color w:val="auto"/>
              </w:rPr>
              <w:t xml:space="preserve">  </w:t>
            </w:r>
            <w:r>
              <w:rPr>
                <w:rFonts w:hint="eastAsia" w:cs="Times New Roman"/>
                <w:color w:val="auto"/>
              </w:rPr>
              <w:t xml:space="preserve"> 主要噪声源及声级一览表</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520"/>
              <w:gridCol w:w="2697"/>
              <w:gridCol w:w="1332"/>
              <w:gridCol w:w="2093"/>
            </w:tblGrid>
            <w:tr w14:paraId="76B3B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tcBorders>
                    <w:tl2br w:val="nil"/>
                    <w:tr2bl w:val="nil"/>
                  </w:tcBorders>
                  <w:noWrap w:val="0"/>
                  <w:vAlign w:val="center"/>
                </w:tcPr>
                <w:p w14:paraId="6F670BC6">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default" w:ascii="Times New Roman" w:hAnsi="Times New Roman" w:cs="Times New Roman"/>
                      <w:color w:val="auto"/>
                    </w:rPr>
                    <w:t>序号</w:t>
                  </w:r>
                </w:p>
              </w:tc>
              <w:tc>
                <w:tcPr>
                  <w:tcW w:w="913" w:type="pct"/>
                  <w:tcBorders>
                    <w:tl2br w:val="nil"/>
                    <w:tr2bl w:val="nil"/>
                  </w:tcBorders>
                  <w:noWrap w:val="0"/>
                  <w:vAlign w:val="center"/>
                </w:tcPr>
                <w:p w14:paraId="07DEC6F7">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default" w:ascii="Times New Roman" w:hAnsi="Times New Roman" w:cs="Times New Roman"/>
                      <w:color w:val="auto"/>
                    </w:rPr>
                    <w:t>声源名称</w:t>
                  </w:r>
                </w:p>
              </w:tc>
              <w:tc>
                <w:tcPr>
                  <w:tcW w:w="1620" w:type="pct"/>
                  <w:tcBorders>
                    <w:tl2br w:val="nil"/>
                    <w:tr2bl w:val="nil"/>
                  </w:tcBorders>
                  <w:noWrap w:val="0"/>
                  <w:vAlign w:val="center"/>
                </w:tcPr>
                <w:p w14:paraId="3E0926AE">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eastAsia" w:ascii="Times New Roman" w:hAnsi="Times New Roman" w:eastAsia="宋体" w:cs="Times New Roman"/>
                      <w:color w:val="auto"/>
                      <w:lang w:eastAsia="zh-CN"/>
                    </w:rPr>
                  </w:pPr>
                  <w:r>
                    <w:rPr>
                      <w:rFonts w:hint="default" w:ascii="Times New Roman" w:hAnsi="Times New Roman" w:cs="Times New Roman"/>
                      <w:color w:val="auto"/>
                    </w:rPr>
                    <w:t>噪声级dB</w:t>
                  </w:r>
                  <w:r>
                    <w:rPr>
                      <w:rFonts w:hint="eastAsia" w:ascii="Times New Roman" w:hAnsi="Times New Roman" w:cs="Times New Roman"/>
                      <w:color w:val="auto"/>
                      <w:lang w:eastAsia="zh-CN"/>
                    </w:rPr>
                    <w:t>（</w:t>
                  </w:r>
                  <w:r>
                    <w:rPr>
                      <w:rFonts w:hint="default" w:ascii="Times New Roman" w:hAnsi="Times New Roman" w:cs="Times New Roman"/>
                      <w:color w:val="auto"/>
                    </w:rPr>
                    <w:t>A</w:t>
                  </w:r>
                  <w:r>
                    <w:rPr>
                      <w:rFonts w:hint="eastAsia" w:ascii="Times New Roman" w:hAnsi="Times New Roman" w:cs="Times New Roman"/>
                      <w:color w:val="auto"/>
                      <w:lang w:eastAsia="zh-CN"/>
                    </w:rPr>
                    <w:t>）</w:t>
                  </w:r>
                </w:p>
              </w:tc>
              <w:tc>
                <w:tcPr>
                  <w:tcW w:w="800" w:type="pct"/>
                  <w:tcBorders>
                    <w:tl2br w:val="nil"/>
                    <w:tr2bl w:val="nil"/>
                  </w:tcBorders>
                  <w:noWrap w:val="0"/>
                  <w:vAlign w:val="center"/>
                </w:tcPr>
                <w:p w14:paraId="442E71CD">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default" w:ascii="Times New Roman" w:hAnsi="Times New Roman" w:cs="Times New Roman"/>
                      <w:color w:val="auto"/>
                    </w:rPr>
                    <w:t>距声源</w:t>
                  </w:r>
                </w:p>
              </w:tc>
              <w:tc>
                <w:tcPr>
                  <w:tcW w:w="1257" w:type="pct"/>
                  <w:tcBorders>
                    <w:tl2br w:val="nil"/>
                    <w:tr2bl w:val="nil"/>
                  </w:tcBorders>
                  <w:noWrap w:val="0"/>
                  <w:vAlign w:val="center"/>
                </w:tcPr>
                <w:p w14:paraId="07AE94FD">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default" w:ascii="Times New Roman" w:hAnsi="Times New Roman" w:cs="Times New Roman"/>
                      <w:color w:val="auto"/>
                    </w:rPr>
                    <w:t>备注</w:t>
                  </w:r>
                </w:p>
              </w:tc>
            </w:tr>
            <w:tr w14:paraId="71BA0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08" w:type="pct"/>
                  <w:tcBorders>
                    <w:tl2br w:val="nil"/>
                    <w:tr2bl w:val="nil"/>
                  </w:tcBorders>
                  <w:noWrap w:val="0"/>
                  <w:vAlign w:val="center"/>
                </w:tcPr>
                <w:p w14:paraId="1D471634">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eastAsia" w:ascii="Times New Roman" w:hAnsi="Times New Roman" w:cs="Times New Roman"/>
                      <w:color w:val="auto"/>
                    </w:rPr>
                    <w:t>1</w:t>
                  </w:r>
                </w:p>
              </w:tc>
              <w:tc>
                <w:tcPr>
                  <w:tcW w:w="913" w:type="pct"/>
                  <w:tcBorders>
                    <w:tl2br w:val="nil"/>
                    <w:tr2bl w:val="nil"/>
                  </w:tcBorders>
                  <w:noWrap w:val="0"/>
                  <w:vAlign w:val="center"/>
                </w:tcPr>
                <w:p w14:paraId="7650DDFB">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挖掘机</w:t>
                  </w:r>
                </w:p>
              </w:tc>
              <w:tc>
                <w:tcPr>
                  <w:tcW w:w="1620" w:type="pct"/>
                  <w:tcBorders>
                    <w:tl2br w:val="nil"/>
                    <w:tr2bl w:val="nil"/>
                  </w:tcBorders>
                  <w:noWrap w:val="0"/>
                  <w:vAlign w:val="center"/>
                </w:tcPr>
                <w:p w14:paraId="475330C1">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default" w:ascii="Times New Roman" w:hAnsi="Times New Roman" w:cs="Times New Roman"/>
                      <w:color w:val="auto"/>
                    </w:rPr>
                    <w:t>90</w:t>
                  </w:r>
                </w:p>
              </w:tc>
              <w:tc>
                <w:tcPr>
                  <w:tcW w:w="800" w:type="pct"/>
                  <w:tcBorders>
                    <w:tl2br w:val="nil"/>
                    <w:tr2bl w:val="nil"/>
                  </w:tcBorders>
                  <w:noWrap w:val="0"/>
                  <w:vAlign w:val="center"/>
                </w:tcPr>
                <w:p w14:paraId="3EC41E96">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rPr>
                  </w:pPr>
                  <w:r>
                    <w:rPr>
                      <w:rFonts w:hint="eastAsia" w:ascii="Times New Roman" w:hAnsi="Times New Roman" w:cs="Times New Roman"/>
                      <w:color w:val="auto"/>
                      <w:lang w:val="en-US" w:eastAsia="zh-CN"/>
                    </w:rPr>
                    <w:t>5</w:t>
                  </w:r>
                  <w:r>
                    <w:rPr>
                      <w:rFonts w:hint="default" w:ascii="Times New Roman" w:hAnsi="Times New Roman" w:cs="Times New Roman"/>
                      <w:color w:val="auto"/>
                    </w:rPr>
                    <w:t>m</w:t>
                  </w:r>
                </w:p>
              </w:tc>
              <w:tc>
                <w:tcPr>
                  <w:tcW w:w="1257" w:type="pct"/>
                  <w:tcBorders>
                    <w:tl2br w:val="nil"/>
                    <w:tr2bl w:val="nil"/>
                  </w:tcBorders>
                  <w:noWrap w:val="0"/>
                  <w:vAlign w:val="center"/>
                </w:tcPr>
                <w:p w14:paraId="076139BD">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w:t>
                  </w:r>
                </w:p>
              </w:tc>
            </w:tr>
            <w:tr w14:paraId="29E5D5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408" w:type="pct"/>
                  <w:tcBorders>
                    <w:tl2br w:val="nil"/>
                    <w:tr2bl w:val="nil"/>
                  </w:tcBorders>
                  <w:noWrap w:val="0"/>
                  <w:vAlign w:val="center"/>
                </w:tcPr>
                <w:p w14:paraId="0B5FC878">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2</w:t>
                  </w:r>
                </w:p>
              </w:tc>
              <w:tc>
                <w:tcPr>
                  <w:tcW w:w="913" w:type="pct"/>
                  <w:tcBorders>
                    <w:tl2br w:val="nil"/>
                    <w:tr2bl w:val="nil"/>
                  </w:tcBorders>
                  <w:noWrap w:val="0"/>
                  <w:vAlign w:val="center"/>
                </w:tcPr>
                <w:p w14:paraId="49D47A26">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皮卡车</w:t>
                  </w:r>
                </w:p>
              </w:tc>
              <w:tc>
                <w:tcPr>
                  <w:tcW w:w="1620" w:type="pct"/>
                  <w:tcBorders>
                    <w:tl2br w:val="nil"/>
                    <w:tr2bl w:val="nil"/>
                  </w:tcBorders>
                  <w:noWrap w:val="0"/>
                  <w:vAlign w:val="center"/>
                </w:tcPr>
                <w:p w14:paraId="6AF7AB76">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80</w:t>
                  </w:r>
                </w:p>
              </w:tc>
              <w:tc>
                <w:tcPr>
                  <w:tcW w:w="800" w:type="pct"/>
                  <w:tcBorders>
                    <w:tl2br w:val="nil"/>
                    <w:tr2bl w:val="nil"/>
                  </w:tcBorders>
                  <w:noWrap w:val="0"/>
                  <w:vAlign w:val="center"/>
                </w:tcPr>
                <w:p w14:paraId="25B92C5B">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eastAsia" w:ascii="Times New Roman" w:hAnsi="Times New Roman" w:cs="Times New Roman"/>
                      <w:color w:val="auto"/>
                      <w:kern w:val="2"/>
                      <w:sz w:val="21"/>
                      <w:szCs w:val="22"/>
                      <w:lang w:val="en-US" w:eastAsia="zh-CN" w:bidi="ar-SA"/>
                    </w:rPr>
                  </w:pPr>
                  <w:r>
                    <w:rPr>
                      <w:rFonts w:hint="eastAsia" w:ascii="Times New Roman" w:hAnsi="Times New Roman" w:cs="Times New Roman"/>
                      <w:color w:val="auto"/>
                      <w:lang w:val="en-US" w:eastAsia="zh-CN"/>
                    </w:rPr>
                    <w:t>5</w:t>
                  </w:r>
                  <w:r>
                    <w:rPr>
                      <w:rFonts w:hint="default" w:ascii="Times New Roman" w:hAnsi="Times New Roman" w:cs="Times New Roman"/>
                      <w:color w:val="auto"/>
                    </w:rPr>
                    <w:t>m</w:t>
                  </w:r>
                </w:p>
              </w:tc>
              <w:tc>
                <w:tcPr>
                  <w:tcW w:w="1257" w:type="pct"/>
                  <w:tcBorders>
                    <w:tl2br w:val="nil"/>
                    <w:tr2bl w:val="nil"/>
                  </w:tcBorders>
                  <w:noWrap w:val="0"/>
                  <w:vAlign w:val="center"/>
                </w:tcPr>
                <w:p w14:paraId="736C5CC0">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eastAsia" w:ascii="Times New Roman" w:hAnsi="Times New Roman" w:eastAsia="宋体" w:cs="Times New Roman"/>
                      <w:color w:val="auto"/>
                      <w:kern w:val="2"/>
                      <w:sz w:val="21"/>
                      <w:szCs w:val="22"/>
                      <w:lang w:val="en-US" w:eastAsia="zh-CN" w:bidi="ar-SA"/>
                    </w:rPr>
                  </w:pPr>
                  <w:r>
                    <w:rPr>
                      <w:rFonts w:hint="eastAsia" w:ascii="Times New Roman" w:hAnsi="Times New Roman" w:cs="Times New Roman"/>
                      <w:color w:val="auto"/>
                      <w:lang w:val="en-US" w:eastAsia="zh-CN"/>
                    </w:rPr>
                    <w:t>/</w:t>
                  </w:r>
                </w:p>
              </w:tc>
            </w:tr>
            <w:tr w14:paraId="606DF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08" w:type="pct"/>
                  <w:tcBorders>
                    <w:tl2br w:val="nil"/>
                    <w:tr2bl w:val="nil"/>
                  </w:tcBorders>
                  <w:noWrap w:val="0"/>
                  <w:vAlign w:val="center"/>
                </w:tcPr>
                <w:p w14:paraId="103EA8D1">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w:t>
                  </w:r>
                </w:p>
              </w:tc>
              <w:tc>
                <w:tcPr>
                  <w:tcW w:w="913" w:type="pct"/>
                  <w:tcBorders>
                    <w:tl2br w:val="nil"/>
                    <w:tr2bl w:val="nil"/>
                  </w:tcBorders>
                  <w:noWrap w:val="0"/>
                  <w:vAlign w:val="center"/>
                </w:tcPr>
                <w:p w14:paraId="004FD1BB">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洒水车</w:t>
                  </w:r>
                </w:p>
              </w:tc>
              <w:tc>
                <w:tcPr>
                  <w:tcW w:w="1620" w:type="pct"/>
                  <w:tcBorders>
                    <w:tl2br w:val="nil"/>
                    <w:tr2bl w:val="nil"/>
                  </w:tcBorders>
                  <w:noWrap w:val="0"/>
                  <w:vAlign w:val="center"/>
                </w:tcPr>
                <w:p w14:paraId="0B8E4CD5">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80</w:t>
                  </w:r>
                </w:p>
              </w:tc>
              <w:tc>
                <w:tcPr>
                  <w:tcW w:w="800" w:type="pct"/>
                  <w:tcBorders>
                    <w:tl2br w:val="nil"/>
                    <w:tr2bl w:val="nil"/>
                  </w:tcBorders>
                  <w:noWrap w:val="0"/>
                  <w:vAlign w:val="center"/>
                </w:tcPr>
                <w:p w14:paraId="0D2D4F9D">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5m</w:t>
                  </w:r>
                </w:p>
              </w:tc>
              <w:tc>
                <w:tcPr>
                  <w:tcW w:w="1257" w:type="pct"/>
                  <w:tcBorders>
                    <w:tl2br w:val="nil"/>
                    <w:tr2bl w:val="nil"/>
                  </w:tcBorders>
                  <w:noWrap w:val="0"/>
                  <w:vAlign w:val="center"/>
                </w:tcPr>
                <w:p w14:paraId="716F78BD">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w:t>
                  </w:r>
                </w:p>
              </w:tc>
            </w:tr>
            <w:tr w14:paraId="0028D9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08" w:type="pct"/>
                  <w:tcBorders>
                    <w:tl2br w:val="nil"/>
                    <w:tr2bl w:val="nil"/>
                  </w:tcBorders>
                  <w:noWrap w:val="0"/>
                  <w:vAlign w:val="center"/>
                </w:tcPr>
                <w:p w14:paraId="109C2039">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w:t>
                  </w:r>
                </w:p>
              </w:tc>
              <w:tc>
                <w:tcPr>
                  <w:tcW w:w="913" w:type="pct"/>
                  <w:tcBorders>
                    <w:tl2br w:val="nil"/>
                    <w:tr2bl w:val="nil"/>
                  </w:tcBorders>
                  <w:noWrap w:val="0"/>
                  <w:vAlign w:val="center"/>
                </w:tcPr>
                <w:p w14:paraId="608CADF7">
                  <w:pPr>
                    <w:pStyle w:val="68"/>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发电机</w:t>
                  </w:r>
                </w:p>
              </w:tc>
              <w:tc>
                <w:tcPr>
                  <w:tcW w:w="1620" w:type="pct"/>
                  <w:tcBorders>
                    <w:tl2br w:val="nil"/>
                    <w:tr2bl w:val="nil"/>
                  </w:tcBorders>
                  <w:noWrap w:val="0"/>
                  <w:vAlign w:val="center"/>
                </w:tcPr>
                <w:p w14:paraId="51899479">
                  <w:pPr>
                    <w:pStyle w:val="68"/>
                    <w:keepNext w:val="0"/>
                    <w:keepLines w:val="0"/>
                    <w:pageBreakBefore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eastAsia" w:ascii="Times New Roman" w:hAnsi="Times New Roman" w:eastAsia="宋体" w:cs="Times New Roman"/>
                      <w:color w:val="auto"/>
                      <w:kern w:val="2"/>
                      <w:sz w:val="21"/>
                      <w:szCs w:val="22"/>
                      <w:lang w:val="en-US" w:eastAsia="zh-CN" w:bidi="ar-SA"/>
                    </w:rPr>
                  </w:pPr>
                  <w:r>
                    <w:rPr>
                      <w:rFonts w:hint="eastAsia" w:ascii="Times New Roman" w:hAnsi="Times New Roman" w:eastAsia="宋体" w:cs="Times New Roman"/>
                      <w:color w:val="auto"/>
                    </w:rPr>
                    <w:t>85~90</w:t>
                  </w:r>
                </w:p>
              </w:tc>
              <w:tc>
                <w:tcPr>
                  <w:tcW w:w="800" w:type="pct"/>
                  <w:tcBorders>
                    <w:tl2br w:val="nil"/>
                    <w:tr2bl w:val="nil"/>
                  </w:tcBorders>
                  <w:noWrap w:val="0"/>
                  <w:vAlign w:val="center"/>
                </w:tcPr>
                <w:p w14:paraId="4F596505">
                  <w:pPr>
                    <w:pStyle w:val="68"/>
                    <w:keepNext w:val="0"/>
                    <w:keepLines w:val="0"/>
                    <w:pageBreakBefore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eastAsia" w:ascii="Times New Roman" w:hAnsi="Times New Roman" w:cs="Times New Roman"/>
                      <w:color w:val="auto"/>
                      <w:kern w:val="2"/>
                      <w:sz w:val="21"/>
                      <w:szCs w:val="22"/>
                      <w:lang w:val="en-US" w:eastAsia="zh-CN" w:bidi="ar-SA"/>
                    </w:rPr>
                  </w:pPr>
                  <w:r>
                    <w:rPr>
                      <w:rFonts w:hint="eastAsia" w:ascii="Times New Roman" w:hAnsi="Times New Roman" w:cs="Times New Roman"/>
                      <w:color w:val="auto"/>
                      <w:lang w:val="en-US" w:eastAsia="zh-CN"/>
                    </w:rPr>
                    <w:t>5</w:t>
                  </w:r>
                  <w:r>
                    <w:rPr>
                      <w:rFonts w:hint="default" w:ascii="Times New Roman" w:hAnsi="Times New Roman" w:cs="Times New Roman"/>
                      <w:color w:val="auto"/>
                    </w:rPr>
                    <w:t>m</w:t>
                  </w:r>
                </w:p>
              </w:tc>
              <w:tc>
                <w:tcPr>
                  <w:tcW w:w="1257" w:type="pct"/>
                  <w:tcBorders>
                    <w:tl2br w:val="nil"/>
                    <w:tr2bl w:val="nil"/>
                  </w:tcBorders>
                  <w:noWrap w:val="0"/>
                  <w:vAlign w:val="center"/>
                </w:tcPr>
                <w:p w14:paraId="3D7C756B">
                  <w:pPr>
                    <w:pStyle w:val="68"/>
                    <w:keepNext w:val="0"/>
                    <w:keepLines w:val="0"/>
                    <w:pageBreakBefore w:val="0"/>
                    <w:suppressLineNumbers w:val="0"/>
                    <w:kinsoku/>
                    <w:wordWrap/>
                    <w:overflowPunct/>
                    <w:topLinePunct w:val="0"/>
                    <w:autoSpaceDE/>
                    <w:autoSpaceDN/>
                    <w:bidi w:val="0"/>
                    <w:spacing w:before="0" w:beforeAutospacing="0" w:after="0" w:afterAutospacing="0" w:line="500" w:lineRule="exact"/>
                    <w:ind w:left="0" w:leftChars="0" w:right="0" w:firstLine="0" w:firstLineChars="0"/>
                    <w:rPr>
                      <w:rFonts w:hint="eastAsia" w:ascii="Times New Roman" w:hAnsi="Times New Roman" w:cs="Times New Roman"/>
                      <w:color w:val="auto"/>
                      <w:kern w:val="2"/>
                      <w:sz w:val="21"/>
                      <w:szCs w:val="22"/>
                      <w:lang w:val="en-US" w:eastAsia="zh-CN" w:bidi="ar-SA"/>
                    </w:rPr>
                  </w:pPr>
                  <w:r>
                    <w:rPr>
                      <w:rFonts w:hint="eastAsia" w:ascii="Times New Roman" w:hAnsi="Times New Roman" w:cs="Times New Roman"/>
                      <w:color w:val="auto"/>
                      <w:lang w:val="en-US" w:eastAsia="zh-CN"/>
                    </w:rPr>
                    <w:t>/</w:t>
                  </w:r>
                </w:p>
              </w:tc>
            </w:tr>
          </w:tbl>
          <w:p w14:paraId="5528C282">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防治措施：合理布设施工场地，使用低噪声设备，加强</w:t>
            </w:r>
            <w:r>
              <w:rPr>
                <w:rFonts w:hint="eastAsia" w:ascii="Times New Roman" w:hAnsi="Times New Roman" w:cs="Times New Roman"/>
                <w:color w:val="auto"/>
                <w:lang w:val="en-US" w:eastAsia="zh-CN"/>
              </w:rPr>
              <w:t>设备</w:t>
            </w:r>
            <w:r>
              <w:rPr>
                <w:rFonts w:hint="eastAsia" w:ascii="Times New Roman" w:hAnsi="Times New Roman" w:cs="Times New Roman"/>
                <w:color w:val="auto"/>
              </w:rPr>
              <w:t>的维护保养工作，保持其良好工况，夜间禁止施工。而且要对连续接触高噪声源的操作人员，采取相应防护措施。</w:t>
            </w:r>
          </w:p>
          <w:p w14:paraId="5A5369A7">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4.4</w:t>
            </w:r>
            <w:r>
              <w:rPr>
                <w:rFonts w:hint="eastAsia"/>
                <w:color w:val="auto"/>
              </w:rPr>
              <w:t>施工期固体废弃物</w:t>
            </w:r>
          </w:p>
          <w:p w14:paraId="470DDF8A">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lang w:val="en-US" w:eastAsia="zh-CN"/>
              </w:rPr>
            </w:pPr>
            <w:r>
              <w:rPr>
                <w:rFonts w:hint="default" w:ascii="Times New Roman" w:hAnsi="Times New Roman" w:cs="Times New Roman"/>
                <w:color w:val="auto"/>
              </w:rPr>
              <w:t>本项目固体废物主要为</w:t>
            </w:r>
            <w:r>
              <w:rPr>
                <w:rFonts w:hint="eastAsia" w:ascii="Times New Roman" w:hAnsi="Times New Roman" w:cs="Times New Roman"/>
                <w:color w:val="auto"/>
                <w:lang w:val="en-US" w:eastAsia="zh-CN"/>
              </w:rPr>
              <w:t>槽探</w:t>
            </w:r>
            <w:r>
              <w:rPr>
                <w:rFonts w:hint="default" w:ascii="Times New Roman" w:hAnsi="Times New Roman" w:cs="Times New Roman"/>
                <w:color w:val="auto"/>
              </w:rPr>
              <w:t>产生的临时土石方</w:t>
            </w:r>
            <w:r>
              <w:rPr>
                <w:rFonts w:hint="eastAsia" w:ascii="Times New Roman" w:hAnsi="Times New Roman" w:cs="Times New Roman"/>
                <w:color w:val="auto"/>
                <w:lang w:eastAsia="zh-CN"/>
              </w:rPr>
              <w:t>、</w:t>
            </w:r>
            <w:r>
              <w:rPr>
                <w:rFonts w:hint="default" w:ascii="Times New Roman" w:hAnsi="Times New Roman" w:eastAsia="宋体" w:cs="Times New Roman"/>
                <w:color w:val="auto"/>
                <w:lang w:val="en-US" w:eastAsia="zh-CN"/>
              </w:rPr>
              <w:t>生活污水一体化处理设施底泥</w:t>
            </w:r>
            <w:r>
              <w:rPr>
                <w:rFonts w:hint="eastAsia" w:cs="Times New Roman"/>
                <w:color w:val="auto"/>
                <w:lang w:val="en-US" w:eastAsia="zh-CN"/>
              </w:rPr>
              <w:t>、</w:t>
            </w:r>
            <w:r>
              <w:rPr>
                <w:rFonts w:hint="eastAsia" w:ascii="Times New Roman" w:hAnsi="Times New Roman" w:cs="Times New Roman"/>
                <w:color w:val="auto"/>
              </w:rPr>
              <w:t>施工人员产生的生活垃圾</w:t>
            </w:r>
            <w:r>
              <w:rPr>
                <w:rFonts w:hint="eastAsia" w:cs="Times New Roman"/>
                <w:color w:val="auto"/>
                <w:lang w:val="en-US" w:eastAsia="zh-CN"/>
              </w:rPr>
              <w:t>及</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eastAsia" w:ascii="Times New Roman" w:hAnsi="Times New Roman" w:cs="Times New Roman"/>
                <w:color w:val="auto"/>
              </w:rPr>
              <w:t>。</w:t>
            </w:r>
          </w:p>
          <w:p w14:paraId="2A2AE750">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480" w:firstLineChars="200"/>
              <w:jc w:val="both"/>
              <w:textAlignment w:val="auto"/>
              <w:outlineLvl w:val="9"/>
              <w:rPr>
                <w:rFonts w:hint="default"/>
                <w:color w:val="auto"/>
              </w:rPr>
            </w:pPr>
            <w:r>
              <w:rPr>
                <w:rFonts w:hint="eastAsia"/>
                <w:b w:val="0"/>
                <w:bCs w:val="0"/>
                <w:color w:val="auto"/>
                <w:lang w:eastAsia="zh-CN"/>
              </w:rPr>
              <w:t>（</w:t>
            </w:r>
            <w:r>
              <w:rPr>
                <w:rFonts w:hint="eastAsia"/>
                <w:b w:val="0"/>
                <w:bCs w:val="0"/>
                <w:color w:val="auto"/>
                <w:lang w:val="en-US" w:eastAsia="zh-CN"/>
              </w:rPr>
              <w:t>1</w:t>
            </w:r>
            <w:r>
              <w:rPr>
                <w:rFonts w:hint="eastAsia"/>
                <w:b w:val="0"/>
                <w:bCs w:val="0"/>
                <w:color w:val="auto"/>
                <w:lang w:eastAsia="zh-CN"/>
              </w:rPr>
              <w:t>）</w:t>
            </w:r>
            <w:r>
              <w:rPr>
                <w:rFonts w:hint="eastAsia"/>
                <w:b w:val="0"/>
                <w:bCs w:val="0"/>
                <w:color w:val="auto"/>
                <w:lang w:val="en-US" w:eastAsia="zh-CN"/>
              </w:rPr>
              <w:t>一般工业固体废物</w:t>
            </w:r>
          </w:p>
          <w:p w14:paraId="3E1758C8">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rPr>
              <w:t>①土石方</w:t>
            </w:r>
          </w:p>
          <w:p w14:paraId="412E62C8">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val="en-US" w:eastAsia="zh-CN"/>
              </w:rPr>
              <w:t>槽探</w:t>
            </w:r>
            <w:r>
              <w:rPr>
                <w:rFonts w:hint="eastAsia" w:ascii="Times New Roman" w:hAnsi="Times New Roman" w:cs="Times New Roman"/>
                <w:color w:val="auto"/>
              </w:rPr>
              <w:t>过程产生的土石方为</w:t>
            </w:r>
            <w:r>
              <w:rPr>
                <w:rFonts w:hint="eastAsia" w:cs="Times New Roman"/>
                <w:color w:val="auto"/>
                <w:lang w:val="en-US" w:eastAsia="zh-CN"/>
              </w:rPr>
              <w:t>8</w:t>
            </w:r>
            <w:r>
              <w:rPr>
                <w:rFonts w:hint="eastAsia" w:ascii="Times New Roman" w:hAnsi="Times New Roman" w:cs="Times New Roman"/>
                <w:color w:val="auto"/>
                <w:lang w:val="en-US" w:eastAsia="zh-CN"/>
              </w:rPr>
              <w:t>00</w:t>
            </w:r>
            <w:r>
              <w:rPr>
                <w:rFonts w:hint="eastAsia" w:ascii="Times New Roman" w:hAnsi="Times New Roman" w:cs="Times New Roman"/>
                <w:color w:val="auto"/>
              </w:rPr>
              <w:t>m</w:t>
            </w:r>
            <w:r>
              <w:rPr>
                <w:rFonts w:hint="eastAsia" w:ascii="Times New Roman" w:hAnsi="Times New Roman" w:cs="Times New Roman"/>
                <w:color w:val="auto"/>
                <w:vertAlign w:val="superscript"/>
              </w:rPr>
              <w:t>3</w:t>
            </w:r>
            <w:r>
              <w:rPr>
                <w:rFonts w:hint="eastAsia" w:ascii="Times New Roman" w:hAnsi="Times New Roman" w:cs="Times New Roman"/>
                <w:color w:val="auto"/>
              </w:rPr>
              <w:t>。由于本项目产生的土石方量较少，因此不单独设置废石场，剥离的表土分类暂存于</w:t>
            </w:r>
            <w:r>
              <w:rPr>
                <w:rFonts w:hint="eastAsia" w:ascii="Times New Roman" w:hAnsi="Times New Roman" w:cs="Times New Roman"/>
                <w:color w:val="auto"/>
                <w:lang w:val="en-US" w:eastAsia="zh-CN"/>
              </w:rPr>
              <w:t>槽探</w:t>
            </w:r>
            <w:r>
              <w:rPr>
                <w:rFonts w:hint="eastAsia" w:ascii="Times New Roman" w:hAnsi="Times New Roman" w:cs="Times New Roman"/>
                <w:color w:val="auto"/>
              </w:rPr>
              <w:t>附近的临时堆放场，用于回填</w:t>
            </w:r>
            <w:r>
              <w:rPr>
                <w:rFonts w:hint="default" w:ascii="Times New Roman" w:hAnsi="Times New Roman" w:cs="Times New Roman"/>
                <w:color w:val="auto"/>
              </w:rPr>
              <w:t>。</w:t>
            </w:r>
          </w:p>
          <w:p w14:paraId="06837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②</w:t>
            </w:r>
            <w:r>
              <w:rPr>
                <w:rFonts w:hint="default" w:ascii="Times New Roman" w:hAnsi="Times New Roman" w:eastAsia="宋体" w:cs="Times New Roman"/>
                <w:color w:val="auto"/>
                <w:lang w:val="en-US" w:eastAsia="zh-CN"/>
              </w:rPr>
              <w:t>生活污水一体化处理设施底泥</w:t>
            </w:r>
          </w:p>
          <w:p w14:paraId="31E27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定期清掏，用于周边植被</w:t>
            </w:r>
            <w:r>
              <w:rPr>
                <w:rFonts w:hint="eastAsia" w:cs="Times New Roman"/>
                <w:color w:val="auto"/>
                <w:lang w:val="en-US" w:eastAsia="zh-CN"/>
              </w:rPr>
              <w:t>绿化</w:t>
            </w:r>
            <w:r>
              <w:rPr>
                <w:rFonts w:hint="eastAsia" w:ascii="Times New Roman" w:hAnsi="Times New Roman" w:cs="Times New Roman"/>
                <w:color w:val="auto"/>
                <w:lang w:val="en-US" w:eastAsia="zh-CN"/>
              </w:rPr>
              <w:t>。</w:t>
            </w:r>
          </w:p>
          <w:p w14:paraId="42957866">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（2）生活垃圾</w:t>
            </w:r>
          </w:p>
          <w:p w14:paraId="65C90D48">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rPr>
            </w:pPr>
            <w:r>
              <w:rPr>
                <w:rFonts w:hint="eastAsia" w:ascii="Times New Roman" w:hAnsi="Times New Roman" w:eastAsia="宋体" w:cs="Times New Roman"/>
                <w:color w:val="auto"/>
              </w:rPr>
              <w:t>生活垃圾来自探矿人员日常生活，以纸张、塑料瓶为主。本项目野外探矿作业人员为</w:t>
            </w:r>
            <w:r>
              <w:rPr>
                <w:rFonts w:hint="eastAsia" w:ascii="Times New Roman" w:hAnsi="Times New Roman" w:eastAsia="宋体" w:cs="Times New Roman"/>
                <w:color w:val="auto"/>
                <w:lang w:val="en-US" w:eastAsia="zh-CN"/>
              </w:rPr>
              <w:t>1</w:t>
            </w:r>
            <w:r>
              <w:rPr>
                <w:rFonts w:hint="eastAsia" w:cs="Times New Roman"/>
                <w:color w:val="auto"/>
                <w:lang w:val="en-US" w:eastAsia="zh-CN"/>
              </w:rPr>
              <w:t>0</w:t>
            </w:r>
            <w:r>
              <w:rPr>
                <w:rFonts w:hint="eastAsia" w:ascii="Times New Roman" w:hAnsi="Times New Roman" w:eastAsia="宋体" w:cs="Times New Roman"/>
                <w:color w:val="auto"/>
              </w:rPr>
              <w:t>人，按每人每天产生0.35kg生活垃圾计算，则生活垃圾产生量为</w:t>
            </w:r>
            <w:r>
              <w:rPr>
                <w:rFonts w:hint="eastAsia" w:cs="Times New Roman"/>
                <w:color w:val="auto"/>
                <w:lang w:val="en-US" w:eastAsia="zh-CN"/>
              </w:rPr>
              <w:t>3.5</w:t>
            </w:r>
            <w:r>
              <w:rPr>
                <w:rFonts w:hint="eastAsia" w:ascii="Times New Roman" w:hAnsi="Times New Roman" w:eastAsia="宋体" w:cs="Times New Roman"/>
                <w:color w:val="auto"/>
              </w:rPr>
              <w:t>kg/d，整个探矿期生活垃圾产生量约为</w:t>
            </w:r>
            <w:r>
              <w:rPr>
                <w:rFonts w:hint="eastAsia" w:cs="Times New Roman"/>
                <w:color w:val="auto"/>
                <w:lang w:val="en-US" w:eastAsia="zh-CN"/>
              </w:rPr>
              <w:t>0.945</w:t>
            </w:r>
            <w:r>
              <w:rPr>
                <w:rFonts w:hint="eastAsia" w:ascii="Times New Roman" w:hAnsi="Times New Roman" w:eastAsia="宋体" w:cs="Times New Roman"/>
                <w:color w:val="auto"/>
              </w:rPr>
              <w:t>t</w:t>
            </w:r>
            <w:r>
              <w:rPr>
                <w:rFonts w:hint="eastAsia" w:ascii="Times New Roman" w:hAnsi="Times New Roman" w:eastAsia="宋体" w:cs="Times New Roman"/>
                <w:color w:val="auto"/>
                <w:lang w:val="en-US" w:eastAsia="zh-CN"/>
              </w:rPr>
              <w:t>/a</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生活垃圾采用垃圾袋集中收集后定期清运至</w:t>
            </w:r>
            <w:r>
              <w:rPr>
                <w:rFonts w:hint="eastAsia" w:cs="Times New Roman"/>
                <w:color w:val="auto"/>
                <w:lang w:val="en-US" w:eastAsia="zh-CN"/>
              </w:rPr>
              <w:t>就</w:t>
            </w:r>
            <w:r>
              <w:rPr>
                <w:rFonts w:hint="eastAsia" w:ascii="Times New Roman" w:hAnsi="Times New Roman" w:eastAsia="宋体" w:cs="Times New Roman"/>
                <w:color w:val="auto"/>
                <w:lang w:val="en-US" w:eastAsia="zh-CN"/>
              </w:rPr>
              <w:t>近垃圾收集点。</w:t>
            </w:r>
            <w:r>
              <w:rPr>
                <w:rFonts w:hint="eastAsia" w:ascii="Times New Roman" w:hAnsi="Times New Roman" w:eastAsia="宋体" w:cs="Times New Roman"/>
                <w:color w:val="auto"/>
              </w:rPr>
              <w:t>工作人员严禁将生活垃圾遗弃在矿区内。</w:t>
            </w:r>
          </w:p>
          <w:p w14:paraId="3F7FF093">
            <w:pPr>
              <w:pStyle w:val="24"/>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leftChars="0" w:right="0" w:firstLine="480" w:firstLineChars="200"/>
              <w:rPr>
                <w:rFonts w:hint="eastAsia" w:eastAsia="宋体"/>
                <w:color w:val="auto"/>
                <w:lang w:eastAsia="zh-CN"/>
              </w:rPr>
            </w:pPr>
            <w:r>
              <w:rPr>
                <w:rFonts w:hint="eastAsia"/>
                <w:b w:val="0"/>
                <w:bCs w:val="0"/>
                <w:color w:val="auto"/>
                <w:lang w:eastAsia="zh-CN"/>
              </w:rPr>
              <w:t>（</w:t>
            </w:r>
            <w:r>
              <w:rPr>
                <w:rFonts w:hint="eastAsia"/>
                <w:b w:val="0"/>
                <w:bCs w:val="0"/>
                <w:color w:val="auto"/>
                <w:lang w:val="en-US" w:eastAsia="zh-CN"/>
              </w:rPr>
              <w:t>3</w:t>
            </w:r>
            <w:r>
              <w:rPr>
                <w:rFonts w:hint="eastAsia"/>
                <w:b w:val="0"/>
                <w:bCs w:val="0"/>
                <w:color w:val="auto"/>
                <w:lang w:eastAsia="zh-CN"/>
              </w:rPr>
              <w:t>）</w:t>
            </w:r>
            <w:r>
              <w:rPr>
                <w:rFonts w:hint="eastAsia"/>
                <w:b w:val="0"/>
                <w:bCs w:val="0"/>
                <w:color w:val="auto"/>
                <w:lang w:val="en-US" w:eastAsia="zh-CN"/>
              </w:rPr>
              <w:t>危险废物</w:t>
            </w:r>
          </w:p>
          <w:p w14:paraId="2FAD4CFD">
            <w:pPr>
              <w:pStyle w:val="9"/>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right="0"/>
              <w:jc w:val="both"/>
              <w:rPr>
                <w:rFonts w:hint="default"/>
                <w:color w:val="auto"/>
              </w:rPr>
            </w:pPr>
            <w:r>
              <w:rPr>
                <w:rFonts w:hint="eastAsia"/>
                <w:color w:val="auto"/>
              </w:rPr>
              <w:t>本项目工作中使用柴油发电机及</w:t>
            </w:r>
            <w:r>
              <w:rPr>
                <w:rFonts w:hint="eastAsia"/>
                <w:color w:val="auto"/>
                <w:lang w:val="en-US" w:eastAsia="zh-CN"/>
              </w:rPr>
              <w:t>挖机</w:t>
            </w:r>
            <w:r>
              <w:rPr>
                <w:rFonts w:hint="eastAsia"/>
                <w:color w:val="auto"/>
              </w:rPr>
              <w:t>，</w:t>
            </w:r>
            <w:r>
              <w:rPr>
                <w:rFonts w:hint="eastAsia"/>
                <w:color w:val="auto"/>
                <w:lang w:val="en-US" w:eastAsia="zh-CN"/>
              </w:rPr>
              <w:t>会产生少量</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沾油废物（废防渗膜）。根据《国家</w:t>
            </w:r>
            <w:r>
              <w:rPr>
                <w:rFonts w:hint="default"/>
                <w:color w:val="auto"/>
              </w:rPr>
              <w:t>危险废物名录</w:t>
            </w:r>
            <w:r>
              <w:rPr>
                <w:rFonts w:hint="eastAsia"/>
                <w:color w:val="auto"/>
              </w:rPr>
              <w:t>》，</w:t>
            </w:r>
            <w:r>
              <w:rPr>
                <w:rFonts w:hint="eastAsia" w:ascii="Times New Roman" w:hAnsi="Times New Roman" w:cs="Times New Roman"/>
                <w:color w:val="auto"/>
                <w:highlight w:val="none"/>
                <w:shd w:val="clear" w:color="auto" w:fill="FFFFFF"/>
                <w:lang w:val="en-US" w:eastAsia="zh-CN"/>
              </w:rPr>
              <w:t>废润滑油</w:t>
            </w:r>
            <w:r>
              <w:rPr>
                <w:rFonts w:hint="eastAsia"/>
                <w:color w:val="auto"/>
              </w:rPr>
              <w:t>废物</w:t>
            </w:r>
            <w:r>
              <w:rPr>
                <w:rFonts w:hint="default"/>
                <w:color w:val="auto"/>
              </w:rPr>
              <w:t>类别为HW08</w:t>
            </w:r>
            <w:r>
              <w:rPr>
                <w:rFonts w:hint="eastAsia"/>
                <w:color w:val="auto"/>
              </w:rPr>
              <w:t>废矿物油与含矿物</w:t>
            </w:r>
            <w:r>
              <w:rPr>
                <w:rFonts w:hint="eastAsia"/>
                <w:color w:val="auto"/>
                <w:lang w:val="en-US" w:eastAsia="zh-CN"/>
              </w:rPr>
              <w:t>油废物</w:t>
            </w:r>
            <w:r>
              <w:rPr>
                <w:rFonts w:hint="eastAsia"/>
                <w:color w:val="auto"/>
              </w:rPr>
              <w:t>，废物</w:t>
            </w:r>
            <w:r>
              <w:rPr>
                <w:rFonts w:hint="default"/>
                <w:color w:val="auto"/>
              </w:rPr>
              <w:t>代码为900-21</w:t>
            </w:r>
            <w:r>
              <w:rPr>
                <w:rFonts w:hint="eastAsia"/>
                <w:color w:val="auto"/>
                <w:lang w:val="en-US" w:eastAsia="zh-CN"/>
              </w:rPr>
              <w:t>7</w:t>
            </w:r>
            <w:r>
              <w:rPr>
                <w:rFonts w:hint="default"/>
                <w:color w:val="auto"/>
              </w:rPr>
              <w:t>-08</w:t>
            </w:r>
            <w:r>
              <w:rPr>
                <w:rFonts w:hint="eastAsia"/>
                <w:color w:val="auto"/>
              </w:rPr>
              <w:t>产生量约为0.</w:t>
            </w:r>
            <w:r>
              <w:rPr>
                <w:rFonts w:hint="eastAsia"/>
                <w:color w:val="auto"/>
                <w:lang w:val="en-US" w:eastAsia="zh-CN"/>
              </w:rPr>
              <w:t>0</w:t>
            </w:r>
            <w:r>
              <w:rPr>
                <w:rFonts w:hint="eastAsia"/>
                <w:color w:val="auto"/>
              </w:rPr>
              <w:t>1t</w:t>
            </w:r>
            <w:r>
              <w:rPr>
                <w:rFonts w:hint="eastAsia"/>
                <w:color w:val="auto"/>
                <w:lang w:eastAsia="zh-CN"/>
              </w:rPr>
              <w:t>；沾油废物（废防渗膜）</w:t>
            </w:r>
            <w:r>
              <w:rPr>
                <w:rFonts w:hint="eastAsia"/>
                <w:color w:val="auto"/>
                <w:lang w:val="en-US" w:eastAsia="zh-CN"/>
              </w:rPr>
              <w:t>类别为</w:t>
            </w:r>
            <w:r>
              <w:rPr>
                <w:rFonts w:hint="default"/>
                <w:color w:val="auto"/>
              </w:rPr>
              <w:t>HW08</w:t>
            </w:r>
            <w:r>
              <w:rPr>
                <w:rFonts w:hint="eastAsia"/>
                <w:color w:val="auto"/>
              </w:rPr>
              <w:t>废矿物油与含矿物</w:t>
            </w:r>
            <w:r>
              <w:rPr>
                <w:rFonts w:hint="eastAsia"/>
                <w:color w:val="auto"/>
                <w:lang w:val="en-US" w:eastAsia="zh-CN"/>
              </w:rPr>
              <w:t>油废物</w:t>
            </w:r>
            <w:r>
              <w:rPr>
                <w:rFonts w:hint="eastAsia"/>
                <w:color w:val="auto"/>
              </w:rPr>
              <w:t>，废物</w:t>
            </w:r>
            <w:r>
              <w:rPr>
                <w:rFonts w:hint="default"/>
                <w:color w:val="auto"/>
              </w:rPr>
              <w:t>代码为900-2</w:t>
            </w:r>
            <w:r>
              <w:rPr>
                <w:rFonts w:hint="eastAsia"/>
                <w:color w:val="auto"/>
                <w:lang w:val="en-US" w:eastAsia="zh-CN"/>
              </w:rPr>
              <w:t>49</w:t>
            </w:r>
            <w:r>
              <w:rPr>
                <w:rFonts w:hint="default"/>
                <w:color w:val="auto"/>
              </w:rPr>
              <w:t>-08</w:t>
            </w:r>
            <w:r>
              <w:rPr>
                <w:rFonts w:hint="eastAsia"/>
                <w:color w:val="auto"/>
              </w:rPr>
              <w:t>产生量约为0.</w:t>
            </w:r>
            <w:r>
              <w:rPr>
                <w:rFonts w:hint="eastAsia"/>
                <w:color w:val="auto"/>
                <w:lang w:val="en-US" w:eastAsia="zh-CN"/>
              </w:rPr>
              <w:t>0</w:t>
            </w:r>
            <w:r>
              <w:rPr>
                <w:rFonts w:hint="eastAsia"/>
                <w:color w:val="auto"/>
              </w:rPr>
              <w:t>1t</w:t>
            </w:r>
            <w:r>
              <w:rPr>
                <w:rFonts w:hint="eastAsia"/>
                <w:color w:val="auto"/>
                <w:lang w:eastAsia="zh-CN"/>
              </w:rPr>
              <w:t>；</w:t>
            </w:r>
            <w:r>
              <w:rPr>
                <w:rFonts w:hint="eastAsia"/>
                <w:color w:val="auto"/>
                <w:lang w:val="en-US" w:eastAsia="zh-CN"/>
              </w:rPr>
              <w:t>废油桶类别为</w:t>
            </w:r>
            <w:r>
              <w:rPr>
                <w:rFonts w:hint="default"/>
                <w:color w:val="auto"/>
              </w:rPr>
              <w:t>HW08</w:t>
            </w:r>
            <w:r>
              <w:rPr>
                <w:rFonts w:hint="eastAsia"/>
                <w:color w:val="auto"/>
              </w:rPr>
              <w:t>废矿物油与含矿物</w:t>
            </w:r>
            <w:r>
              <w:rPr>
                <w:rFonts w:hint="eastAsia"/>
                <w:color w:val="auto"/>
                <w:lang w:val="en-US" w:eastAsia="zh-CN"/>
              </w:rPr>
              <w:t>油废物</w:t>
            </w:r>
            <w:r>
              <w:rPr>
                <w:rFonts w:hint="eastAsia"/>
                <w:color w:val="auto"/>
              </w:rPr>
              <w:t>，废物</w:t>
            </w:r>
            <w:r>
              <w:rPr>
                <w:rFonts w:hint="default"/>
                <w:color w:val="auto"/>
              </w:rPr>
              <w:t>代码为900-2</w:t>
            </w:r>
            <w:r>
              <w:rPr>
                <w:rFonts w:hint="eastAsia"/>
                <w:color w:val="auto"/>
                <w:lang w:val="en-US" w:eastAsia="zh-CN"/>
              </w:rPr>
              <w:t>49</w:t>
            </w:r>
            <w:r>
              <w:rPr>
                <w:rFonts w:hint="default"/>
                <w:color w:val="auto"/>
              </w:rPr>
              <w:t>-08</w:t>
            </w:r>
            <w:r>
              <w:rPr>
                <w:rFonts w:hint="eastAsia"/>
                <w:color w:val="auto"/>
              </w:rPr>
              <w:t>产生量约为0.1t</w:t>
            </w:r>
            <w:r>
              <w:rPr>
                <w:rFonts w:hint="eastAsia"/>
                <w:color w:val="auto"/>
                <w:lang w:eastAsia="zh-CN"/>
              </w:rPr>
              <w:t>；</w:t>
            </w:r>
            <w:r>
              <w:rPr>
                <w:rFonts w:hint="eastAsia"/>
                <w:color w:val="auto"/>
              </w:rPr>
              <w:t>暂存于</w:t>
            </w:r>
            <w:r>
              <w:rPr>
                <w:rFonts w:hint="eastAsia"/>
                <w:color w:val="auto"/>
                <w:lang w:eastAsia="zh-CN"/>
              </w:rPr>
              <w:t>危废贮存库</w:t>
            </w:r>
            <w:r>
              <w:rPr>
                <w:rFonts w:hint="default"/>
                <w:color w:val="auto"/>
              </w:rPr>
              <w:t>，</w:t>
            </w:r>
            <w:r>
              <w:rPr>
                <w:rFonts w:hint="eastAsia"/>
                <w:color w:val="auto"/>
              </w:rPr>
              <w:t>最终</w:t>
            </w:r>
            <w:r>
              <w:rPr>
                <w:rFonts w:hint="default"/>
                <w:color w:val="auto"/>
              </w:rPr>
              <w:t>交由有危废处置资质单位处理</w:t>
            </w:r>
            <w:r>
              <w:rPr>
                <w:rFonts w:hint="eastAsia"/>
                <w:color w:val="auto"/>
              </w:rPr>
              <w:t>。</w:t>
            </w:r>
          </w:p>
          <w:p w14:paraId="02E6A4F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right="0" w:firstLine="480"/>
              <w:rPr>
                <w:rFonts w:hint="eastAsia"/>
                <w:color w:val="auto"/>
              </w:rPr>
            </w:pPr>
            <w:r>
              <w:rPr>
                <w:rFonts w:hint="eastAsia"/>
                <w:color w:val="auto"/>
              </w:rPr>
              <w:t>根据《建设项目危险废物环境影响评价指南》危险废物污染防治措施情况详见表</w:t>
            </w:r>
            <w:r>
              <w:rPr>
                <w:rFonts w:hint="eastAsia"/>
                <w:color w:val="auto"/>
                <w:lang w:val="en-US" w:eastAsia="zh-CN"/>
              </w:rPr>
              <w:t>4.4-1</w:t>
            </w:r>
            <w:r>
              <w:rPr>
                <w:rFonts w:hint="eastAsia"/>
                <w:color w:val="auto"/>
              </w:rPr>
              <w:t>：</w:t>
            </w:r>
          </w:p>
          <w:p w14:paraId="5F8C61BB">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textAlignment w:val="baseline"/>
              <w:rPr>
                <w:rFonts w:hint="default"/>
                <w:color w:val="auto"/>
              </w:rPr>
            </w:pPr>
            <w:r>
              <w:rPr>
                <w:rFonts w:hint="eastAsia"/>
                <w:color w:val="auto"/>
              </w:rPr>
              <w:t>表</w:t>
            </w:r>
            <w:r>
              <w:rPr>
                <w:rFonts w:hint="eastAsia"/>
                <w:color w:val="auto"/>
                <w:lang w:val="en-US" w:eastAsia="zh-CN"/>
              </w:rPr>
              <w:t xml:space="preserve">4.4-1 </w:t>
            </w:r>
            <w:r>
              <w:rPr>
                <w:rFonts w:hint="default"/>
                <w:color w:val="auto"/>
              </w:rPr>
              <w:t xml:space="preserve">  </w:t>
            </w:r>
            <w:r>
              <w:rPr>
                <w:rFonts w:hint="eastAsia"/>
                <w:color w:val="auto"/>
              </w:rPr>
              <w:t>危险废物产生及处置情况汇总表</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71"/>
              <w:gridCol w:w="689"/>
              <w:gridCol w:w="870"/>
              <w:gridCol w:w="1346"/>
              <w:gridCol w:w="655"/>
              <w:gridCol w:w="767"/>
              <w:gridCol w:w="474"/>
              <w:gridCol w:w="637"/>
              <w:gridCol w:w="637"/>
              <w:gridCol w:w="640"/>
              <w:gridCol w:w="1125"/>
            </w:tblGrid>
            <w:tr w14:paraId="41B26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283" w:type="pct"/>
                  <w:noWrap w:val="0"/>
                  <w:vAlign w:val="center"/>
                </w:tcPr>
                <w:p w14:paraId="36709839">
                  <w:pPr>
                    <w:pStyle w:val="68"/>
                    <w:keepNext w:val="0"/>
                    <w:keepLines w:val="0"/>
                    <w:suppressLineNumbers w:val="0"/>
                    <w:spacing w:before="0" w:beforeAutospacing="0" w:after="0" w:afterAutospacing="0"/>
                    <w:ind w:right="0"/>
                    <w:rPr>
                      <w:rFonts w:hint="default"/>
                      <w:color w:val="auto"/>
                    </w:rPr>
                  </w:pPr>
                  <w:r>
                    <w:rPr>
                      <w:rFonts w:hint="default"/>
                      <w:color w:val="auto"/>
                    </w:rPr>
                    <w:t>序号</w:t>
                  </w:r>
                </w:p>
              </w:tc>
              <w:tc>
                <w:tcPr>
                  <w:tcW w:w="414" w:type="pct"/>
                  <w:noWrap w:val="0"/>
                  <w:vAlign w:val="center"/>
                </w:tcPr>
                <w:p w14:paraId="012E3D7F">
                  <w:pPr>
                    <w:pStyle w:val="68"/>
                    <w:keepNext w:val="0"/>
                    <w:keepLines w:val="0"/>
                    <w:suppressLineNumbers w:val="0"/>
                    <w:spacing w:before="0" w:beforeAutospacing="0" w:after="0" w:afterAutospacing="0"/>
                    <w:ind w:right="0"/>
                    <w:rPr>
                      <w:rFonts w:hint="default"/>
                      <w:color w:val="auto"/>
                    </w:rPr>
                  </w:pPr>
                  <w:r>
                    <w:rPr>
                      <w:rFonts w:hint="default"/>
                      <w:color w:val="auto"/>
                    </w:rPr>
                    <w:t>危险废物名称</w:t>
                  </w:r>
                </w:p>
              </w:tc>
              <w:tc>
                <w:tcPr>
                  <w:tcW w:w="523" w:type="pct"/>
                  <w:noWrap w:val="0"/>
                  <w:vAlign w:val="center"/>
                </w:tcPr>
                <w:p w14:paraId="319CD029">
                  <w:pPr>
                    <w:pStyle w:val="68"/>
                    <w:keepNext w:val="0"/>
                    <w:keepLines w:val="0"/>
                    <w:suppressLineNumbers w:val="0"/>
                    <w:spacing w:before="0" w:beforeAutospacing="0" w:after="0" w:afterAutospacing="0"/>
                    <w:ind w:right="0"/>
                    <w:rPr>
                      <w:rFonts w:hint="default"/>
                      <w:color w:val="auto"/>
                    </w:rPr>
                  </w:pPr>
                  <w:r>
                    <w:rPr>
                      <w:rFonts w:hint="default"/>
                      <w:color w:val="auto"/>
                    </w:rPr>
                    <w:t>危险废物类别</w:t>
                  </w:r>
                </w:p>
              </w:tc>
              <w:tc>
                <w:tcPr>
                  <w:tcW w:w="809" w:type="pct"/>
                  <w:noWrap w:val="0"/>
                  <w:vAlign w:val="center"/>
                </w:tcPr>
                <w:p w14:paraId="2D641EF5">
                  <w:pPr>
                    <w:pStyle w:val="68"/>
                    <w:keepNext w:val="0"/>
                    <w:keepLines w:val="0"/>
                    <w:suppressLineNumbers w:val="0"/>
                    <w:spacing w:before="0" w:beforeAutospacing="0" w:after="0" w:afterAutospacing="0"/>
                    <w:ind w:right="0"/>
                    <w:rPr>
                      <w:rFonts w:hint="default"/>
                      <w:color w:val="auto"/>
                    </w:rPr>
                  </w:pPr>
                  <w:r>
                    <w:rPr>
                      <w:rFonts w:hint="default"/>
                      <w:color w:val="auto"/>
                    </w:rPr>
                    <w:t>危险废物代码</w:t>
                  </w:r>
                </w:p>
              </w:tc>
              <w:tc>
                <w:tcPr>
                  <w:tcW w:w="394" w:type="pct"/>
                  <w:noWrap w:val="0"/>
                  <w:vAlign w:val="center"/>
                </w:tcPr>
                <w:p w14:paraId="42986AAA">
                  <w:pPr>
                    <w:pStyle w:val="68"/>
                    <w:keepNext w:val="0"/>
                    <w:keepLines w:val="0"/>
                    <w:suppressLineNumbers w:val="0"/>
                    <w:spacing w:before="0" w:beforeAutospacing="0" w:after="0" w:afterAutospacing="0"/>
                    <w:ind w:right="0"/>
                    <w:rPr>
                      <w:rFonts w:hint="default"/>
                      <w:color w:val="auto"/>
                    </w:rPr>
                  </w:pPr>
                  <w:r>
                    <w:rPr>
                      <w:rFonts w:hint="default"/>
                      <w:color w:val="auto"/>
                    </w:rPr>
                    <w:t>产生量t/a</w:t>
                  </w:r>
                </w:p>
              </w:tc>
              <w:tc>
                <w:tcPr>
                  <w:tcW w:w="461" w:type="pct"/>
                  <w:noWrap w:val="0"/>
                  <w:vAlign w:val="center"/>
                </w:tcPr>
                <w:p w14:paraId="709D0690">
                  <w:pPr>
                    <w:pStyle w:val="68"/>
                    <w:keepNext w:val="0"/>
                    <w:keepLines w:val="0"/>
                    <w:suppressLineNumbers w:val="0"/>
                    <w:spacing w:before="0" w:beforeAutospacing="0" w:after="0" w:afterAutospacing="0"/>
                    <w:ind w:right="0"/>
                    <w:rPr>
                      <w:rFonts w:hint="default"/>
                      <w:color w:val="auto"/>
                    </w:rPr>
                  </w:pPr>
                  <w:r>
                    <w:rPr>
                      <w:rFonts w:hint="default"/>
                      <w:color w:val="auto"/>
                    </w:rPr>
                    <w:t>产生工序及装置</w:t>
                  </w:r>
                </w:p>
              </w:tc>
              <w:tc>
                <w:tcPr>
                  <w:tcW w:w="285" w:type="pct"/>
                  <w:noWrap w:val="0"/>
                  <w:vAlign w:val="center"/>
                </w:tcPr>
                <w:p w14:paraId="200CE958">
                  <w:pPr>
                    <w:pStyle w:val="68"/>
                    <w:keepNext w:val="0"/>
                    <w:keepLines w:val="0"/>
                    <w:suppressLineNumbers w:val="0"/>
                    <w:spacing w:before="0" w:beforeAutospacing="0" w:after="0" w:afterAutospacing="0"/>
                    <w:ind w:right="0"/>
                    <w:rPr>
                      <w:rFonts w:hint="default"/>
                      <w:color w:val="auto"/>
                    </w:rPr>
                  </w:pPr>
                  <w:r>
                    <w:rPr>
                      <w:rFonts w:hint="default"/>
                      <w:color w:val="auto"/>
                    </w:rPr>
                    <w:t>形态</w:t>
                  </w:r>
                </w:p>
              </w:tc>
              <w:tc>
                <w:tcPr>
                  <w:tcW w:w="383" w:type="pct"/>
                  <w:noWrap w:val="0"/>
                  <w:vAlign w:val="center"/>
                </w:tcPr>
                <w:p w14:paraId="78911998">
                  <w:pPr>
                    <w:pStyle w:val="68"/>
                    <w:keepNext w:val="0"/>
                    <w:keepLines w:val="0"/>
                    <w:suppressLineNumbers w:val="0"/>
                    <w:spacing w:before="0" w:beforeAutospacing="0" w:after="0" w:afterAutospacing="0"/>
                    <w:ind w:right="0"/>
                    <w:rPr>
                      <w:rFonts w:hint="default"/>
                      <w:color w:val="auto"/>
                    </w:rPr>
                  </w:pPr>
                  <w:r>
                    <w:rPr>
                      <w:rFonts w:hint="default"/>
                      <w:color w:val="auto"/>
                    </w:rPr>
                    <w:t>主要成分</w:t>
                  </w:r>
                </w:p>
              </w:tc>
              <w:tc>
                <w:tcPr>
                  <w:tcW w:w="383" w:type="pct"/>
                  <w:noWrap w:val="0"/>
                  <w:vAlign w:val="center"/>
                </w:tcPr>
                <w:p w14:paraId="0405026B">
                  <w:pPr>
                    <w:pStyle w:val="68"/>
                    <w:keepNext w:val="0"/>
                    <w:keepLines w:val="0"/>
                    <w:suppressLineNumbers w:val="0"/>
                    <w:spacing w:before="0" w:beforeAutospacing="0" w:after="0" w:afterAutospacing="0"/>
                    <w:ind w:right="0"/>
                    <w:rPr>
                      <w:rFonts w:hint="default"/>
                      <w:color w:val="auto"/>
                    </w:rPr>
                  </w:pPr>
                  <w:r>
                    <w:rPr>
                      <w:rFonts w:hint="default"/>
                      <w:color w:val="auto"/>
                    </w:rPr>
                    <w:t>有害成分</w:t>
                  </w:r>
                </w:p>
              </w:tc>
              <w:tc>
                <w:tcPr>
                  <w:tcW w:w="385" w:type="pct"/>
                  <w:noWrap w:val="0"/>
                  <w:vAlign w:val="center"/>
                </w:tcPr>
                <w:p w14:paraId="07F230ED">
                  <w:pPr>
                    <w:pStyle w:val="68"/>
                    <w:keepNext w:val="0"/>
                    <w:keepLines w:val="0"/>
                    <w:suppressLineNumbers w:val="0"/>
                    <w:spacing w:before="0" w:beforeAutospacing="0" w:after="0" w:afterAutospacing="0"/>
                    <w:ind w:right="0"/>
                    <w:rPr>
                      <w:rFonts w:hint="default"/>
                      <w:color w:val="auto"/>
                    </w:rPr>
                  </w:pPr>
                  <w:r>
                    <w:rPr>
                      <w:rFonts w:hint="default"/>
                      <w:color w:val="auto"/>
                    </w:rPr>
                    <w:t>产废周期</w:t>
                  </w:r>
                </w:p>
              </w:tc>
              <w:tc>
                <w:tcPr>
                  <w:tcW w:w="676" w:type="pct"/>
                  <w:noWrap w:val="0"/>
                  <w:vAlign w:val="center"/>
                </w:tcPr>
                <w:p w14:paraId="49EB8C20">
                  <w:pPr>
                    <w:pStyle w:val="68"/>
                    <w:keepNext w:val="0"/>
                    <w:keepLines w:val="0"/>
                    <w:suppressLineNumbers w:val="0"/>
                    <w:spacing w:before="0" w:beforeAutospacing="0" w:after="0" w:afterAutospacing="0"/>
                    <w:ind w:right="0"/>
                    <w:rPr>
                      <w:rFonts w:hint="default"/>
                      <w:color w:val="auto"/>
                    </w:rPr>
                  </w:pPr>
                  <w:r>
                    <w:rPr>
                      <w:rFonts w:hint="default"/>
                      <w:color w:val="auto"/>
                    </w:rPr>
                    <w:t>污染防治措施</w:t>
                  </w:r>
                </w:p>
              </w:tc>
            </w:tr>
            <w:tr w14:paraId="351C8A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noWrap w:val="0"/>
                  <w:vAlign w:val="center"/>
                </w:tcPr>
                <w:p w14:paraId="04ED32F3">
                  <w:pPr>
                    <w:pStyle w:val="68"/>
                    <w:keepNext w:val="0"/>
                    <w:keepLines w:val="0"/>
                    <w:suppressLineNumbers w:val="0"/>
                    <w:spacing w:before="0" w:beforeAutospacing="0" w:after="0" w:afterAutospacing="0"/>
                    <w:ind w:right="0"/>
                    <w:rPr>
                      <w:rFonts w:hint="default"/>
                      <w:color w:val="auto"/>
                    </w:rPr>
                  </w:pPr>
                  <w:r>
                    <w:rPr>
                      <w:rFonts w:hint="default"/>
                      <w:color w:val="auto"/>
                    </w:rPr>
                    <w:t>1</w:t>
                  </w:r>
                </w:p>
              </w:tc>
              <w:tc>
                <w:tcPr>
                  <w:tcW w:w="414" w:type="pct"/>
                  <w:noWrap w:val="0"/>
                  <w:vAlign w:val="center"/>
                </w:tcPr>
                <w:p w14:paraId="45745660">
                  <w:pPr>
                    <w:pStyle w:val="68"/>
                    <w:keepNext w:val="0"/>
                    <w:keepLines w:val="0"/>
                    <w:suppressLineNumbers w:val="0"/>
                    <w:spacing w:before="0" w:beforeAutospacing="0" w:after="0" w:afterAutospacing="0"/>
                    <w:ind w:right="0"/>
                    <w:rPr>
                      <w:rFonts w:hint="default"/>
                      <w:color w:val="auto"/>
                    </w:rPr>
                  </w:pPr>
                  <w:r>
                    <w:rPr>
                      <w:rFonts w:hint="eastAsia" w:ascii="Times New Roman" w:hAnsi="Times New Roman" w:cs="Times New Roman"/>
                      <w:color w:val="auto"/>
                      <w:highlight w:val="none"/>
                      <w:shd w:val="clear" w:color="auto" w:fill="FFFFFF"/>
                      <w:lang w:val="en-US" w:eastAsia="zh-CN"/>
                    </w:rPr>
                    <w:t>废润滑油</w:t>
                  </w:r>
                </w:p>
              </w:tc>
              <w:tc>
                <w:tcPr>
                  <w:tcW w:w="523" w:type="pct"/>
                  <w:noWrap w:val="0"/>
                  <w:vAlign w:val="center"/>
                </w:tcPr>
                <w:p w14:paraId="40693681">
                  <w:pPr>
                    <w:pStyle w:val="68"/>
                    <w:keepNext w:val="0"/>
                    <w:keepLines w:val="0"/>
                    <w:suppressLineNumbers w:val="0"/>
                    <w:spacing w:before="0" w:beforeAutospacing="0" w:after="0" w:afterAutospacing="0"/>
                    <w:ind w:right="0"/>
                    <w:rPr>
                      <w:rFonts w:hint="default"/>
                      <w:color w:val="auto"/>
                    </w:rPr>
                  </w:pPr>
                  <w:r>
                    <w:rPr>
                      <w:rFonts w:hint="default"/>
                      <w:color w:val="auto"/>
                    </w:rPr>
                    <w:t>HW08</w:t>
                  </w:r>
                  <w:r>
                    <w:rPr>
                      <w:rFonts w:hint="eastAsia"/>
                      <w:color w:val="auto"/>
                    </w:rPr>
                    <w:t>废矿物油与含矿物油废物</w:t>
                  </w:r>
                </w:p>
              </w:tc>
              <w:tc>
                <w:tcPr>
                  <w:tcW w:w="809" w:type="pct"/>
                  <w:noWrap w:val="0"/>
                  <w:vAlign w:val="center"/>
                </w:tcPr>
                <w:p w14:paraId="6604276F">
                  <w:pPr>
                    <w:pStyle w:val="68"/>
                    <w:keepNext w:val="0"/>
                    <w:keepLines w:val="0"/>
                    <w:suppressLineNumbers w:val="0"/>
                    <w:spacing w:before="0" w:beforeAutospacing="0" w:after="0" w:afterAutospacing="0"/>
                    <w:ind w:right="0"/>
                    <w:rPr>
                      <w:rFonts w:hint="default"/>
                      <w:color w:val="auto"/>
                    </w:rPr>
                  </w:pPr>
                  <w:r>
                    <w:rPr>
                      <w:rFonts w:hint="default"/>
                      <w:color w:val="auto"/>
                    </w:rPr>
                    <w:t>900-21</w:t>
                  </w:r>
                  <w:r>
                    <w:rPr>
                      <w:rFonts w:hint="eastAsia"/>
                      <w:color w:val="auto"/>
                      <w:lang w:val="en-US" w:eastAsia="zh-CN"/>
                    </w:rPr>
                    <w:t>7</w:t>
                  </w:r>
                  <w:r>
                    <w:rPr>
                      <w:rFonts w:hint="default"/>
                      <w:color w:val="auto"/>
                    </w:rPr>
                    <w:t>-08</w:t>
                  </w:r>
                </w:p>
              </w:tc>
              <w:tc>
                <w:tcPr>
                  <w:tcW w:w="394" w:type="pct"/>
                  <w:noWrap w:val="0"/>
                  <w:vAlign w:val="center"/>
                </w:tcPr>
                <w:p w14:paraId="63DF463D">
                  <w:pPr>
                    <w:pStyle w:val="68"/>
                    <w:keepNext w:val="0"/>
                    <w:keepLines w:val="0"/>
                    <w:suppressLineNumbers w:val="0"/>
                    <w:spacing w:before="0" w:beforeAutospacing="0" w:after="0" w:afterAutospacing="0"/>
                    <w:ind w:right="0"/>
                    <w:rPr>
                      <w:rFonts w:hint="default"/>
                      <w:color w:val="auto"/>
                    </w:rPr>
                  </w:pPr>
                  <w:r>
                    <w:rPr>
                      <w:rFonts w:hint="default"/>
                      <w:color w:val="auto"/>
                    </w:rPr>
                    <w:t>0.</w:t>
                  </w:r>
                  <w:r>
                    <w:rPr>
                      <w:rFonts w:hint="eastAsia"/>
                      <w:color w:val="auto"/>
                      <w:lang w:val="en-US" w:eastAsia="zh-CN"/>
                    </w:rPr>
                    <w:t>0</w:t>
                  </w:r>
                  <w:r>
                    <w:rPr>
                      <w:rFonts w:hint="default"/>
                      <w:color w:val="auto"/>
                    </w:rPr>
                    <w:t>1</w:t>
                  </w:r>
                </w:p>
              </w:tc>
              <w:tc>
                <w:tcPr>
                  <w:tcW w:w="461" w:type="pct"/>
                  <w:noWrap w:val="0"/>
                  <w:vAlign w:val="center"/>
                </w:tcPr>
                <w:p w14:paraId="6F3AB009">
                  <w:pPr>
                    <w:pStyle w:val="68"/>
                    <w:keepNext w:val="0"/>
                    <w:keepLines w:val="0"/>
                    <w:suppressLineNumbers w:val="0"/>
                    <w:spacing w:before="0" w:beforeAutospacing="0" w:after="0" w:afterAutospacing="0"/>
                    <w:ind w:right="0"/>
                    <w:rPr>
                      <w:rFonts w:hint="default"/>
                      <w:color w:val="auto"/>
                    </w:rPr>
                  </w:pPr>
                  <w:r>
                    <w:rPr>
                      <w:rFonts w:hint="eastAsia"/>
                      <w:color w:val="auto"/>
                      <w:lang w:val="en-US" w:eastAsia="zh-CN"/>
                    </w:rPr>
                    <w:t>设备维修</w:t>
                  </w:r>
                </w:p>
              </w:tc>
              <w:tc>
                <w:tcPr>
                  <w:tcW w:w="285" w:type="pct"/>
                  <w:noWrap w:val="0"/>
                  <w:vAlign w:val="center"/>
                </w:tcPr>
                <w:p w14:paraId="6F0B86CC">
                  <w:pPr>
                    <w:pStyle w:val="68"/>
                    <w:keepNext w:val="0"/>
                    <w:keepLines w:val="0"/>
                    <w:suppressLineNumbers w:val="0"/>
                    <w:spacing w:before="0" w:beforeAutospacing="0" w:after="0" w:afterAutospacing="0"/>
                    <w:ind w:right="0"/>
                    <w:rPr>
                      <w:rFonts w:hint="default"/>
                      <w:color w:val="auto"/>
                    </w:rPr>
                  </w:pPr>
                  <w:r>
                    <w:rPr>
                      <w:rFonts w:hint="default"/>
                      <w:color w:val="auto"/>
                    </w:rPr>
                    <w:t>液态</w:t>
                  </w:r>
                </w:p>
              </w:tc>
              <w:tc>
                <w:tcPr>
                  <w:tcW w:w="383" w:type="pct"/>
                  <w:noWrap w:val="0"/>
                  <w:vAlign w:val="center"/>
                </w:tcPr>
                <w:p w14:paraId="3E8F26C0">
                  <w:pPr>
                    <w:pStyle w:val="68"/>
                    <w:keepNext w:val="0"/>
                    <w:keepLines w:val="0"/>
                    <w:suppressLineNumbers w:val="0"/>
                    <w:spacing w:before="0" w:beforeAutospacing="0" w:after="0" w:afterAutospacing="0"/>
                    <w:ind w:right="0"/>
                    <w:rPr>
                      <w:rFonts w:hint="default"/>
                      <w:color w:val="auto"/>
                    </w:rPr>
                  </w:pPr>
                  <w:r>
                    <w:rPr>
                      <w:rFonts w:hint="default"/>
                      <w:color w:val="auto"/>
                    </w:rPr>
                    <w:t>烃类</w:t>
                  </w:r>
                </w:p>
              </w:tc>
              <w:tc>
                <w:tcPr>
                  <w:tcW w:w="383" w:type="pct"/>
                  <w:noWrap w:val="0"/>
                  <w:vAlign w:val="center"/>
                </w:tcPr>
                <w:p w14:paraId="192A2D31">
                  <w:pPr>
                    <w:pStyle w:val="68"/>
                    <w:keepNext w:val="0"/>
                    <w:keepLines w:val="0"/>
                    <w:suppressLineNumbers w:val="0"/>
                    <w:spacing w:before="0" w:beforeAutospacing="0" w:after="0" w:afterAutospacing="0"/>
                    <w:ind w:right="0"/>
                    <w:rPr>
                      <w:rFonts w:hint="default"/>
                      <w:color w:val="auto"/>
                    </w:rPr>
                  </w:pPr>
                  <w:r>
                    <w:rPr>
                      <w:rFonts w:hint="default"/>
                      <w:color w:val="auto"/>
                    </w:rPr>
                    <w:t>烃类</w:t>
                  </w:r>
                </w:p>
              </w:tc>
              <w:tc>
                <w:tcPr>
                  <w:tcW w:w="385" w:type="pct"/>
                  <w:noWrap w:val="0"/>
                  <w:vAlign w:val="center"/>
                </w:tcPr>
                <w:p w14:paraId="20C6C803">
                  <w:pPr>
                    <w:pStyle w:val="68"/>
                    <w:keepNext w:val="0"/>
                    <w:keepLines w:val="0"/>
                    <w:suppressLineNumbers w:val="0"/>
                    <w:spacing w:before="0" w:beforeAutospacing="0" w:after="0" w:afterAutospacing="0"/>
                    <w:ind w:right="0"/>
                    <w:rPr>
                      <w:rFonts w:hint="default"/>
                      <w:color w:val="auto"/>
                    </w:rPr>
                  </w:pPr>
                  <w:r>
                    <w:rPr>
                      <w:rFonts w:hint="default"/>
                      <w:color w:val="auto"/>
                    </w:rPr>
                    <w:t>一年</w:t>
                  </w:r>
                </w:p>
              </w:tc>
              <w:tc>
                <w:tcPr>
                  <w:tcW w:w="676" w:type="pct"/>
                  <w:vMerge w:val="restart"/>
                  <w:noWrap w:val="0"/>
                  <w:vAlign w:val="top"/>
                </w:tcPr>
                <w:p w14:paraId="70EBC94E">
                  <w:pPr>
                    <w:pStyle w:val="68"/>
                    <w:keepNext w:val="0"/>
                    <w:keepLines w:val="0"/>
                    <w:suppressLineNumbers w:val="0"/>
                    <w:spacing w:before="0" w:beforeAutospacing="0" w:after="0" w:afterAutospacing="0"/>
                    <w:ind w:right="0"/>
                    <w:rPr>
                      <w:rFonts w:hint="default"/>
                      <w:bCs/>
                      <w:color w:val="auto"/>
                    </w:rPr>
                  </w:pPr>
                  <w:r>
                    <w:rPr>
                      <w:rFonts w:hint="eastAsia"/>
                      <w:color w:val="auto"/>
                    </w:rPr>
                    <w:t>产生的</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沾油废物（废防渗膜）暂存于</w:t>
                  </w:r>
                  <w:r>
                    <w:rPr>
                      <w:rFonts w:hint="eastAsia"/>
                      <w:color w:val="auto"/>
                      <w:lang w:eastAsia="zh-CN"/>
                    </w:rPr>
                    <w:t>危废贮存库</w:t>
                  </w:r>
                  <w:r>
                    <w:rPr>
                      <w:rFonts w:hint="default"/>
                      <w:color w:val="auto"/>
                    </w:rPr>
                    <w:t>，</w:t>
                  </w:r>
                  <w:r>
                    <w:rPr>
                      <w:rFonts w:hint="eastAsia"/>
                      <w:color w:val="auto"/>
                    </w:rPr>
                    <w:t>最终</w:t>
                  </w:r>
                  <w:r>
                    <w:rPr>
                      <w:rFonts w:hint="default"/>
                      <w:color w:val="auto"/>
                    </w:rPr>
                    <w:t>交由有危废处置资质单位处理</w:t>
                  </w:r>
                </w:p>
              </w:tc>
            </w:tr>
            <w:tr w14:paraId="15B3F3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noWrap w:val="0"/>
                  <w:vAlign w:val="center"/>
                </w:tcPr>
                <w:p w14:paraId="19762F80">
                  <w:pPr>
                    <w:pStyle w:val="68"/>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2</w:t>
                  </w:r>
                </w:p>
              </w:tc>
              <w:tc>
                <w:tcPr>
                  <w:tcW w:w="414" w:type="pct"/>
                  <w:noWrap w:val="0"/>
                  <w:vAlign w:val="center"/>
                </w:tcPr>
                <w:p w14:paraId="50860F29">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highlight w:val="none"/>
                      <w:shd w:val="clear" w:color="auto" w:fill="FFFFFF"/>
                      <w:lang w:val="en-US" w:eastAsia="zh-CN"/>
                    </w:rPr>
                  </w:pPr>
                  <w:r>
                    <w:rPr>
                      <w:rFonts w:hint="eastAsia"/>
                      <w:color w:val="auto"/>
                    </w:rPr>
                    <w:t>沾油废物（废防渗膜）</w:t>
                  </w:r>
                </w:p>
              </w:tc>
              <w:tc>
                <w:tcPr>
                  <w:tcW w:w="523" w:type="pct"/>
                  <w:noWrap w:val="0"/>
                  <w:vAlign w:val="center"/>
                </w:tcPr>
                <w:p w14:paraId="321CF18E">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HW08</w:t>
                  </w:r>
                  <w:r>
                    <w:rPr>
                      <w:rFonts w:hint="eastAsia"/>
                      <w:color w:val="auto"/>
                    </w:rPr>
                    <w:t>废矿物油与含矿物油废物</w:t>
                  </w:r>
                </w:p>
              </w:tc>
              <w:tc>
                <w:tcPr>
                  <w:tcW w:w="809" w:type="pct"/>
                  <w:noWrap w:val="0"/>
                  <w:vAlign w:val="center"/>
                </w:tcPr>
                <w:p w14:paraId="03F49961">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900-</w:t>
                  </w:r>
                  <w:r>
                    <w:rPr>
                      <w:rFonts w:hint="eastAsia"/>
                      <w:color w:val="auto"/>
                      <w:lang w:val="en-US" w:eastAsia="zh-CN"/>
                    </w:rPr>
                    <w:t>249</w:t>
                  </w:r>
                  <w:r>
                    <w:rPr>
                      <w:rFonts w:hint="default"/>
                      <w:color w:val="auto"/>
                    </w:rPr>
                    <w:t>-08</w:t>
                  </w:r>
                </w:p>
              </w:tc>
              <w:tc>
                <w:tcPr>
                  <w:tcW w:w="394" w:type="pct"/>
                  <w:noWrap w:val="0"/>
                  <w:vAlign w:val="center"/>
                </w:tcPr>
                <w:p w14:paraId="23EAB7EC">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0.01</w:t>
                  </w:r>
                </w:p>
              </w:tc>
              <w:tc>
                <w:tcPr>
                  <w:tcW w:w="461" w:type="pct"/>
                  <w:noWrap w:val="0"/>
                  <w:vAlign w:val="center"/>
                </w:tcPr>
                <w:p w14:paraId="694A6922">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ascii="Times New Roman" w:hAnsi="Times New Roman" w:eastAsia="宋体" w:cs="Times New Roman"/>
                      <w:color w:val="auto"/>
                      <w:sz w:val="21"/>
                      <w:szCs w:val="21"/>
                      <w:highlight w:val="none"/>
                      <w:vertAlign w:val="baseline"/>
                      <w:lang w:val="en-US" w:eastAsia="zh-CN"/>
                    </w:rPr>
                    <w:t>柴油储</w:t>
                  </w:r>
                  <w:r>
                    <w:rPr>
                      <w:rFonts w:hint="eastAsia" w:ascii="Times New Roman" w:hAnsi="Times New Roman" w:eastAsia="宋体" w:cs="Times New Roman"/>
                      <w:color w:val="auto"/>
                      <w:sz w:val="21"/>
                      <w:szCs w:val="21"/>
                      <w:highlight w:val="none"/>
                      <w:vertAlign w:val="baseline"/>
                      <w:lang w:val="en-US" w:eastAsia="zh-CN"/>
                    </w:rPr>
                    <w:t>存</w:t>
                  </w:r>
                  <w:r>
                    <w:rPr>
                      <w:rFonts w:hint="default" w:ascii="Times New Roman" w:hAnsi="Times New Roman" w:eastAsia="宋体" w:cs="Times New Roman"/>
                      <w:color w:val="auto"/>
                      <w:sz w:val="21"/>
                      <w:szCs w:val="21"/>
                      <w:highlight w:val="none"/>
                      <w:vertAlign w:val="baseline"/>
                      <w:lang w:val="en-US" w:eastAsia="zh-CN"/>
                    </w:rPr>
                    <w:t>区</w:t>
                  </w:r>
                </w:p>
              </w:tc>
              <w:tc>
                <w:tcPr>
                  <w:tcW w:w="285" w:type="pct"/>
                  <w:noWrap w:val="0"/>
                  <w:vAlign w:val="center"/>
                </w:tcPr>
                <w:p w14:paraId="5EB21AF1">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固态</w:t>
                  </w:r>
                </w:p>
              </w:tc>
              <w:tc>
                <w:tcPr>
                  <w:tcW w:w="383" w:type="pct"/>
                  <w:noWrap w:val="0"/>
                  <w:vAlign w:val="center"/>
                </w:tcPr>
                <w:p w14:paraId="66A5566D">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rPr>
                    <w:t>聚乙烯</w:t>
                  </w:r>
                </w:p>
              </w:tc>
              <w:tc>
                <w:tcPr>
                  <w:tcW w:w="383" w:type="pct"/>
                  <w:noWrap w:val="0"/>
                  <w:vAlign w:val="center"/>
                </w:tcPr>
                <w:p w14:paraId="6652A821">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rPr>
                    <w:t>聚乙烯</w:t>
                  </w:r>
                </w:p>
              </w:tc>
              <w:tc>
                <w:tcPr>
                  <w:tcW w:w="385" w:type="pct"/>
                  <w:noWrap w:val="0"/>
                  <w:vAlign w:val="center"/>
                </w:tcPr>
                <w:p w14:paraId="4C4D870A">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一年</w:t>
                  </w:r>
                </w:p>
              </w:tc>
              <w:tc>
                <w:tcPr>
                  <w:tcW w:w="676" w:type="pct"/>
                  <w:vMerge w:val="continue"/>
                  <w:noWrap w:val="0"/>
                  <w:vAlign w:val="top"/>
                </w:tcPr>
                <w:p w14:paraId="4EDCDC4D">
                  <w:pPr>
                    <w:pStyle w:val="68"/>
                    <w:keepNext w:val="0"/>
                    <w:keepLines w:val="0"/>
                    <w:suppressLineNumbers w:val="0"/>
                    <w:spacing w:before="0" w:beforeAutospacing="0" w:after="0" w:afterAutospacing="0"/>
                    <w:ind w:right="0"/>
                    <w:rPr>
                      <w:rFonts w:hint="eastAsia"/>
                      <w:color w:val="auto"/>
                    </w:rPr>
                  </w:pPr>
                </w:p>
              </w:tc>
            </w:tr>
            <w:tr w14:paraId="41669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noWrap w:val="0"/>
                  <w:vAlign w:val="center"/>
                </w:tcPr>
                <w:p w14:paraId="2C1C7447">
                  <w:pPr>
                    <w:pStyle w:val="68"/>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3</w:t>
                  </w:r>
                </w:p>
              </w:tc>
              <w:tc>
                <w:tcPr>
                  <w:tcW w:w="414" w:type="pct"/>
                  <w:noWrap w:val="0"/>
                  <w:vAlign w:val="center"/>
                </w:tcPr>
                <w:p w14:paraId="2BFC29C8">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highlight w:val="none"/>
                      <w:shd w:val="clear" w:color="auto" w:fill="FFFFFF"/>
                      <w:lang w:val="en-US" w:eastAsia="zh-CN"/>
                    </w:rPr>
                  </w:pPr>
                  <w:r>
                    <w:rPr>
                      <w:rFonts w:hint="eastAsia"/>
                      <w:color w:val="auto"/>
                      <w:lang w:val="en-US" w:eastAsia="zh-CN"/>
                    </w:rPr>
                    <w:t>废油桶</w:t>
                  </w:r>
                </w:p>
              </w:tc>
              <w:tc>
                <w:tcPr>
                  <w:tcW w:w="523" w:type="pct"/>
                  <w:noWrap w:val="0"/>
                  <w:vAlign w:val="center"/>
                </w:tcPr>
                <w:p w14:paraId="309B3E82">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HW08</w:t>
                  </w:r>
                  <w:r>
                    <w:rPr>
                      <w:rFonts w:hint="eastAsia"/>
                      <w:color w:val="auto"/>
                    </w:rPr>
                    <w:t>废矿物油与含矿物油废物</w:t>
                  </w:r>
                </w:p>
              </w:tc>
              <w:tc>
                <w:tcPr>
                  <w:tcW w:w="809" w:type="pct"/>
                  <w:noWrap w:val="0"/>
                  <w:vAlign w:val="center"/>
                </w:tcPr>
                <w:p w14:paraId="360A4ABA">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900-</w:t>
                  </w:r>
                  <w:r>
                    <w:rPr>
                      <w:rFonts w:hint="eastAsia"/>
                      <w:color w:val="auto"/>
                      <w:lang w:val="en-US" w:eastAsia="zh-CN"/>
                    </w:rPr>
                    <w:t>249</w:t>
                  </w:r>
                  <w:r>
                    <w:rPr>
                      <w:rFonts w:hint="default"/>
                      <w:color w:val="auto"/>
                    </w:rPr>
                    <w:t>-08</w:t>
                  </w:r>
                </w:p>
              </w:tc>
              <w:tc>
                <w:tcPr>
                  <w:tcW w:w="394" w:type="pct"/>
                  <w:noWrap w:val="0"/>
                  <w:vAlign w:val="center"/>
                </w:tcPr>
                <w:p w14:paraId="0C2EE066">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0.1</w:t>
                  </w:r>
                </w:p>
              </w:tc>
              <w:tc>
                <w:tcPr>
                  <w:tcW w:w="461" w:type="pct"/>
                  <w:noWrap w:val="0"/>
                  <w:vAlign w:val="center"/>
                </w:tcPr>
                <w:p w14:paraId="37E77144">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ascii="Times New Roman" w:hAnsi="Times New Roman" w:eastAsia="宋体" w:cs="Times New Roman"/>
                      <w:color w:val="auto"/>
                      <w:sz w:val="21"/>
                      <w:szCs w:val="21"/>
                      <w:highlight w:val="none"/>
                      <w:vertAlign w:val="baseline"/>
                      <w:lang w:val="en-US" w:eastAsia="zh-CN"/>
                    </w:rPr>
                    <w:t>柴油储</w:t>
                  </w:r>
                  <w:r>
                    <w:rPr>
                      <w:rFonts w:hint="eastAsia" w:ascii="Times New Roman" w:hAnsi="Times New Roman" w:eastAsia="宋体" w:cs="Times New Roman"/>
                      <w:color w:val="auto"/>
                      <w:sz w:val="21"/>
                      <w:szCs w:val="21"/>
                      <w:highlight w:val="none"/>
                      <w:vertAlign w:val="baseline"/>
                      <w:lang w:val="en-US" w:eastAsia="zh-CN"/>
                    </w:rPr>
                    <w:t>存</w:t>
                  </w:r>
                </w:p>
              </w:tc>
              <w:tc>
                <w:tcPr>
                  <w:tcW w:w="285" w:type="pct"/>
                  <w:noWrap w:val="0"/>
                  <w:vAlign w:val="center"/>
                </w:tcPr>
                <w:p w14:paraId="4A8C58A7">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固态</w:t>
                  </w:r>
                </w:p>
              </w:tc>
              <w:tc>
                <w:tcPr>
                  <w:tcW w:w="383" w:type="pct"/>
                  <w:noWrap w:val="0"/>
                  <w:vAlign w:val="center"/>
                </w:tcPr>
                <w:p w14:paraId="5DA7E67F">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烃类</w:t>
                  </w:r>
                </w:p>
              </w:tc>
              <w:tc>
                <w:tcPr>
                  <w:tcW w:w="383" w:type="pct"/>
                  <w:noWrap w:val="0"/>
                  <w:vAlign w:val="center"/>
                </w:tcPr>
                <w:p w14:paraId="1C091F06">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一年</w:t>
                  </w:r>
                </w:p>
              </w:tc>
              <w:tc>
                <w:tcPr>
                  <w:tcW w:w="385" w:type="pct"/>
                  <w:noWrap w:val="0"/>
                  <w:vAlign w:val="center"/>
                </w:tcPr>
                <w:p w14:paraId="34392764">
                  <w:pPr>
                    <w:pStyle w:val="68"/>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w:t>
                  </w:r>
                </w:p>
              </w:tc>
              <w:tc>
                <w:tcPr>
                  <w:tcW w:w="676" w:type="pct"/>
                  <w:vMerge w:val="continue"/>
                  <w:noWrap w:val="0"/>
                  <w:vAlign w:val="top"/>
                </w:tcPr>
                <w:p w14:paraId="42F7B4D0">
                  <w:pPr>
                    <w:pStyle w:val="68"/>
                    <w:keepNext w:val="0"/>
                    <w:keepLines w:val="0"/>
                    <w:suppressLineNumbers w:val="0"/>
                    <w:spacing w:before="0" w:beforeAutospacing="0" w:after="0" w:afterAutospacing="0"/>
                    <w:ind w:right="0"/>
                    <w:rPr>
                      <w:rFonts w:hint="eastAsia"/>
                      <w:color w:val="auto"/>
                    </w:rPr>
                  </w:pPr>
                </w:p>
              </w:tc>
            </w:tr>
          </w:tbl>
          <w:p w14:paraId="2E42050E">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4.5</w:t>
            </w:r>
            <w:r>
              <w:rPr>
                <w:rFonts w:hint="eastAsia"/>
                <w:color w:val="auto"/>
              </w:rPr>
              <w:t>施工期生态环境影响分析</w:t>
            </w:r>
          </w:p>
          <w:p w14:paraId="61245417">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4.5.1</w:t>
            </w:r>
            <w:r>
              <w:rPr>
                <w:rFonts w:hint="default"/>
                <w:color w:val="auto"/>
              </w:rPr>
              <w:t>对土壤及土地利用的影响</w:t>
            </w:r>
          </w:p>
          <w:p w14:paraId="565CB1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宋体" w:hAnsi="宋体" w:cs="宋体"/>
                <w:color w:val="auto"/>
              </w:rPr>
            </w:pPr>
            <w:r>
              <w:rPr>
                <w:rFonts w:hint="default" w:ascii="Times New Roman" w:hAnsi="Times New Roman" w:cs="Times New Roman"/>
                <w:color w:val="auto"/>
              </w:rPr>
              <w:t>本项目占地性质属于临时占地，探</w:t>
            </w:r>
            <w:r>
              <w:rPr>
                <w:rFonts w:hint="default" w:ascii="Times New Roman" w:hAnsi="Times New Roman" w:cs="Times New Roman"/>
                <w:i w:val="0"/>
                <w:iCs w:val="0"/>
                <w:color w:val="auto"/>
                <w:highlight w:val="none"/>
              </w:rPr>
              <w:t>矿道路、</w:t>
            </w:r>
            <w:r>
              <w:rPr>
                <w:rFonts w:hint="eastAsia" w:ascii="Times New Roman" w:hAnsi="Times New Roman" w:cs="Times New Roman"/>
                <w:i w:val="0"/>
                <w:iCs w:val="0"/>
                <w:color w:val="auto"/>
                <w:highlight w:val="none"/>
              </w:rPr>
              <w:t>探槽</w:t>
            </w:r>
            <w:r>
              <w:rPr>
                <w:rFonts w:hint="default" w:ascii="Times New Roman" w:hAnsi="Times New Roman" w:cs="Times New Roman"/>
                <w:i w:val="0"/>
                <w:iCs w:val="0"/>
                <w:color w:val="auto"/>
                <w:highlight w:val="none"/>
              </w:rPr>
              <w:t>均为临</w:t>
            </w:r>
            <w:r>
              <w:rPr>
                <w:rFonts w:hint="default" w:ascii="Times New Roman" w:hAnsi="Times New Roman" w:cs="Times New Roman"/>
                <w:color w:val="auto"/>
              </w:rPr>
              <w:t>时占地</w:t>
            </w:r>
            <w:r>
              <w:rPr>
                <w:rFonts w:hint="eastAsia" w:ascii="Times New Roman" w:hAnsi="Times New Roman" w:cs="Times New Roman"/>
                <w:color w:val="auto"/>
                <w:lang w:eastAsia="zh-CN"/>
              </w:rPr>
              <w:t>。</w:t>
            </w:r>
            <w:r>
              <w:rPr>
                <w:rFonts w:hint="default" w:ascii="宋体" w:hAnsi="宋体" w:cs="宋体"/>
                <w:color w:val="auto"/>
              </w:rPr>
              <w:t>工程占地点状分布，面积较小，探矿结束后进行土地平整后，对区域土地利用影响较小。</w:t>
            </w:r>
            <w:r>
              <w:rPr>
                <w:rFonts w:hint="eastAsia" w:ascii="Times New Roman" w:hAnsi="Times New Roman" w:cs="Times New Roman"/>
                <w:color w:val="auto"/>
              </w:rPr>
              <w:t>建设期工程对土壤的影响主要表现为对土壤理化性质、土壤肥力的影响和土壤污染三个方面</w:t>
            </w:r>
            <w:r>
              <w:rPr>
                <w:rFonts w:hint="default" w:ascii="宋体" w:hAnsi="宋体" w:cs="宋体"/>
                <w:color w:val="auto"/>
              </w:rPr>
              <w:t>。</w:t>
            </w:r>
          </w:p>
          <w:p w14:paraId="145341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①土壤理化性质影响</w:t>
            </w:r>
          </w:p>
          <w:p w14:paraId="5B7F3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施工过程中，土石方开挖、堆放、回填及材料堆放、人工</w:t>
            </w:r>
            <w:r>
              <w:rPr>
                <w:rFonts w:hint="eastAsia" w:ascii="Times New Roman" w:hAnsi="Times New Roman" w:cs="Times New Roman"/>
                <w:color w:val="auto"/>
                <w:lang w:eastAsia="zh-CN"/>
              </w:rPr>
              <w:t>踩踏</w:t>
            </w:r>
            <w:r>
              <w:rPr>
                <w:rFonts w:hint="eastAsia" w:ascii="Times New Roman" w:hAnsi="Times New Roman" w:cs="Times New Roman"/>
                <w:color w:val="auto"/>
              </w:rPr>
              <w:t>、机械设备碾压等活动对土壤理化性质影响较大。</w:t>
            </w:r>
          </w:p>
          <w:p w14:paraId="4AC6E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A</w:t>
            </w:r>
            <w:r>
              <w:rPr>
                <w:rFonts w:hint="eastAsia" w:ascii="Times New Roman" w:hAnsi="Times New Roman" w:cs="Times New Roman"/>
                <w:color w:val="auto"/>
                <w:lang w:eastAsia="zh-CN"/>
              </w:rPr>
              <w:t>.</w:t>
            </w:r>
            <w:r>
              <w:rPr>
                <w:rFonts w:hint="eastAsia" w:ascii="Times New Roman" w:hAnsi="Times New Roman" w:cs="Times New Roman"/>
                <w:color w:val="auto"/>
              </w:rPr>
              <w:t>扰乱土壤表层，破坏土壤结构</w:t>
            </w:r>
          </w:p>
          <w:p w14:paraId="33A90F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土壤表层肥力集中、腐殖质含量高、水分相对优越，土壤表层土层松软，团粒结构发达。地表开挖必定扰乱和破坏土壤表层，除开挖处受到直接的破坏外，挖出土方的堆放将直接占压开挖处附近的土地，破坏土壤表层及其结构。由于表层的团粒结构是经过较长的历史时期形成的，一旦遭到破坏，短期内难以恢复。因此，施工过程中，对土壤表层的影响最为严重。</w:t>
            </w:r>
          </w:p>
          <w:p w14:paraId="5D57503C">
            <w:pPr>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rPr>
                <w:rFonts w:hint="default" w:ascii="Times New Roman" w:hAnsi="Times New Roman" w:cs="Times New Roman"/>
                <w:color w:val="auto"/>
              </w:rPr>
            </w:pPr>
            <w:r>
              <w:rPr>
                <w:rFonts w:hint="eastAsia" w:ascii="Times New Roman" w:hAnsi="Times New Roman" w:cs="Times New Roman"/>
                <w:color w:val="auto"/>
              </w:rPr>
              <w:t>B</w:t>
            </w:r>
            <w:r>
              <w:rPr>
                <w:rFonts w:hint="eastAsia" w:ascii="Times New Roman" w:hAnsi="Times New Roman" w:cs="Times New Roman"/>
                <w:color w:val="auto"/>
                <w:lang w:eastAsia="zh-CN"/>
              </w:rPr>
              <w:t>.</w:t>
            </w:r>
            <w:r>
              <w:rPr>
                <w:rFonts w:hint="eastAsia" w:ascii="Times New Roman" w:hAnsi="Times New Roman" w:cs="Times New Roman"/>
                <w:color w:val="auto"/>
              </w:rPr>
              <w:t>混合土壤层次，改变土体构型</w:t>
            </w:r>
          </w:p>
          <w:p w14:paraId="645A44D0">
            <w:pPr>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rPr>
                <w:rFonts w:hint="default" w:ascii="Times New Roman" w:hAnsi="Times New Roman" w:cs="Times New Roman"/>
                <w:color w:val="auto"/>
              </w:rPr>
            </w:pPr>
            <w:r>
              <w:rPr>
                <w:rFonts w:hint="eastAsia" w:ascii="Times New Roman" w:hAnsi="Times New Roman" w:cs="Times New Roman"/>
                <w:color w:val="auto"/>
              </w:rPr>
              <w:t>施工</w:t>
            </w:r>
            <w:r>
              <w:rPr>
                <w:rFonts w:hint="eastAsia" w:cs="Times New Roman"/>
                <w:color w:val="auto"/>
                <w:lang w:eastAsia="zh-CN"/>
              </w:rPr>
              <w:t>期间</w:t>
            </w:r>
            <w:r>
              <w:rPr>
                <w:rFonts w:hint="eastAsia" w:ascii="Times New Roman" w:hAnsi="Times New Roman" w:cs="Times New Roman"/>
                <w:color w:val="auto"/>
              </w:rPr>
              <w:t>的土石方开挖与回填，使原土壤层次混合，原土体构型破坏。土体构型的破坏，将改变土体中物质和能量的运动变化规律，使表层通气透水性变差，使亚表层保水、保肥性能降低。</w:t>
            </w:r>
          </w:p>
          <w:p w14:paraId="2A42FC90">
            <w:pPr>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rPr>
                <w:rFonts w:hint="default" w:ascii="Times New Roman" w:hAnsi="Times New Roman" w:cs="Times New Roman"/>
                <w:color w:val="auto"/>
              </w:rPr>
            </w:pPr>
            <w:r>
              <w:rPr>
                <w:rFonts w:hint="eastAsia" w:ascii="Times New Roman" w:hAnsi="Times New Roman" w:cs="Times New Roman"/>
                <w:color w:val="auto"/>
              </w:rPr>
              <w:t>C</w:t>
            </w:r>
            <w:r>
              <w:rPr>
                <w:rFonts w:hint="eastAsia" w:ascii="Times New Roman" w:hAnsi="Times New Roman" w:cs="Times New Roman"/>
                <w:color w:val="auto"/>
                <w:lang w:eastAsia="zh-CN"/>
              </w:rPr>
              <w:t>.</w:t>
            </w:r>
            <w:r>
              <w:rPr>
                <w:rFonts w:hint="eastAsia" w:ascii="Times New Roman" w:hAnsi="Times New Roman" w:cs="Times New Roman"/>
                <w:color w:val="auto"/>
              </w:rPr>
              <w:t>影响土壤紧实度</w:t>
            </w:r>
          </w:p>
          <w:p w14:paraId="24BE59C3">
            <w:pPr>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rPr>
                <w:rFonts w:hint="default" w:ascii="Times New Roman" w:hAnsi="Times New Roman" w:cs="Times New Roman"/>
                <w:color w:val="auto"/>
              </w:rPr>
            </w:pPr>
            <w:r>
              <w:rPr>
                <w:rFonts w:hint="eastAsia" w:ascii="Times New Roman" w:hAnsi="Times New Roman" w:cs="Times New Roman"/>
                <w:color w:val="auto"/>
              </w:rPr>
              <w:t>施工机械碾压，尤其在坡度较大的地段，将大大改变土壤的紧实程度，与原有的上松下紧结构相比，极不利于土壤的通气、透水作用，甚至导致压实地段的地表寸草不生，形成局部人工荒漠化现象。</w:t>
            </w:r>
          </w:p>
          <w:p w14:paraId="57AC02E1">
            <w:pPr>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rPr>
                <w:rFonts w:hint="default" w:ascii="Times New Roman" w:hAnsi="Times New Roman" w:cs="Times New Roman"/>
                <w:color w:val="auto"/>
              </w:rPr>
            </w:pPr>
            <w:r>
              <w:rPr>
                <w:rFonts w:hint="eastAsia" w:ascii="Times New Roman" w:hAnsi="Times New Roman" w:cs="Times New Roman"/>
                <w:color w:val="auto"/>
              </w:rPr>
              <w:t>②土壤肥力影响</w:t>
            </w:r>
          </w:p>
          <w:p w14:paraId="2D017403">
            <w:pPr>
              <w:keepNext w:val="0"/>
              <w:keepLines w:val="0"/>
              <w:pageBreakBefore w:val="0"/>
              <w:suppressLineNumbers w:val="0"/>
              <w:kinsoku/>
              <w:wordWrap/>
              <w:overflowPunct/>
              <w:topLinePunct w:val="0"/>
              <w:autoSpaceDE/>
              <w:autoSpaceDN/>
              <w:bidi w:val="0"/>
              <w:spacing w:before="0" w:beforeAutospacing="0" w:after="0" w:afterAutospacing="0" w:line="500" w:lineRule="exact"/>
              <w:ind w:left="0" w:right="0"/>
              <w:rPr>
                <w:rFonts w:hint="default" w:ascii="Times New Roman" w:hAnsi="Times New Roman" w:cs="Times New Roman"/>
                <w:color w:val="auto"/>
              </w:rPr>
            </w:pPr>
            <w:r>
              <w:rPr>
                <w:rFonts w:hint="eastAsia" w:ascii="Times New Roman" w:hAnsi="Times New Roman" w:cs="Times New Roman"/>
                <w:color w:val="auto"/>
              </w:rPr>
              <w:t>土壤中的有机质、氮、磷、钾等养分含量，均表现为表土层远高于心土层；施工期土石方的开挖与回填，将扰动甚至打乱原土体构型，使土壤肥力状况受到较大的影响。据资料统计，即使在实行分层堆放、分层回填措施下，土壤的有机质也将下降</w:t>
            </w:r>
            <w:r>
              <w:rPr>
                <w:rFonts w:hint="eastAsia" w:ascii="Times New Roman" w:hAnsi="Times New Roman" w:cs="Times New Roman"/>
                <w:color w:val="auto"/>
                <w:lang w:eastAsia="zh-CN"/>
              </w:rPr>
              <w:t>36.2%～46.5%</w:t>
            </w:r>
            <w:r>
              <w:rPr>
                <w:rFonts w:hint="eastAsia" w:ascii="Times New Roman" w:hAnsi="Times New Roman" w:cs="Times New Roman"/>
                <w:color w:val="auto"/>
              </w:rPr>
              <w:t>左右，氮下降</w:t>
            </w:r>
            <w:r>
              <w:rPr>
                <w:rFonts w:hint="eastAsia" w:ascii="Times New Roman" w:hAnsi="Times New Roman" w:cs="Times New Roman"/>
                <w:color w:val="auto"/>
                <w:lang w:eastAsia="zh-CN"/>
              </w:rPr>
              <w:t>27%～50.6%</w:t>
            </w:r>
            <w:r>
              <w:rPr>
                <w:rFonts w:hint="eastAsia" w:ascii="Times New Roman" w:hAnsi="Times New Roman" w:cs="Times New Roman"/>
                <w:color w:val="auto"/>
              </w:rPr>
              <w:t>，磷下降</w:t>
            </w:r>
            <w:r>
              <w:rPr>
                <w:rFonts w:hint="eastAsia" w:ascii="Times New Roman" w:hAnsi="Times New Roman" w:cs="Times New Roman"/>
                <w:color w:val="auto"/>
                <w:lang w:eastAsia="zh-CN"/>
              </w:rPr>
              <w:t>13.9%～46.0%</w:t>
            </w:r>
            <w:r>
              <w:rPr>
                <w:rFonts w:hint="eastAsia" w:ascii="Times New Roman" w:hAnsi="Times New Roman" w:cs="Times New Roman"/>
                <w:color w:val="auto"/>
              </w:rPr>
              <w:t>，钾下降</w:t>
            </w:r>
            <w:r>
              <w:rPr>
                <w:rFonts w:hint="eastAsia" w:ascii="Times New Roman" w:hAnsi="Times New Roman" w:cs="Times New Roman"/>
                <w:color w:val="auto"/>
                <w:lang w:eastAsia="zh-CN"/>
              </w:rPr>
              <w:t>9.1%～32.5%</w:t>
            </w:r>
            <w:r>
              <w:rPr>
                <w:rFonts w:hint="eastAsia" w:ascii="Times New Roman" w:hAnsi="Times New Roman" w:cs="Times New Roman"/>
                <w:color w:val="auto"/>
              </w:rPr>
              <w:t>。因此评价要求在土石方开挖、回填过程中，必须严格对表层土实行分层堆放和分层回填，最大限度</w:t>
            </w:r>
            <w:r>
              <w:rPr>
                <w:rFonts w:hint="eastAsia" w:ascii="Times New Roman" w:hAnsi="Times New Roman" w:cs="Times New Roman"/>
                <w:color w:val="auto"/>
                <w:lang w:eastAsia="zh-CN"/>
              </w:rPr>
              <w:t>地</w:t>
            </w:r>
            <w:r>
              <w:rPr>
                <w:rFonts w:hint="eastAsia" w:ascii="Times New Roman" w:hAnsi="Times New Roman" w:cs="Times New Roman"/>
                <w:color w:val="auto"/>
              </w:rPr>
              <w:t>减小对土壤肥力的影响。</w:t>
            </w:r>
          </w:p>
          <w:p w14:paraId="6E1A6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③土壤污染影响</w:t>
            </w:r>
          </w:p>
          <w:p w14:paraId="6A0B2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施工过程中将产生建筑施工垃圾、生活垃圾和污水，若不集中收集妥善处置，难以生物降解的固体废物残留于土壤中，将污染土壤表层。评价要求施工时必须对固体废物实施管理措施，进行统一回收和处置。</w:t>
            </w:r>
          </w:p>
          <w:p w14:paraId="49A2C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default" w:ascii="Times New Roman" w:hAnsi="Times New Roman" w:cs="Times New Roman"/>
                <w:color w:val="auto"/>
              </w:rPr>
              <w:t>总体而言，本工程所在区域土地开发强度较</w:t>
            </w:r>
            <w:r>
              <w:rPr>
                <w:rFonts w:hint="eastAsia" w:ascii="Times New Roman" w:hAnsi="Times New Roman" w:cs="Times New Roman"/>
                <w:color w:val="auto"/>
              </w:rPr>
              <w:t>小</w:t>
            </w:r>
            <w:r>
              <w:rPr>
                <w:rFonts w:hint="default" w:ascii="Times New Roman" w:hAnsi="Times New Roman" w:cs="Times New Roman"/>
                <w:color w:val="auto"/>
              </w:rPr>
              <w:t>，项目占用土地量相对</w:t>
            </w:r>
            <w:r>
              <w:rPr>
                <w:rFonts w:hint="eastAsia" w:ascii="Times New Roman" w:hAnsi="Times New Roman" w:cs="Times New Roman"/>
                <w:color w:val="auto"/>
              </w:rPr>
              <w:t>较小</w:t>
            </w:r>
            <w:r>
              <w:rPr>
                <w:rFonts w:hint="default" w:ascii="Times New Roman" w:hAnsi="Times New Roman" w:cs="Times New Roman"/>
                <w:color w:val="auto"/>
              </w:rPr>
              <w:t>，对土地利用的影响较小。</w:t>
            </w:r>
          </w:p>
          <w:p w14:paraId="493EC39F">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szCs w:val="24"/>
              </w:rPr>
            </w:pPr>
            <w:r>
              <w:rPr>
                <w:rFonts w:hint="eastAsia"/>
                <w:color w:val="auto"/>
                <w:lang w:val="en-US" w:eastAsia="zh-CN"/>
              </w:rPr>
              <w:t>4.5.2</w:t>
            </w:r>
            <w:r>
              <w:rPr>
                <w:rFonts w:hint="default"/>
                <w:color w:val="auto"/>
              </w:rPr>
              <w:t>对植被与动物</w:t>
            </w:r>
            <w:r>
              <w:rPr>
                <w:rFonts w:hint="default"/>
                <w:color w:val="auto"/>
                <w:szCs w:val="24"/>
              </w:rPr>
              <w:t>的影响</w:t>
            </w:r>
          </w:p>
          <w:p w14:paraId="64F86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项目所在区域为</w:t>
            </w:r>
            <w:r>
              <w:rPr>
                <w:rFonts w:hint="eastAsia" w:ascii="Times New Roman" w:hAnsi="Times New Roman" w:cs="Times New Roman"/>
                <w:color w:val="auto"/>
                <w:lang w:val="en-US" w:eastAsia="zh-CN"/>
              </w:rPr>
              <w:t>荒漠植被覆盖率较低</w:t>
            </w:r>
            <w:r>
              <w:rPr>
                <w:rFonts w:hint="eastAsia" w:ascii="Times New Roman" w:hAnsi="Times New Roman" w:cs="Times New Roman"/>
                <w:color w:val="auto"/>
              </w:rPr>
              <w:t>，无</w:t>
            </w:r>
            <w:r>
              <w:rPr>
                <w:rFonts w:hint="default" w:ascii="Times New Roman" w:hAnsi="Times New Roman" w:cs="Times New Roman"/>
                <w:snapToGrid w:val="0"/>
                <w:color w:val="auto"/>
              </w:rPr>
              <w:t>珍稀濒危动植物存在</w:t>
            </w:r>
            <w:r>
              <w:rPr>
                <w:rFonts w:hint="eastAsia" w:ascii="Times New Roman" w:hAnsi="Times New Roman" w:cs="Times New Roman"/>
                <w:snapToGrid w:val="0"/>
                <w:color w:val="auto"/>
              </w:rPr>
              <w:t>。</w:t>
            </w:r>
          </w:p>
          <w:p w14:paraId="24D1A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1</w:t>
            </w:r>
            <w:r>
              <w:rPr>
                <w:rFonts w:hint="eastAsia" w:ascii="Times New Roman" w:hAnsi="Times New Roman" w:cs="Times New Roman"/>
                <w:color w:val="auto"/>
                <w:lang w:eastAsia="zh-CN"/>
              </w:rPr>
              <w:t>）</w:t>
            </w:r>
            <w:r>
              <w:rPr>
                <w:rFonts w:hint="default" w:ascii="Times New Roman" w:hAnsi="Times New Roman" w:cs="Times New Roman"/>
                <w:color w:val="auto"/>
              </w:rPr>
              <w:t>植被</w:t>
            </w:r>
          </w:p>
          <w:p w14:paraId="58156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本项目建设过程中，进行</w:t>
            </w:r>
            <w:r>
              <w:rPr>
                <w:rFonts w:hint="eastAsia" w:ascii="Times New Roman" w:hAnsi="Times New Roman" w:cs="Times New Roman"/>
                <w:color w:val="auto"/>
                <w:lang w:val="en-US" w:eastAsia="zh-CN"/>
              </w:rPr>
              <w:t>槽探</w:t>
            </w:r>
            <w:r>
              <w:rPr>
                <w:rFonts w:hint="default" w:ascii="Times New Roman" w:hAnsi="Times New Roman" w:cs="Times New Roman"/>
                <w:color w:val="auto"/>
              </w:rPr>
              <w:t>时将破坏原有的地形地貌，使地表裸露，施工过程中</w:t>
            </w:r>
            <w:r>
              <w:rPr>
                <w:rFonts w:hint="eastAsia" w:ascii="Times New Roman" w:hAnsi="Times New Roman" w:cs="Times New Roman"/>
                <w:color w:val="auto"/>
                <w:lang w:val="en-US" w:eastAsia="zh-CN"/>
              </w:rPr>
              <w:t>土方</w:t>
            </w:r>
            <w:r>
              <w:rPr>
                <w:rFonts w:hint="default" w:ascii="Times New Roman" w:hAnsi="Times New Roman" w:cs="Times New Roman"/>
                <w:color w:val="auto"/>
              </w:rPr>
              <w:t>等均要破坏植被，从而使</w:t>
            </w:r>
            <w:r>
              <w:rPr>
                <w:rFonts w:hint="eastAsia" w:ascii="Times New Roman" w:hAnsi="Times New Roman" w:cs="Times New Roman"/>
                <w:color w:val="auto"/>
              </w:rPr>
              <w:t>项目</w:t>
            </w:r>
            <w:r>
              <w:rPr>
                <w:rFonts w:hint="default" w:ascii="Times New Roman" w:hAnsi="Times New Roman" w:cs="Times New Roman"/>
                <w:color w:val="auto"/>
              </w:rPr>
              <w:t>区的生物量有所减少。但随着施工期结束</w:t>
            </w:r>
            <w:r>
              <w:rPr>
                <w:rFonts w:hint="eastAsia" w:ascii="Times New Roman" w:hAnsi="Times New Roman" w:cs="Times New Roman"/>
                <w:color w:val="auto"/>
              </w:rPr>
              <w:t>和</w:t>
            </w:r>
            <w:r>
              <w:rPr>
                <w:rFonts w:hint="default" w:ascii="Times New Roman" w:hAnsi="Times New Roman" w:cs="Times New Roman"/>
                <w:color w:val="auto"/>
              </w:rPr>
              <w:t>人工恢复，</w:t>
            </w:r>
            <w:r>
              <w:rPr>
                <w:rFonts w:hint="eastAsia" w:ascii="Times New Roman" w:hAnsi="Times New Roman" w:cs="Times New Roman"/>
                <w:color w:val="auto"/>
              </w:rPr>
              <w:t>本项目</w:t>
            </w:r>
            <w:r>
              <w:rPr>
                <w:rFonts w:hint="default" w:ascii="Times New Roman" w:hAnsi="Times New Roman" w:cs="Times New Roman"/>
                <w:color w:val="auto"/>
              </w:rPr>
              <w:t>建设对其造成的影响将逐步减弱。</w:t>
            </w:r>
          </w:p>
          <w:p w14:paraId="0F239CEF">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lang w:eastAsia="zh-CN"/>
              </w:rPr>
            </w:pPr>
            <w:r>
              <w:rPr>
                <w:rFonts w:hint="eastAsia" w:ascii="Times New Roman" w:hAnsi="Times New Roman" w:cs="Times New Roman"/>
                <w:color w:val="auto"/>
              </w:rPr>
              <w:t>本</w:t>
            </w:r>
            <w:r>
              <w:rPr>
                <w:rFonts w:hint="default" w:ascii="Times New Roman" w:hAnsi="Times New Roman" w:cs="Times New Roman"/>
                <w:color w:val="auto"/>
              </w:rPr>
              <w:t>项目施工期间，由于开挖土石方及各种施工机械、运输车辆进入施工现场，以及在施工中产生的扬尘和运输车辆排放尾气对附近植被产生一定的影响，部分粉尘沉降在植物叶片表面，降低植物的光合与呼吸作用，进而对植物生长发育产生一定的影响</w:t>
            </w:r>
            <w:r>
              <w:rPr>
                <w:rFonts w:hint="eastAsia" w:ascii="Times New Roman" w:hAnsi="Times New Roman" w:cs="Times New Roman"/>
                <w:color w:val="auto"/>
                <w:lang w:eastAsia="zh-CN"/>
              </w:rPr>
              <w:t>。</w:t>
            </w:r>
          </w:p>
          <w:p w14:paraId="17187F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生物损失量</w:t>
            </w:r>
            <w:r>
              <w:rPr>
                <w:rFonts w:hint="eastAsia" w:ascii="Times New Roman" w:hAnsi="Times New Roman" w:eastAsia="宋体" w:cs="Times New Roman"/>
                <w:color w:val="auto"/>
                <w:sz w:val="24"/>
                <w:szCs w:val="24"/>
                <w:highlight w:val="none"/>
                <w:lang w:val="en-US" w:eastAsia="zh-CN"/>
              </w:rPr>
              <w:t>分析：</w:t>
            </w:r>
          </w:p>
          <w:p w14:paraId="3F7A949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both"/>
              <w:textAlignment w:val="auto"/>
              <w:outlineLvl w:val="9"/>
              <w:rPr>
                <w:rFonts w:hint="eastAsia" w:ascii="Times New Roman" w:hAnsi="Times New Roman" w:eastAsia="宋体" w:cs="Times New Roman"/>
                <w:color w:val="auto"/>
                <w:sz w:val="24"/>
                <w:szCs w:val="24"/>
                <w:highlight w:val="yellow"/>
                <w:lang w:val="en-US" w:eastAsia="zh-CN"/>
              </w:rPr>
            </w:pPr>
            <w:r>
              <w:rPr>
                <w:rFonts w:hint="eastAsia" w:ascii="Times New Roman" w:hAnsi="Times New Roman" w:eastAsia="宋体" w:cs="Times New Roman"/>
                <w:color w:val="auto"/>
                <w:sz w:val="24"/>
                <w:szCs w:val="24"/>
                <w:highlight w:val="none"/>
                <w:lang w:val="en-US" w:eastAsia="zh-CN"/>
              </w:rPr>
              <w:t>本工程临时占地1.5hm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（临时用地面积为15000m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，其中探矿路面积12500m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lang w:val="en-US" w:eastAsia="zh-CN"/>
              </w:rPr>
              <w:t>施工营地</w:t>
            </w:r>
            <w:r>
              <w:rPr>
                <w:rFonts w:hint="eastAsia" w:ascii="Times New Roman" w:hAnsi="Times New Roman" w:eastAsia="宋体" w:cs="Times New Roman"/>
                <w:color w:val="auto"/>
                <w:sz w:val="24"/>
                <w:szCs w:val="24"/>
                <w:highlight w:val="none"/>
                <w:lang w:val="en-US" w:eastAsia="zh-CN"/>
              </w:rPr>
              <w:t>面积500m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，临时工作区2000m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）主要为矿山</w:t>
            </w:r>
            <w:r>
              <w:rPr>
                <w:rFonts w:hint="eastAsia"/>
                <w:lang w:val="en-US" w:eastAsia="zh-CN"/>
              </w:rPr>
              <w:t>勘查</w:t>
            </w:r>
            <w:r>
              <w:rPr>
                <w:rFonts w:hint="eastAsia" w:ascii="Times New Roman" w:hAnsi="Times New Roman" w:eastAsia="宋体" w:cs="Times New Roman"/>
                <w:color w:val="auto"/>
                <w:sz w:val="24"/>
                <w:szCs w:val="24"/>
                <w:highlight w:val="none"/>
                <w:lang w:val="en-US" w:eastAsia="zh-CN"/>
              </w:rPr>
              <w:t>、车辆运输等人为活动。临时用地会导致生物量损失。生物量损失按下式计算：</w:t>
            </w:r>
          </w:p>
          <w:p w14:paraId="7123DB3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center"/>
              <w:textAlignment w:val="auto"/>
              <w:outlineLvl w:val="9"/>
              <w:rPr>
                <w:rFonts w:hint="eastAsia" w:ascii="Times New Roman" w:hAnsi="Times New Roman" w:eastAsia="宋体" w:cs="Times New Roman"/>
                <w:color w:val="auto"/>
                <w:sz w:val="24"/>
                <w:szCs w:val="24"/>
                <w:highlight w:val="none"/>
                <w:lang w:val="en-US" w:eastAsia="zh-CN"/>
              </w:rPr>
            </w:pPr>
            <m:oMathPara>
              <m:oMath>
                <m:r>
                  <m:rPr>
                    <m:sty m:val="p"/>
                  </m:rPr>
                  <w:rPr>
                    <w:rFonts w:hint="default" w:ascii="Cambria Math" w:hAnsi="Cambria Math" w:cs="Times New Roman"/>
                  </w:rPr>
                  <m:t>Y=Si·Wi</m:t>
                </m:r>
              </m:oMath>
            </m:oMathPara>
          </w:p>
          <w:p w14:paraId="6261C96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both"/>
              <w:textAlignment w:val="auto"/>
              <w:outlineLvl w:val="9"/>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Y———临时性生物量损失，t；</w:t>
            </w:r>
          </w:p>
          <w:p w14:paraId="4091E37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both"/>
              <w:textAlignment w:val="auto"/>
              <w:outlineLvl w:val="9"/>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Si———占地面积，hm²；</w:t>
            </w:r>
          </w:p>
          <w:p w14:paraId="34C05FF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both"/>
              <w:textAlignment w:val="auto"/>
              <w:outlineLvl w:val="9"/>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Wi———单位面积生物量，t/hm²；</w:t>
            </w:r>
          </w:p>
          <w:p w14:paraId="2D09F58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both"/>
              <w:textAlignment w:val="auto"/>
              <w:outlineLvl w:val="9"/>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勘查区范围内无重要交通要道或建筑设施，无自然保护区及旅游景区，区域生物量损失引用《新疆荒漠草地生物量估算及影响因素研究》按每公顷损失0.3892t，工程的实施，将造成约0.5838t临时植被损失。</w:t>
            </w:r>
          </w:p>
          <w:p w14:paraId="42623D3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480" w:firstLineChars="200"/>
              <w:jc w:val="both"/>
              <w:textAlignment w:val="auto"/>
              <w:outlineLvl w:val="9"/>
              <w:rPr>
                <w:rFonts w:hint="eastAsia" w:cs="Times New Roman"/>
                <w:color w:val="auto"/>
                <w:lang w:eastAsia="zh-CN"/>
              </w:rPr>
            </w:pPr>
            <w:r>
              <w:rPr>
                <w:rFonts w:hint="eastAsia" w:ascii="Times New Roman" w:hAnsi="Times New Roman" w:eastAsia="宋体" w:cs="Times New Roman"/>
                <w:color w:val="auto"/>
                <w:sz w:val="24"/>
                <w:szCs w:val="24"/>
                <w:highlight w:val="none"/>
                <w:lang w:val="en-US" w:eastAsia="zh-CN"/>
              </w:rPr>
              <w:t>项目探矿期结束后，其所在区域的生态环境可以基本得到恢复，而且由于地方优势草类的共同生长，会发育形成良好的共栖共生环境而增加该地区的物种多样性。</w:t>
            </w:r>
          </w:p>
          <w:p w14:paraId="4A3A21EA">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2</w:t>
            </w:r>
            <w:r>
              <w:rPr>
                <w:rFonts w:hint="eastAsia" w:ascii="Times New Roman" w:hAnsi="Times New Roman" w:cs="Times New Roman"/>
                <w:color w:val="auto"/>
                <w:lang w:eastAsia="zh-CN"/>
              </w:rPr>
              <w:t>）</w:t>
            </w:r>
            <w:r>
              <w:rPr>
                <w:rFonts w:hint="default" w:ascii="Times New Roman" w:hAnsi="Times New Roman" w:cs="Times New Roman"/>
                <w:color w:val="auto"/>
              </w:rPr>
              <w:t>动物</w:t>
            </w:r>
          </w:p>
          <w:p w14:paraId="237037F9">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本项目位于高寒山区</w:t>
            </w:r>
            <w:r>
              <w:rPr>
                <w:rFonts w:hint="default" w:ascii="Times New Roman" w:hAnsi="Times New Roman" w:cs="Times New Roman"/>
                <w:color w:val="auto"/>
              </w:rPr>
              <w:t>，主要是适应这种环境的常见种类，</w:t>
            </w:r>
            <w:r>
              <w:rPr>
                <w:rFonts w:hint="eastAsia" w:ascii="Times New Roman" w:hAnsi="Times New Roman" w:cs="Times New Roman"/>
                <w:color w:val="auto"/>
              </w:rPr>
              <w:t>未发现</w:t>
            </w:r>
            <w:r>
              <w:rPr>
                <w:rFonts w:hint="default" w:ascii="Times New Roman" w:hAnsi="Times New Roman" w:cs="Times New Roman"/>
                <w:color w:val="auto"/>
              </w:rPr>
              <w:t>珍稀保护野生动物。因此，工程建设对动物的影响</w:t>
            </w:r>
            <w:r>
              <w:rPr>
                <w:rFonts w:hint="eastAsia" w:ascii="Times New Roman" w:hAnsi="Times New Roman" w:cs="Times New Roman"/>
                <w:color w:val="auto"/>
              </w:rPr>
              <w:t>较小</w:t>
            </w:r>
            <w:r>
              <w:rPr>
                <w:rFonts w:hint="default" w:ascii="Times New Roman" w:hAnsi="Times New Roman" w:cs="Times New Roman"/>
                <w:color w:val="auto"/>
              </w:rPr>
              <w:t>。</w:t>
            </w:r>
          </w:p>
          <w:p w14:paraId="340698F2">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4.5.3</w:t>
            </w:r>
            <w:r>
              <w:rPr>
                <w:rFonts w:hint="default"/>
                <w:color w:val="auto"/>
              </w:rPr>
              <w:t>对景观环境的影响</w:t>
            </w:r>
          </w:p>
          <w:p w14:paraId="22EA00C9">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1</w:t>
            </w:r>
            <w:r>
              <w:rPr>
                <w:rFonts w:hint="eastAsia" w:ascii="Times New Roman" w:hAnsi="Times New Roman" w:cs="Times New Roman"/>
                <w:color w:val="auto"/>
                <w:lang w:eastAsia="zh-CN"/>
              </w:rPr>
              <w:t>）</w:t>
            </w:r>
            <w:r>
              <w:rPr>
                <w:rFonts w:hint="default" w:ascii="Times New Roman" w:hAnsi="Times New Roman" w:cs="Times New Roman"/>
                <w:color w:val="auto"/>
              </w:rPr>
              <w:t>主体工程施工对景观环境的影响</w:t>
            </w:r>
          </w:p>
          <w:p w14:paraId="2B00F14F">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由于工程施工对地表植被的破坏和工程区土壤的扰动，在雨季松散裸露的坡面易形成水土流失，导致区域土壤侵蚀模数增大。而在旱季，松散的地表在有风和车辆行驶时易形成扬尘，扬尘覆盖在施</w:t>
            </w:r>
            <w:r>
              <w:rPr>
                <w:rFonts w:hint="eastAsia" w:ascii="Times New Roman" w:hAnsi="Times New Roman" w:cs="Times New Roman"/>
                <w:color w:val="auto"/>
                <w:lang w:eastAsia="zh-CN"/>
              </w:rPr>
              <w:t>工现</w:t>
            </w:r>
            <w:r>
              <w:rPr>
                <w:rFonts w:hint="default" w:ascii="Times New Roman" w:hAnsi="Times New Roman" w:cs="Times New Roman"/>
                <w:color w:val="auto"/>
              </w:rPr>
              <w:t>场植被，使周围景观的美度降低。</w:t>
            </w:r>
          </w:p>
          <w:p w14:paraId="000A9B41">
            <w:pPr>
              <w:pStyle w:val="2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（2）临时工程设施对景观环境的影响</w:t>
            </w:r>
          </w:p>
          <w:p w14:paraId="10490B9B">
            <w:pPr>
              <w:pStyle w:val="2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施工期临时工程设施主要包括施工场地等。根据环境现状调查结果，施工人员在项目用地红线范围内设置施工场地，并及时清理施工场地的污染物后，</w:t>
            </w:r>
            <w:r>
              <w:rPr>
                <w:rFonts w:hint="eastAsia"/>
                <w:lang w:val="en-US" w:eastAsia="zh-CN"/>
              </w:rPr>
              <w:t>恢复原地貌，</w:t>
            </w:r>
            <w:r>
              <w:rPr>
                <w:rFonts w:hint="eastAsia" w:ascii="Times New Roman" w:hAnsi="Times New Roman" w:eastAsia="宋体" w:cs="Times New Roman"/>
                <w:color w:val="auto"/>
                <w:kern w:val="2"/>
                <w:sz w:val="24"/>
                <w:szCs w:val="24"/>
                <w:lang w:val="en-US" w:eastAsia="zh-CN" w:bidi="ar-SA"/>
              </w:rPr>
              <w:t>其对景观环境的影响较小。</w:t>
            </w:r>
          </w:p>
          <w:p w14:paraId="183BE0A6">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4.5.4</w:t>
            </w:r>
            <w:r>
              <w:rPr>
                <w:rFonts w:hint="eastAsia"/>
                <w:color w:val="auto"/>
              </w:rPr>
              <w:t>水土流失影响分析</w:t>
            </w:r>
          </w:p>
          <w:p w14:paraId="1FF26067">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本</w:t>
            </w:r>
            <w:r>
              <w:rPr>
                <w:rFonts w:hint="eastAsia" w:ascii="Times New Roman" w:hAnsi="Times New Roman" w:cs="Times New Roman"/>
                <w:color w:val="auto"/>
                <w:lang w:val="en-US" w:eastAsia="zh-CN"/>
              </w:rPr>
              <w:t>项目</w:t>
            </w:r>
            <w:r>
              <w:rPr>
                <w:rFonts w:hint="eastAsia" w:ascii="Times New Roman" w:hAnsi="Times New Roman" w:cs="Times New Roman"/>
                <w:color w:val="auto"/>
              </w:rPr>
              <w:t>建设过程中人为活动造成水土流失的原因主要是破坏地面表层结构以及大风季节临时堆土对周边环境带来的影响，可能造成的水土流失危害主要有以下几个方面：</w:t>
            </w:r>
          </w:p>
          <w:p w14:paraId="43712FCF">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a.扩大侵蚀面积，加剧水土流失。施工过程将扰动地表、增大地表裸露面积，破坏原有水土保持稳定状态，引起一定程度的水土流失。本项目施工期水土流失类型主要为风力侵蚀，自然恢复期间，水土流失量有所减少。</w:t>
            </w:r>
          </w:p>
          <w:p w14:paraId="0D7776DE">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b.破坏生态环境，对周边地区造成影响。本项目施工期会清除占地范围内植被，对地表结皮造成破坏，可能加剧项目区内的</w:t>
            </w:r>
            <w:r>
              <w:rPr>
                <w:rFonts w:hint="eastAsia" w:ascii="Times New Roman" w:hAnsi="Times New Roman" w:cs="Times New Roman"/>
                <w:color w:val="auto"/>
                <w:lang w:eastAsia="zh-CN"/>
              </w:rPr>
              <w:t>风沙</w:t>
            </w:r>
            <w:r>
              <w:rPr>
                <w:rFonts w:hint="eastAsia" w:ascii="Times New Roman" w:hAnsi="Times New Roman" w:cs="Times New Roman"/>
                <w:color w:val="auto"/>
              </w:rPr>
              <w:t>天气，增加空气中粉尘含量，严重时会形成沙尘暴，造成一定的生态环境破坏。</w:t>
            </w:r>
          </w:p>
          <w:p w14:paraId="59902E67">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c.扰动土地面积、降低风沙土抗侵蚀能力。项目施工建设由于车辆行驶，改变了扰动区域的原地貌、土壤结构和地面物质组成，降低了风沙土壤抗侵蚀能力。本项目开挖面积小，施工期短，土方可做到挖填平衡，无外运，实际新增水土流失量小。本项目考虑将表土采用就近堆放的原则进行临时堆放，并采取临时防护措施，可有效减少水土流失。通过采取以上措施后，项目产生的水土流失量在可接受范围内。</w:t>
            </w:r>
          </w:p>
          <w:p w14:paraId="7D1C5C55">
            <w:pPr>
              <w:pStyle w:val="24"/>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4.5.5</w:t>
            </w:r>
            <w:r>
              <w:rPr>
                <w:rFonts w:hint="eastAsia"/>
                <w:color w:val="auto"/>
              </w:rPr>
              <w:t>生态环境保护措施</w:t>
            </w:r>
          </w:p>
          <w:p w14:paraId="52D6CE64">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项目在施工期间，严格控制施工范围，不得随意增加临时施工占地，道路、地表表土应妥善保存在临时堆场，用于后期复垦覆土，</w:t>
            </w:r>
            <w:r>
              <w:rPr>
                <w:rFonts w:hint="eastAsia" w:ascii="Times New Roman" w:hAnsi="Times New Roman" w:cs="Times New Roman"/>
                <w:color w:val="auto"/>
                <w:lang w:val="en-US" w:eastAsia="zh-CN"/>
              </w:rPr>
              <w:t>挖方</w:t>
            </w:r>
            <w:r>
              <w:rPr>
                <w:rFonts w:hint="eastAsia" w:ascii="Times New Roman" w:hAnsi="Times New Roman" w:cs="Times New Roman"/>
                <w:color w:val="auto"/>
              </w:rPr>
              <w:t>运至临时堆场进行存放，</w:t>
            </w:r>
            <w:r>
              <w:rPr>
                <w:rFonts w:hint="eastAsia" w:ascii="Times New Roman" w:hAnsi="Times New Roman" w:cs="Times New Roman"/>
                <w:color w:val="auto"/>
                <w:lang w:val="en-US" w:eastAsia="zh-CN"/>
              </w:rPr>
              <w:t>施工结束后，全部用于回填，</w:t>
            </w:r>
            <w:r>
              <w:rPr>
                <w:rFonts w:hint="eastAsia" w:ascii="Times New Roman" w:hAnsi="Times New Roman" w:cs="Times New Roman"/>
                <w:color w:val="auto"/>
              </w:rPr>
              <w:t>施工</w:t>
            </w:r>
            <w:r>
              <w:rPr>
                <w:rFonts w:hint="eastAsia" w:cs="Times New Roman"/>
                <w:color w:val="auto"/>
                <w:lang w:eastAsia="zh-CN"/>
              </w:rPr>
              <w:t>期间</w:t>
            </w:r>
            <w:r>
              <w:rPr>
                <w:rFonts w:hint="eastAsia" w:ascii="Times New Roman" w:hAnsi="Times New Roman" w:cs="Times New Roman"/>
                <w:color w:val="auto"/>
                <w:kern w:val="0"/>
                <w:szCs w:val="21"/>
                <w:lang w:val="en-US" w:eastAsia="zh-CN"/>
              </w:rPr>
              <w:t>生活垃圾采用垃圾袋集中收集后定期清运至</w:t>
            </w:r>
            <w:r>
              <w:rPr>
                <w:rFonts w:hint="eastAsia" w:cs="Times New Roman"/>
                <w:color w:val="auto"/>
                <w:lang w:val="en-US" w:eastAsia="zh-CN"/>
              </w:rPr>
              <w:t>就</w:t>
            </w:r>
            <w:r>
              <w:rPr>
                <w:rFonts w:hint="eastAsia" w:ascii="Times New Roman" w:hAnsi="Times New Roman" w:eastAsia="宋体" w:cs="Times New Roman"/>
                <w:color w:val="auto"/>
                <w:lang w:val="en-US" w:eastAsia="zh-CN"/>
              </w:rPr>
              <w:t>近</w:t>
            </w:r>
            <w:r>
              <w:rPr>
                <w:rFonts w:hint="eastAsia" w:ascii="Times New Roman" w:hAnsi="Times New Roman" w:cs="Times New Roman"/>
                <w:color w:val="auto"/>
                <w:kern w:val="0"/>
                <w:szCs w:val="21"/>
                <w:lang w:val="en-US" w:eastAsia="zh-CN"/>
              </w:rPr>
              <w:t>垃圾收集点</w:t>
            </w:r>
            <w:r>
              <w:rPr>
                <w:rFonts w:hint="eastAsia" w:ascii="Times New Roman" w:hAnsi="Times New Roman" w:cs="Times New Roman"/>
                <w:color w:val="auto"/>
              </w:rPr>
              <w:t>，</w:t>
            </w:r>
            <w:r>
              <w:rPr>
                <w:rFonts w:hint="eastAsia" w:ascii="Times New Roman" w:hAnsi="Times New Roman" w:cs="Times New Roman"/>
                <w:color w:val="auto"/>
                <w:lang w:eastAsia="zh-CN"/>
              </w:rPr>
              <w:t>防止</w:t>
            </w:r>
            <w:r>
              <w:rPr>
                <w:rFonts w:hint="eastAsia" w:ascii="Times New Roman" w:hAnsi="Times New Roman" w:cs="Times New Roman"/>
                <w:color w:val="auto"/>
              </w:rPr>
              <w:t>蚊虫、老鼠滋生。</w:t>
            </w:r>
          </w:p>
          <w:p w14:paraId="11D96F6A">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综上，本项目作为</w:t>
            </w:r>
            <w:r>
              <w:rPr>
                <w:rFonts w:hint="eastAsia" w:ascii="Times New Roman" w:hAnsi="Times New Roman" w:cs="Times New Roman"/>
                <w:color w:val="auto"/>
                <w:lang w:val="en-US" w:eastAsia="zh-CN"/>
              </w:rPr>
              <w:t>固体</w:t>
            </w:r>
            <w:r>
              <w:rPr>
                <w:rFonts w:hint="eastAsia" w:ascii="Times New Roman" w:hAnsi="Times New Roman" w:cs="Times New Roman"/>
                <w:color w:val="auto"/>
              </w:rPr>
              <w:t>矿</w:t>
            </w:r>
            <w:r>
              <w:rPr>
                <w:rFonts w:hint="eastAsia"/>
                <w:lang w:val="en-US" w:eastAsia="zh-CN"/>
              </w:rPr>
              <w:t>勘查</w:t>
            </w:r>
            <w:r>
              <w:rPr>
                <w:rFonts w:hint="eastAsia" w:ascii="Times New Roman" w:hAnsi="Times New Roman" w:cs="Times New Roman"/>
                <w:color w:val="auto"/>
              </w:rPr>
              <w:t>工程，其施工量较小，施工期对环境的污染影响主要是粉尘、噪声、废水、土石方以及对建设区的生态破坏等。施工过程中只要严格按照建筑施工规范要求，做到文明</w:t>
            </w:r>
            <w:r>
              <w:rPr>
                <w:rFonts w:hint="eastAsia" w:ascii="Times New Roman" w:hAnsi="Times New Roman" w:cs="Times New Roman"/>
                <w:color w:val="auto"/>
                <w:lang w:val="en-US" w:eastAsia="zh-CN"/>
              </w:rPr>
              <w:t>绿色</w:t>
            </w:r>
            <w:r>
              <w:rPr>
                <w:rFonts w:hint="eastAsia" w:ascii="Times New Roman" w:hAnsi="Times New Roman" w:cs="Times New Roman"/>
                <w:color w:val="auto"/>
              </w:rPr>
              <w:t>施工，施工期产生的</w:t>
            </w:r>
            <w:r>
              <w:rPr>
                <w:rFonts w:hint="eastAsia" w:ascii="Times New Roman" w:hAnsi="Times New Roman" w:cs="Times New Roman"/>
                <w:color w:val="auto"/>
                <w:lang w:eastAsia="zh-CN"/>
              </w:rPr>
              <w:t>“</w:t>
            </w:r>
            <w:r>
              <w:rPr>
                <w:rFonts w:hint="eastAsia" w:ascii="Times New Roman" w:hAnsi="Times New Roman" w:cs="Times New Roman"/>
                <w:color w:val="auto"/>
              </w:rPr>
              <w:t>三废</w:t>
            </w:r>
            <w:r>
              <w:rPr>
                <w:rFonts w:hint="eastAsia" w:ascii="Times New Roman" w:hAnsi="Times New Roman" w:cs="Times New Roman"/>
                <w:color w:val="auto"/>
                <w:lang w:eastAsia="zh-CN"/>
              </w:rPr>
              <w:t>”</w:t>
            </w:r>
            <w:r>
              <w:rPr>
                <w:rFonts w:hint="eastAsia" w:ascii="Times New Roman" w:hAnsi="Times New Roman" w:cs="Times New Roman"/>
                <w:color w:val="auto"/>
              </w:rPr>
              <w:t>对环境污染影响不大。随着施工的结束，施工影响随</w:t>
            </w:r>
            <w:r>
              <w:rPr>
                <w:rFonts w:hint="eastAsia" w:cs="Times New Roman"/>
                <w:color w:val="auto"/>
                <w:lang w:val="en-US" w:eastAsia="zh-CN"/>
              </w:rPr>
              <w:t>之</w:t>
            </w:r>
            <w:r>
              <w:rPr>
                <w:rFonts w:hint="eastAsia" w:ascii="Times New Roman" w:hAnsi="Times New Roman" w:cs="Times New Roman"/>
                <w:color w:val="auto"/>
              </w:rPr>
              <w:t>消除。</w:t>
            </w:r>
          </w:p>
          <w:p w14:paraId="5F3A2ACA">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leftChars="0" w:right="0" w:firstLine="0" w:firstLineChars="0"/>
              <w:jc w:val="both"/>
              <w:textAlignment w:val="auto"/>
              <w:outlineLvl w:val="9"/>
              <w:rPr>
                <w:rFonts w:hint="eastAsia" w:ascii="Times New Roman" w:hAnsi="Times New Roman" w:cs="Times New Roman"/>
                <w:b/>
                <w:bCs/>
                <w:color w:val="auto"/>
                <w:lang w:val="en-US" w:eastAsia="zh-CN"/>
              </w:rPr>
            </w:pPr>
            <w:r>
              <w:rPr>
                <w:rFonts w:hint="eastAsia" w:ascii="Times New Roman" w:hAnsi="Times New Roman" w:cs="Times New Roman"/>
                <w:b/>
                <w:bCs/>
                <w:color w:val="auto"/>
                <w:lang w:val="en-US" w:eastAsia="zh-CN"/>
              </w:rPr>
              <w:t>4.5.6土地沙化影响分析</w:t>
            </w:r>
          </w:p>
          <w:p w14:paraId="6FA07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项目建设过程中对原地貌的扰动将降低项目占地范围内的土壤抗侵蚀能力，造成土地沙化；此外，由于项目地处内陆地区，风沙较大，空气干燥，加上地表植被覆盖度低，若项目土石方堆存过程中未采取防尘网苫盖、洒水抑尘等措施，地表沙化的土壤及废土、废渣遇大风天气易产生严重的扬尘，形成沙尘天气。</w:t>
            </w:r>
          </w:p>
          <w:p w14:paraId="4F3857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项目施工期基础开挖、场地平整等过程中，对原有地表土壤造成扰动，造成地表原有结构的破坏。此外，在施工过程中，各种车辆（尤其是重型卡车）行驶将使经过的土壤变紧实，严重的经过多次碾压后植物很难再生长。</w:t>
            </w:r>
          </w:p>
          <w:p w14:paraId="52DE5E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textAlignment w:val="auto"/>
              <w:rPr>
                <w:rFonts w:hint="eastAsia" w:ascii="宋体" w:hAnsi="宋体" w:eastAsia="宋体" w:cs="宋体"/>
                <w:sz w:val="24"/>
                <w:szCs w:val="24"/>
                <w:lang w:val="en-US" w:eastAsia="zh-CN"/>
              </w:rPr>
            </w:pPr>
            <w:r>
              <w:rPr>
                <w:rFonts w:hint="eastAsia" w:ascii="Times New Roman" w:hAnsi="Times New Roman" w:cs="Times New Roman"/>
                <w:color w:val="auto"/>
                <w:lang w:val="en-US" w:eastAsia="zh-CN"/>
              </w:rPr>
              <w:t>上述施工作业过程中，对原地貌的扰动大大降低了项目占地范围内的土壤抗侵蚀能力，若未采取相应的防护措施，遇大风天气，极易加重区域沙尘天气。</w:t>
            </w:r>
          </w:p>
        </w:tc>
      </w:tr>
      <w:tr w14:paraId="6DFC5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595" w:type="dxa"/>
            <w:noWrap w:val="0"/>
            <w:tcMar>
              <w:left w:w="28" w:type="dxa"/>
              <w:right w:w="28" w:type="dxa"/>
            </w:tcMar>
            <w:vAlign w:val="center"/>
          </w:tcPr>
          <w:p w14:paraId="0D3A36A6">
            <w:pPr>
              <w:pStyle w:val="68"/>
              <w:keepNext w:val="0"/>
              <w:keepLines w:val="0"/>
              <w:suppressLineNumbers w:val="0"/>
              <w:spacing w:before="0" w:beforeAutospacing="0" w:after="0" w:afterAutospacing="0"/>
              <w:ind w:right="0"/>
              <w:rPr>
                <w:rFonts w:hint="default" w:ascii="宋体" w:hAnsi="宋体" w:cs="Times New Roman"/>
                <w:bCs/>
                <w:color w:val="auto"/>
              </w:rPr>
            </w:pPr>
            <w:r>
              <w:rPr>
                <w:rFonts w:hint="eastAsia" w:ascii="Times New Roman" w:hAnsi="Times New Roman" w:cs="Times New Roman"/>
                <w:color w:val="auto"/>
                <w:sz w:val="24"/>
                <w:szCs w:val="24"/>
              </w:rPr>
              <w:t>运营期生态环境影响分析</w:t>
            </w:r>
          </w:p>
        </w:tc>
        <w:tc>
          <w:tcPr>
            <w:tcW w:w="8557" w:type="dxa"/>
            <w:noWrap w:val="0"/>
            <w:vAlign w:val="center"/>
          </w:tcPr>
          <w:p w14:paraId="6D4264B4">
            <w:pPr>
              <w:keepNext w:val="0"/>
              <w:keepLines w:val="0"/>
              <w:suppressLineNumbers w:val="0"/>
              <w:spacing w:before="0" w:beforeAutospacing="0" w:after="0" w:afterAutospacing="0"/>
              <w:ind w:left="0" w:right="0" w:firstLine="482"/>
              <w:rPr>
                <w:rFonts w:hint="eastAsia" w:ascii="Times New Roman" w:hAnsi="Times New Roman" w:cs="Times New Roman"/>
                <w:color w:val="auto"/>
              </w:rPr>
            </w:pPr>
            <w:r>
              <w:rPr>
                <w:rFonts w:hint="eastAsia" w:ascii="Times New Roman" w:hAnsi="Times New Roman" w:cs="Times New Roman"/>
                <w:b w:val="0"/>
                <w:bCs w:val="0"/>
                <w:color w:val="auto"/>
              </w:rPr>
              <w:t>本项目仅涉及</w:t>
            </w:r>
            <w:r>
              <w:rPr>
                <w:rFonts w:hint="eastAsia" w:ascii="Times New Roman" w:hAnsi="Times New Roman" w:cs="Times New Roman"/>
                <w:b w:val="0"/>
                <w:bCs w:val="0"/>
                <w:color w:val="auto"/>
                <w:lang w:val="en-US" w:eastAsia="zh-CN"/>
              </w:rPr>
              <w:t>矿山</w:t>
            </w:r>
            <w:r>
              <w:rPr>
                <w:rFonts w:hint="eastAsia"/>
                <w:lang w:val="en-US" w:eastAsia="zh-CN"/>
              </w:rPr>
              <w:t>勘查</w:t>
            </w:r>
            <w:r>
              <w:rPr>
                <w:rFonts w:hint="eastAsia" w:ascii="Times New Roman" w:hAnsi="Times New Roman" w:cs="Times New Roman"/>
                <w:b w:val="0"/>
                <w:bCs w:val="0"/>
                <w:color w:val="auto"/>
              </w:rPr>
              <w:t>，</w:t>
            </w:r>
            <w:r>
              <w:rPr>
                <w:rFonts w:hint="eastAsia" w:ascii="Times New Roman" w:hAnsi="Times New Roman" w:cs="Times New Roman"/>
                <w:b w:val="0"/>
                <w:bCs w:val="0"/>
                <w:color w:val="auto"/>
                <w:lang w:val="en-US" w:eastAsia="zh-CN"/>
              </w:rPr>
              <w:t>无</w:t>
            </w:r>
            <w:r>
              <w:rPr>
                <w:rFonts w:hint="eastAsia" w:ascii="Times New Roman" w:hAnsi="Times New Roman" w:cs="Times New Roman"/>
                <w:b w:val="0"/>
                <w:bCs w:val="0"/>
                <w:color w:val="auto"/>
              </w:rPr>
              <w:t>运营期。</w:t>
            </w:r>
          </w:p>
        </w:tc>
      </w:tr>
      <w:tr w14:paraId="07D6F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70" w:hRule="atLeast"/>
        </w:trPr>
        <w:tc>
          <w:tcPr>
            <w:tcW w:w="595" w:type="dxa"/>
            <w:noWrap w:val="0"/>
            <w:tcMar>
              <w:left w:w="28" w:type="dxa"/>
              <w:right w:w="28" w:type="dxa"/>
            </w:tcMar>
            <w:vAlign w:val="center"/>
          </w:tcPr>
          <w:p w14:paraId="40E1485D">
            <w:pPr>
              <w:keepNext w:val="0"/>
              <w:keepLines w:val="0"/>
              <w:suppressLineNumbers w:val="0"/>
              <w:adjustRightInd w:val="0"/>
              <w:snapToGrid w:val="0"/>
              <w:spacing w:before="0" w:beforeAutospacing="0" w:after="0" w:afterAutospacing="0"/>
              <w:ind w:left="0" w:leftChars="0" w:right="0" w:firstLine="0" w:firstLineChars="0"/>
              <w:jc w:val="both"/>
              <w:rPr>
                <w:rFonts w:hint="eastAsia" w:ascii="Times New Roman" w:hAnsi="Times New Roman" w:cs="宋体"/>
                <w:color w:val="auto"/>
                <w:szCs w:val="21"/>
              </w:rPr>
            </w:pPr>
            <w:r>
              <w:rPr>
                <w:rFonts w:hint="eastAsia" w:ascii="Times New Roman" w:hAnsi="Times New Roman" w:cs="宋体"/>
                <w:color w:val="auto"/>
                <w:sz w:val="24"/>
                <w:szCs w:val="24"/>
              </w:rPr>
              <w:t>选址选线环境合理性分析</w:t>
            </w:r>
          </w:p>
        </w:tc>
        <w:tc>
          <w:tcPr>
            <w:tcW w:w="8557" w:type="dxa"/>
            <w:noWrap w:val="0"/>
            <w:vAlign w:val="center"/>
          </w:tcPr>
          <w:p w14:paraId="7EB7A143">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outlineLvl w:val="9"/>
              <w:rPr>
                <w:rFonts w:hint="default"/>
                <w:color w:val="auto"/>
              </w:rPr>
            </w:pPr>
            <w:r>
              <w:rPr>
                <w:rFonts w:hint="eastAsia"/>
                <w:color w:val="auto"/>
                <w:lang w:val="en-US" w:eastAsia="zh-CN"/>
              </w:rPr>
              <w:t>4.6</w:t>
            </w:r>
            <w:r>
              <w:rPr>
                <w:rFonts w:hint="eastAsia"/>
                <w:color w:val="auto"/>
              </w:rPr>
              <w:t>用地合理性</w:t>
            </w:r>
          </w:p>
          <w:p w14:paraId="2ABA9D1D">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center"/>
              <w:outlineLvl w:val="9"/>
              <w:rPr>
                <w:rFonts w:hint="default" w:ascii="Times New Roman" w:hAnsi="Times New Roman" w:cs="Times New Roman"/>
                <w:color w:val="auto"/>
              </w:rPr>
            </w:pPr>
            <w:r>
              <w:rPr>
                <w:rFonts w:hint="eastAsia" w:ascii="Times New Roman" w:hAnsi="Times New Roman" w:cs="Times New Roman"/>
                <w:color w:val="auto"/>
              </w:rPr>
              <w:t>本项目位于新疆维吾尔自治区巴音郭楞蒙古自治州</w:t>
            </w:r>
            <w:r>
              <w:rPr>
                <w:rFonts w:hint="eastAsia" w:ascii="Times New Roman" w:hAnsi="Times New Roman" w:cs="Times New Roman"/>
                <w:color w:val="auto"/>
                <w:lang w:val="en-US" w:eastAsia="zh-CN"/>
              </w:rPr>
              <w:t>和静县克尔古提乡，距离和静县城直线距离约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eastAsia" w:ascii="Times New Roman" w:hAnsi="Times New Roman" w:cs="Times New Roman"/>
                <w:color w:val="auto"/>
              </w:rPr>
              <w:t>，项目不涉及饮用水水源保护区、自然保护区、风景名胜区、地质公园、森林公园及人文古迹等环境敏感点，矿区范围内无村民居住，不涉及拆迁，</w:t>
            </w:r>
            <w:r>
              <w:rPr>
                <w:rFonts w:hint="eastAsia"/>
                <w:lang w:val="en-US" w:eastAsia="zh-CN"/>
              </w:rPr>
              <w:t>已取得探矿证，</w:t>
            </w:r>
            <w:r>
              <w:rPr>
                <w:rFonts w:hint="eastAsia" w:ascii="Times New Roman" w:hAnsi="Times New Roman" w:cs="Times New Roman"/>
                <w:color w:val="auto"/>
              </w:rPr>
              <w:t>因此，本项目用地合理。</w:t>
            </w:r>
          </w:p>
          <w:p w14:paraId="7E8887B3">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outlineLvl w:val="9"/>
              <w:rPr>
                <w:rFonts w:hint="default"/>
                <w:color w:val="auto"/>
              </w:rPr>
            </w:pPr>
            <w:r>
              <w:rPr>
                <w:rFonts w:hint="eastAsia"/>
                <w:color w:val="auto"/>
                <w:lang w:val="en-US" w:eastAsia="zh-CN"/>
              </w:rPr>
              <w:t>4.7</w:t>
            </w:r>
            <w:r>
              <w:rPr>
                <w:rFonts w:hint="eastAsia"/>
                <w:color w:val="auto"/>
              </w:rPr>
              <w:t>与周边环境相容性分析</w:t>
            </w:r>
          </w:p>
          <w:p w14:paraId="554F8FE9">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center"/>
              <w:outlineLvl w:val="9"/>
              <w:rPr>
                <w:rFonts w:hint="default" w:ascii="Times New Roman" w:hAnsi="Times New Roman" w:cs="Times New Roman"/>
                <w:color w:val="auto"/>
              </w:rPr>
            </w:pPr>
            <w:r>
              <w:rPr>
                <w:rFonts w:hint="eastAsia" w:ascii="Times New Roman" w:hAnsi="Times New Roman" w:cs="Times New Roman"/>
                <w:color w:val="auto"/>
              </w:rPr>
              <w:t>根据现场踏勘可知，探矿区域周围5</w:t>
            </w:r>
            <w:r>
              <w:rPr>
                <w:rFonts w:hint="default" w:ascii="Times New Roman" w:hAnsi="Times New Roman" w:cs="Times New Roman"/>
                <w:color w:val="auto"/>
              </w:rPr>
              <w:t>00m</w:t>
            </w:r>
            <w:r>
              <w:rPr>
                <w:rFonts w:hint="eastAsia" w:ascii="Times New Roman" w:hAnsi="Times New Roman" w:cs="Times New Roman"/>
                <w:color w:val="auto"/>
              </w:rPr>
              <w:t>范围内无环境保护目标，项目周边不涉及重点生态功能区，生态敏感脆弱区，自然保护区，风景名胜区，国家级、省级禁止开发区域，外环境无重大环境制约因素。项目位于新疆维吾尔自治区巴音郭楞蒙古自治州</w:t>
            </w:r>
            <w:r>
              <w:rPr>
                <w:rFonts w:hint="eastAsia" w:ascii="Times New Roman" w:hAnsi="Times New Roman" w:cs="Times New Roman"/>
                <w:color w:val="auto"/>
                <w:lang w:val="en-US" w:eastAsia="zh-CN"/>
              </w:rPr>
              <w:t>和静县克尔古提乡</w:t>
            </w:r>
            <w:r>
              <w:rPr>
                <w:rFonts w:hint="eastAsia" w:cs="Times New Roman"/>
                <w:color w:val="auto"/>
                <w:lang w:val="en-US" w:eastAsia="zh-CN"/>
              </w:rPr>
              <w:t>，</w:t>
            </w:r>
            <w:r>
              <w:rPr>
                <w:rFonts w:hint="eastAsia" w:ascii="Times New Roman" w:hAnsi="Times New Roman" w:cs="Times New Roman"/>
                <w:color w:val="auto"/>
                <w:lang w:val="en-US" w:eastAsia="zh-CN"/>
              </w:rPr>
              <w:t>距离和静县城直线距离约</w:t>
            </w:r>
            <w:r>
              <w:rPr>
                <w:rFonts w:hint="eastAsia" w:cs="Times New Roman"/>
                <w:color w:val="auto"/>
                <w:lang w:val="en-US" w:eastAsia="zh-CN"/>
              </w:rPr>
              <w:t>30</w:t>
            </w:r>
            <w:r>
              <w:rPr>
                <w:rFonts w:hint="eastAsia" w:ascii="Times New Roman" w:hAnsi="Times New Roman" w:cs="Times New Roman"/>
                <w:color w:val="auto"/>
                <w:lang w:val="en-US" w:eastAsia="zh-CN"/>
              </w:rPr>
              <w:t>km</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外部依托现有的资源</w:t>
            </w:r>
            <w:r>
              <w:rPr>
                <w:rFonts w:hint="eastAsia" w:ascii="Times New Roman" w:hAnsi="Times New Roman" w:cs="Times New Roman"/>
                <w:color w:val="auto"/>
                <w:highlight w:val="none"/>
                <w:lang w:val="en-US" w:eastAsia="zh-CN"/>
              </w:rPr>
              <w:t>道路，项目区内部修建临时施工道路5km，路面宽2.5m</w:t>
            </w:r>
            <w:r>
              <w:rPr>
                <w:rFonts w:hint="eastAsia" w:ascii="Times New Roman" w:hAnsi="Times New Roman" w:cs="Times New Roman"/>
                <w:color w:val="auto"/>
                <w:lang w:val="en-US" w:eastAsia="zh-CN"/>
              </w:rPr>
              <w:t>，生产及生活用水从和静县克尔古提乡拉运供给，柴油发电机自主发电。</w:t>
            </w:r>
            <w:r>
              <w:rPr>
                <w:rFonts w:hint="default" w:ascii="Times New Roman" w:hAnsi="Times New Roman" w:cs="Times New Roman"/>
                <w:color w:val="auto"/>
              </w:rPr>
              <w:t>本项目的建设对外环境无特殊要求，</w:t>
            </w:r>
            <w:r>
              <w:rPr>
                <w:rFonts w:hint="eastAsia" w:ascii="Times New Roman" w:hAnsi="Times New Roman" w:cs="Times New Roman"/>
                <w:color w:val="auto"/>
              </w:rPr>
              <w:t>本</w:t>
            </w:r>
            <w:r>
              <w:rPr>
                <w:rFonts w:hint="default" w:ascii="Times New Roman" w:hAnsi="Times New Roman" w:cs="Times New Roman"/>
                <w:color w:val="auto"/>
              </w:rPr>
              <w:t>项目产生的废水、废气、噪声、固废等各项污染物通过采取相应措施后均可达标排放，通过项目的合理布局、严格管理、积极推进企业清洁生产</w:t>
            </w:r>
            <w:r>
              <w:rPr>
                <w:rFonts w:hint="eastAsia" w:cs="Times New Roman"/>
                <w:color w:val="auto"/>
                <w:lang w:eastAsia="zh-CN"/>
              </w:rPr>
              <w:t>及其他有</w:t>
            </w:r>
            <w:r>
              <w:rPr>
                <w:rFonts w:hint="default" w:ascii="Times New Roman" w:hAnsi="Times New Roman" w:cs="Times New Roman"/>
                <w:color w:val="auto"/>
              </w:rPr>
              <w:t>针对性的污染防治措施，可有效避免和减轻项目建设过程对周围环境的影响。</w:t>
            </w:r>
            <w:r>
              <w:rPr>
                <w:rFonts w:hint="eastAsia" w:ascii="Times New Roman" w:hAnsi="Times New Roman" w:cs="Times New Roman"/>
                <w:color w:val="auto"/>
              </w:rPr>
              <w:t>矿区</w:t>
            </w:r>
            <w:r>
              <w:rPr>
                <w:rFonts w:hint="default" w:ascii="Times New Roman" w:hAnsi="Times New Roman" w:cs="Times New Roman"/>
                <w:color w:val="auto"/>
              </w:rPr>
              <w:t>内</w:t>
            </w:r>
            <w:r>
              <w:rPr>
                <w:rFonts w:hint="eastAsia" w:ascii="Times New Roman" w:hAnsi="Times New Roman" w:cs="Times New Roman"/>
                <w:color w:val="auto"/>
              </w:rPr>
              <w:t>植被覆盖度较低</w:t>
            </w:r>
            <w:r>
              <w:rPr>
                <w:rFonts w:hint="eastAsia" w:ascii="Times New Roman" w:hAnsi="Times New Roman" w:cs="Times New Roman"/>
                <w:color w:val="auto"/>
                <w:lang w:eastAsia="zh-CN"/>
              </w:rPr>
              <w:t>，</w:t>
            </w:r>
            <w:r>
              <w:rPr>
                <w:rFonts w:hint="eastAsia" w:ascii="Times New Roman" w:hAnsi="Times New Roman" w:cs="Times New Roman"/>
                <w:color w:val="auto"/>
              </w:rPr>
              <w:t>未发现珍稀保护动植物。</w:t>
            </w:r>
          </w:p>
          <w:p w14:paraId="4467D40A">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center"/>
              <w:outlineLvl w:val="9"/>
              <w:rPr>
                <w:rFonts w:hint="eastAsia" w:ascii="Times New Roman" w:hAnsi="Times New Roman" w:cs="Times New Roman"/>
                <w:color w:val="auto"/>
              </w:rPr>
            </w:pPr>
            <w:r>
              <w:rPr>
                <w:rFonts w:hint="eastAsia" w:ascii="Times New Roman" w:hAnsi="Times New Roman" w:cs="Times New Roman"/>
                <w:color w:val="auto"/>
              </w:rPr>
              <w:t>综上所述，本项目选址合理。</w:t>
            </w:r>
          </w:p>
        </w:tc>
      </w:tr>
      <w:bookmarkEnd w:id="3"/>
    </w:tbl>
    <w:p w14:paraId="1B3D2E30">
      <w:pPr>
        <w:adjustRightInd w:val="0"/>
        <w:snapToGrid w:val="0"/>
        <w:ind w:firstLine="562"/>
        <w:rPr>
          <w:rFonts w:hint="eastAsia" w:ascii="宋体" w:cs="宋体"/>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3F28D7FD">
      <w:pPr>
        <w:pStyle w:val="2"/>
        <w:rPr>
          <w:snapToGrid w:val="0"/>
          <w:color w:val="auto"/>
          <w:highlight w:val="none"/>
        </w:rPr>
      </w:pPr>
      <w:r>
        <w:rPr>
          <w:rFonts w:hint="eastAsia"/>
          <w:snapToGrid w:val="0"/>
          <w:color w:val="auto"/>
          <w:highlight w:val="none"/>
        </w:rPr>
        <w:t>五、主要生态环境保护措施</w:t>
      </w:r>
    </w:p>
    <w:tbl>
      <w:tblPr>
        <w:tblStyle w:val="28"/>
        <w:tblpPr w:leftFromText="180" w:rightFromText="180" w:vertAnchor="text" w:tblpXSpec="center" w:tblpY="1"/>
        <w:tblOverlap w:val="never"/>
        <w:tblW w:w="910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9195"/>
      </w:tblGrid>
      <w:tr w14:paraId="07648D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46" w:type="dxa"/>
            <w:noWrap w:val="0"/>
            <w:tcMar>
              <w:left w:w="28" w:type="dxa"/>
              <w:right w:w="28" w:type="dxa"/>
            </w:tcMar>
            <w:vAlign w:val="center"/>
          </w:tcPr>
          <w:p w14:paraId="482426A3">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sz w:val="24"/>
                <w:szCs w:val="24"/>
              </w:rPr>
              <w:t>施工期生态环境保护措施</w:t>
            </w:r>
          </w:p>
        </w:tc>
        <w:tc>
          <w:tcPr>
            <w:tcW w:w="8354" w:type="dxa"/>
            <w:noWrap w:val="0"/>
            <w:vAlign w:val="center"/>
          </w:tcPr>
          <w:p w14:paraId="4FB1F1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本项目施工期工程量较小，施工期环境保护措施情况如下：</w:t>
            </w:r>
          </w:p>
          <w:p w14:paraId="30EF4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宋体" w:hAnsi="宋体" w:eastAsia="宋体" w:cs="宋体"/>
                <w:color w:val="auto"/>
              </w:rPr>
            </w:pPr>
            <w:r>
              <w:rPr>
                <w:rFonts w:hint="default" w:ascii="宋体" w:hAnsi="宋体" w:eastAsia="宋体" w:cs="宋体"/>
                <w:color w:val="auto"/>
              </w:rPr>
              <w:t>在进行槽探以及营地建设等矿业活动时，采取有效的生态环境保护措施至关重要，以减少对自然环境的负面影响。以下是一些关键的环境保护措施：</w:t>
            </w:r>
          </w:p>
          <w:p w14:paraId="06B5B4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宋体" w:hAnsi="宋体" w:eastAsia="宋体" w:cs="宋体"/>
                <w:color w:val="auto"/>
              </w:rPr>
            </w:pPr>
            <w:r>
              <w:rPr>
                <w:rFonts w:hint="default" w:ascii="宋体" w:hAnsi="宋体" w:eastAsia="宋体" w:cs="宋体"/>
                <w:color w:val="auto"/>
              </w:rPr>
              <w:t>槽探的环境保护措施：</w:t>
            </w:r>
          </w:p>
          <w:p w14:paraId="1041D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宋体" w:hAnsi="宋体" w:eastAsia="宋体" w:cs="宋体"/>
                <w:color w:val="auto"/>
              </w:rPr>
            </w:pPr>
            <w:r>
              <w:rPr>
                <w:rFonts w:hint="default" w:ascii="宋体" w:hAnsi="宋体" w:eastAsia="宋体" w:cs="宋体"/>
                <w:color w:val="auto"/>
              </w:rPr>
              <w:t>规划与避让：在设计槽探布局时，应避开生态敏感区如自然保护区、水源地等，减少对生物多样性和水资源的潜在威胁。最小化地表扰动：尽量减小槽探的宽度和深度，仅在必要时进行开挖，并在工作完成后及时回填与恢复植被。废弃物管理：妥善收集和处置开挖产生的废弃物，避免污染物进入水体和土壤。样品采集规范：按照规范采集样品，减少对岩土结构的破坏，确保采集过程对环境的影响最小。</w:t>
            </w:r>
          </w:p>
          <w:p w14:paraId="5BF664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宋体" w:hAnsi="宋体" w:eastAsia="宋体" w:cs="宋体"/>
                <w:color w:val="auto"/>
              </w:rPr>
            </w:pPr>
            <w:r>
              <w:rPr>
                <w:rFonts w:hint="default" w:ascii="宋体" w:hAnsi="宋体" w:eastAsia="宋体" w:cs="宋体"/>
                <w:color w:val="auto"/>
              </w:rPr>
              <w:t>营地建设的环境保护措施：</w:t>
            </w:r>
          </w:p>
          <w:p w14:paraId="646FBA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宋体" w:hAnsi="宋体" w:eastAsia="宋体" w:cs="宋体"/>
                <w:color w:val="auto"/>
              </w:rPr>
            </w:pPr>
            <w:r>
              <w:rPr>
                <w:rFonts w:hint="default" w:ascii="宋体" w:hAnsi="宋体" w:eastAsia="宋体" w:cs="宋体"/>
                <w:color w:val="auto"/>
              </w:rPr>
              <w:t>选址谨慎：营地应选在</w:t>
            </w:r>
            <w:r>
              <w:rPr>
                <w:rFonts w:hint="eastAsia"/>
                <w:lang w:val="en-US" w:eastAsia="zh-CN"/>
              </w:rPr>
              <w:t>植被稀疏</w:t>
            </w:r>
            <w:r>
              <w:rPr>
                <w:rFonts w:hint="default" w:ascii="宋体" w:hAnsi="宋体" w:eastAsia="宋体" w:cs="宋体"/>
                <w:color w:val="auto"/>
              </w:rPr>
              <w:t>的地点，远离生态脆弱区，减少对自然景观的破坏。临时性设施建设：采用可移动或易拆卸的设施，减少对地表的永久性改变。资源节约：使用节水和节能设备，实施垃圾分类，促进资源循环利用。生态恢复计划：项目结束后，制定并执行生态恢复计划，包括植被恢复和土地整治。环保教育：对营地人员进行环保培训，</w:t>
            </w:r>
            <w:r>
              <w:rPr>
                <w:rFonts w:hint="eastAsia" w:ascii="宋体" w:hAnsi="宋体" w:eastAsia="宋体" w:cs="宋体"/>
                <w:color w:val="auto"/>
                <w:lang w:eastAsia="zh-CN"/>
              </w:rPr>
              <w:t>增强</w:t>
            </w:r>
            <w:r>
              <w:rPr>
                <w:rFonts w:hint="default" w:ascii="宋体" w:hAnsi="宋体" w:eastAsia="宋体" w:cs="宋体"/>
                <w:color w:val="auto"/>
              </w:rPr>
              <w:t>他们的环保意识，确保每个人都遵守环保规定。</w:t>
            </w:r>
          </w:p>
          <w:p w14:paraId="03253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宋体" w:hAnsi="宋体" w:eastAsia="宋体" w:cs="宋体"/>
                <w:color w:val="auto"/>
              </w:rPr>
            </w:pPr>
            <w:r>
              <w:rPr>
                <w:rFonts w:hint="eastAsia" w:ascii="宋体" w:hAnsi="宋体" w:eastAsia="宋体" w:cs="宋体"/>
                <w:color w:val="auto"/>
              </w:rPr>
              <w:t>临时堆场建设的</w:t>
            </w:r>
            <w:r>
              <w:rPr>
                <w:rFonts w:hint="default" w:ascii="宋体" w:hAnsi="宋体" w:eastAsia="宋体" w:cs="宋体"/>
                <w:color w:val="auto"/>
              </w:rPr>
              <w:t>环境保护措施：</w:t>
            </w:r>
          </w:p>
          <w:p w14:paraId="676B5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宋体" w:hAnsi="宋体" w:eastAsia="宋体" w:cs="宋体"/>
                <w:color w:val="auto"/>
                <w:lang w:eastAsia="zh-CN"/>
              </w:rPr>
            </w:pPr>
            <w:r>
              <w:rPr>
                <w:rFonts w:hint="default" w:ascii="Times New Roman" w:hAnsi="Times New Roman" w:eastAsia="宋体" w:cs="Times New Roman"/>
                <w:color w:val="auto"/>
              </w:rPr>
              <w:t>采用可降解编织袋装袋并有序堆码岩土，控制堆放高度不超过2米，确保边坡稳定；定期洒水以抑制扬尘，减少空气污染；合理规划作业时间，避免夜间施工以</w:t>
            </w:r>
            <w:r>
              <w:rPr>
                <w:rFonts w:hint="eastAsia" w:ascii="Times New Roman" w:hAnsi="Times New Roman" w:eastAsia="宋体" w:cs="Times New Roman"/>
                <w:color w:val="auto"/>
                <w:lang w:eastAsia="zh-CN"/>
              </w:rPr>
              <w:t>降低噪声</w:t>
            </w:r>
            <w:r>
              <w:rPr>
                <w:rFonts w:hint="default" w:ascii="Times New Roman" w:hAnsi="Times New Roman" w:eastAsia="宋体" w:cs="Times New Roman"/>
                <w:color w:val="auto"/>
              </w:rPr>
              <w:t>影响；保护现场原有植被，尽量减少对生态环境的破坏，并在工程结束后利用废渣进行场地平整和植被恢复，实现资源再利用；</w:t>
            </w:r>
            <w:r>
              <w:rPr>
                <w:rFonts w:hint="eastAsia"/>
                <w:lang w:val="en-US" w:eastAsia="zh-CN"/>
              </w:rPr>
              <w:t>设置导流沟</w:t>
            </w:r>
            <w:r>
              <w:rPr>
                <w:rFonts w:hint="default" w:ascii="Times New Roman" w:hAnsi="Times New Roman" w:eastAsia="宋体" w:cs="Times New Roman"/>
                <w:color w:val="auto"/>
              </w:rPr>
              <w:t>防止雨水积聚引发滑坡等次生灾害</w:t>
            </w:r>
            <w:r>
              <w:rPr>
                <w:rFonts w:hint="eastAsia" w:ascii="Times New Roman" w:hAnsi="Times New Roman" w:eastAsia="宋体" w:cs="Times New Roman"/>
                <w:color w:val="auto"/>
                <w:lang w:eastAsia="zh-CN"/>
              </w:rPr>
              <w:t>。</w:t>
            </w:r>
          </w:p>
          <w:p w14:paraId="7848E0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default" w:ascii="宋体" w:hAnsi="宋体" w:eastAsia="宋体" w:cs="宋体"/>
                <w:color w:val="auto"/>
              </w:rPr>
              <w:t>综上所述，生态环境保护贯穿于</w:t>
            </w:r>
            <w:r>
              <w:rPr>
                <w:rFonts w:hint="eastAsia" w:ascii="宋体" w:hAnsi="宋体" w:cs="宋体"/>
                <w:color w:val="auto"/>
                <w:lang w:val="en-US" w:eastAsia="zh-CN"/>
              </w:rPr>
              <w:t>勘查</w:t>
            </w:r>
            <w:r>
              <w:rPr>
                <w:rFonts w:hint="default" w:ascii="宋体" w:hAnsi="宋体" w:eastAsia="宋体" w:cs="宋体"/>
                <w:color w:val="auto"/>
              </w:rPr>
              <w:t>活动的全过程，需要综合考虑规划、施工、运营及后期恢复等各个阶段，通过科学管理和技术应用，实现与自然环境的和谐共存。</w:t>
            </w:r>
          </w:p>
          <w:p w14:paraId="4FC1E0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5.1废气防治措施分析</w:t>
            </w:r>
          </w:p>
          <w:p w14:paraId="055B5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本工程施工期对大气环境的影响主要表现为扬尘以及运输车辆、柴油发电机及施工机械等产生的燃油烟气。</w:t>
            </w:r>
          </w:p>
          <w:p w14:paraId="7A191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5.1.1扬尘</w:t>
            </w:r>
          </w:p>
          <w:p w14:paraId="5C08A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针对本项目产生的扬尘，环评要求如下：</w:t>
            </w:r>
          </w:p>
          <w:p w14:paraId="0D654E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槽探作业施工前对施工区域进行洒水降尘；</w:t>
            </w:r>
          </w:p>
          <w:p w14:paraId="02ECB6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原材料运输、堆放要求遮盖；</w:t>
            </w:r>
          </w:p>
          <w:p w14:paraId="32D726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及时清理场地弃渣料，不能及时清运的要求采取覆盖，洒水抑尘等措施，在工作中建议施工人员</w:t>
            </w:r>
            <w:r>
              <w:rPr>
                <w:rFonts w:hint="default" w:ascii="Times New Roman" w:hAnsi="Times New Roman" w:eastAsia="宋体" w:cs="Times New Roman"/>
                <w:color w:val="auto"/>
              </w:rPr>
              <w:t>戴口罩、防尘面罩等劳动防护装备</w:t>
            </w:r>
            <w:r>
              <w:rPr>
                <w:rFonts w:hint="eastAsia" w:ascii="Times New Roman" w:hAnsi="Times New Roman" w:eastAsia="宋体" w:cs="Times New Roman"/>
                <w:color w:val="auto"/>
              </w:rPr>
              <w:t>，同时</w:t>
            </w:r>
            <w:r>
              <w:rPr>
                <w:rFonts w:hint="default" w:ascii="Times New Roman" w:hAnsi="Times New Roman" w:eastAsia="宋体" w:cs="Times New Roman"/>
                <w:color w:val="auto"/>
              </w:rPr>
              <w:t>避开大风天气作业</w:t>
            </w:r>
            <w:r>
              <w:rPr>
                <w:rFonts w:hint="eastAsia" w:ascii="Times New Roman" w:hAnsi="Times New Roman" w:eastAsia="宋体" w:cs="Times New Roman"/>
                <w:color w:val="auto"/>
              </w:rPr>
              <w:t>。</w:t>
            </w:r>
          </w:p>
          <w:p w14:paraId="5DE25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5.1.2燃油废气</w:t>
            </w:r>
          </w:p>
          <w:p w14:paraId="3A5E4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对柴油发电机定期维护保养，提高其燃烧效率，减少尾气排放量，由于燃油废气排放总量较小，且排放点较为分散，属无组织排放。</w:t>
            </w:r>
          </w:p>
          <w:p w14:paraId="2EBAB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综上所述，通过加强施工期间扬尘治理，柴油发电机定期维护保养，施工作业对周边环境的影响范围有限，且施工大气污染是短期的、局部的，施工结束后即会消失，故项目施工期间对大气环境的影响较小。</w:t>
            </w:r>
          </w:p>
          <w:p w14:paraId="5AECE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通过采取上述措施即可减小施工期对区域大气环境的影响，且防治措施经济可行。</w:t>
            </w:r>
          </w:p>
          <w:p w14:paraId="7B383B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5.2废水防治措施分析</w:t>
            </w:r>
          </w:p>
          <w:p w14:paraId="0BE80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废水主要来自</w:t>
            </w:r>
            <w:r>
              <w:rPr>
                <w:rFonts w:hint="eastAsia" w:ascii="Times New Roman" w:hAnsi="Times New Roman" w:eastAsia="宋体" w:cs="Times New Roman"/>
                <w:color w:val="auto"/>
                <w:lang w:eastAsia="zh-CN"/>
              </w:rPr>
              <w:t>生活污水</w:t>
            </w:r>
            <w:r>
              <w:rPr>
                <w:rFonts w:hint="eastAsia" w:ascii="Times New Roman" w:hAnsi="Times New Roman" w:eastAsia="宋体" w:cs="Times New Roman"/>
                <w:color w:val="auto"/>
              </w:rPr>
              <w:t>。生活污水来源于施工人员及工地管理人员，其污染物较为简单，主要为SS、NH</w:t>
            </w:r>
            <w:r>
              <w:rPr>
                <w:rFonts w:hint="eastAsia" w:ascii="Times New Roman" w:hAnsi="Times New Roman" w:eastAsia="宋体" w:cs="Times New Roman"/>
                <w:color w:val="auto"/>
                <w:vertAlign w:val="subscript"/>
              </w:rPr>
              <w:t>3</w:t>
            </w:r>
            <w:r>
              <w:rPr>
                <w:rFonts w:hint="eastAsia" w:ascii="Times New Roman" w:hAnsi="Times New Roman" w:eastAsia="宋体" w:cs="Times New Roman"/>
                <w:color w:val="auto"/>
              </w:rPr>
              <w:t>-N、COD、BOD</w:t>
            </w:r>
            <w:r>
              <w:rPr>
                <w:rFonts w:hint="eastAsia" w:ascii="Times New Roman" w:hAnsi="Times New Roman" w:eastAsia="宋体" w:cs="Times New Roman"/>
                <w:color w:val="auto"/>
                <w:vertAlign w:val="subscript"/>
              </w:rPr>
              <w:t>5</w:t>
            </w:r>
            <w:r>
              <w:rPr>
                <w:rFonts w:hint="eastAsia" w:ascii="Times New Roman" w:hAnsi="Times New Roman" w:eastAsia="宋体" w:cs="Times New Roman"/>
                <w:color w:val="auto"/>
              </w:rPr>
              <w:t>等。</w:t>
            </w:r>
          </w:p>
          <w:p w14:paraId="75C9D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r>
              <w:rPr>
                <w:rFonts w:hint="eastAsia" w:ascii="Times New Roman" w:hAnsi="Times New Roman" w:eastAsia="宋体" w:cs="Times New Roman"/>
                <w:color w:val="auto"/>
                <w:highlight w:val="none"/>
              </w:rPr>
              <w:t>。</w:t>
            </w:r>
          </w:p>
          <w:p w14:paraId="79C9C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污水处理的可行性分析：生活污水一体化处理设施采用“格栅+缺氧池+好氧池+二沉池+消毒池”处理工艺，简称“A/O”工艺，其中二沉池污泥回流至缺氧池，完成反硝化脱氮，该处理工艺为成熟的生活污水处理工艺，且属于《农村生活污水处理技术规范》（DB65/T4346-2021）中“表2农村生活污水处理排放标准分级与推荐处理工艺对应表”建议处理工艺及推荐技术，故生活污水处理方式可行。</w:t>
            </w:r>
          </w:p>
          <w:p w14:paraId="176FC4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5.3噪声控制措施分析</w:t>
            </w:r>
          </w:p>
          <w:p w14:paraId="7FCB03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根据工程特性及环境特征，环评要求采取的噪声治理措施如下：</w:t>
            </w:r>
          </w:p>
          <w:p w14:paraId="23E856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1</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尽量选用技术先进的低噪声设备，夜间、午间禁止施工。</w:t>
            </w:r>
          </w:p>
          <w:p w14:paraId="1585A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2</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运输车辆减速、禁止鸣笛等。</w:t>
            </w:r>
          </w:p>
          <w:p w14:paraId="7147C1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重视操作人员的劳动保护，为其发放耳塞、耳罩，避免操作人员长期处于高噪声环境中。</w:t>
            </w:r>
          </w:p>
          <w:p w14:paraId="1AF6C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经以上措施处理后，施工噪声对周边声环境影响不大，措施可行。</w:t>
            </w:r>
          </w:p>
          <w:p w14:paraId="0BCB7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eastAsia" w:ascii="Times New Roman" w:hAnsi="Times New Roman" w:cs="Times New Roman"/>
                <w:b/>
                <w:bCs/>
                <w:color w:val="auto"/>
                <w:lang w:val="en-US" w:eastAsia="zh-CN"/>
              </w:rPr>
            </w:pPr>
            <w:r>
              <w:rPr>
                <w:rFonts w:hint="eastAsia" w:ascii="Times New Roman" w:hAnsi="Times New Roman" w:eastAsia="宋体" w:cs="Times New Roman"/>
                <w:b/>
                <w:bCs/>
                <w:color w:val="auto"/>
                <w:kern w:val="2"/>
                <w:sz w:val="24"/>
                <w:szCs w:val="32"/>
                <w:lang w:val="en-US" w:eastAsia="zh-CN" w:bidi="ar-SA"/>
              </w:rPr>
              <w:t>5.4</w:t>
            </w:r>
            <w:r>
              <w:rPr>
                <w:rFonts w:hint="eastAsia" w:ascii="Times New Roman" w:hAnsi="Times New Roman" w:cs="Times New Roman"/>
                <w:b/>
                <w:bCs/>
                <w:color w:val="auto"/>
                <w:lang w:val="en-US" w:eastAsia="zh-CN"/>
              </w:rPr>
              <w:t>固体废物处置措施分析</w:t>
            </w:r>
          </w:p>
          <w:p w14:paraId="6D636D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施工期固废主要为土石方、</w:t>
            </w:r>
            <w:r>
              <w:rPr>
                <w:rFonts w:hint="default" w:ascii="Times New Roman" w:hAnsi="Times New Roman" w:eastAsia="宋体" w:cs="Times New Roman"/>
                <w:color w:val="auto"/>
                <w:lang w:val="en-US" w:eastAsia="zh-CN"/>
              </w:rPr>
              <w:t>生活污水一体化处理设施底泥</w:t>
            </w:r>
            <w:r>
              <w:rPr>
                <w:rFonts w:hint="eastAsia" w:ascii="Times New Roman" w:hAnsi="Times New Roman" w:cs="Times New Roman"/>
                <w:b w:val="0"/>
                <w:bCs w:val="0"/>
                <w:color w:val="auto"/>
                <w:lang w:val="en-US" w:eastAsia="zh-CN"/>
              </w:rPr>
              <w:t>、施工人员生活垃圾</w:t>
            </w:r>
            <w:r>
              <w:rPr>
                <w:rFonts w:hint="eastAsia"/>
                <w:b w:val="0"/>
                <w:bCs w:val="0"/>
                <w:color w:val="auto"/>
                <w:lang w:val="en-US" w:eastAsia="zh-CN"/>
              </w:rPr>
              <w:t>及</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eastAsia"/>
                <w:b w:val="0"/>
                <w:bCs w:val="0"/>
                <w:color w:val="auto"/>
                <w:lang w:val="en-US" w:eastAsia="zh-CN"/>
              </w:rPr>
              <w:t>。</w:t>
            </w:r>
          </w:p>
          <w:p w14:paraId="760385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b/>
                <w:bCs/>
                <w:color w:val="auto"/>
                <w:lang w:val="en-US" w:eastAsia="zh-CN"/>
              </w:rPr>
            </w:pPr>
            <w:r>
              <w:rPr>
                <w:rFonts w:hint="eastAsia" w:ascii="Times New Roman" w:hAnsi="Times New Roman" w:cs="Times New Roman"/>
                <w:b w:val="0"/>
                <w:bCs w:val="0"/>
                <w:color w:val="auto"/>
                <w:lang w:val="en-US" w:eastAsia="zh-CN"/>
              </w:rPr>
              <w:t>工程施工需进行土石方开挖，此过程会产生一定量的土石方，在设计过程中充分利用了矿区的地形地貌，其基础挖填量较小，基本能够做到土石方的挖填平衡，剥离的表土堆放在探槽附近，待探矿完成后，剥离的表土全部用于矿区的复垦覆土，不外排；</w:t>
            </w:r>
            <w:r>
              <w:rPr>
                <w:rFonts w:hint="eastAsia" w:ascii="Times New Roman" w:hAnsi="Times New Roman" w:cs="Times New Roman"/>
                <w:color w:val="auto"/>
                <w:kern w:val="0"/>
                <w:szCs w:val="21"/>
                <w:lang w:val="en-US" w:eastAsia="zh-CN"/>
              </w:rPr>
              <w:t>生活垃圾采用垃圾袋集中收集后定期清运至</w:t>
            </w:r>
            <w:r>
              <w:rPr>
                <w:rFonts w:hint="eastAsia" w:cs="Times New Roman"/>
                <w:color w:val="auto"/>
                <w:lang w:val="en-US" w:eastAsia="zh-CN"/>
              </w:rPr>
              <w:t>就</w:t>
            </w:r>
            <w:r>
              <w:rPr>
                <w:rFonts w:hint="eastAsia" w:ascii="Times New Roman" w:hAnsi="Times New Roman" w:eastAsia="宋体" w:cs="Times New Roman"/>
                <w:color w:val="auto"/>
                <w:lang w:val="en-US" w:eastAsia="zh-CN"/>
              </w:rPr>
              <w:t>近</w:t>
            </w:r>
            <w:r>
              <w:rPr>
                <w:rFonts w:hint="eastAsia" w:ascii="Times New Roman" w:hAnsi="Times New Roman" w:cs="Times New Roman"/>
                <w:color w:val="auto"/>
                <w:kern w:val="0"/>
                <w:szCs w:val="21"/>
                <w:lang w:val="en-US" w:eastAsia="zh-CN"/>
              </w:rPr>
              <w:t>垃圾收集点</w:t>
            </w:r>
            <w:r>
              <w:rPr>
                <w:rFonts w:hint="eastAsia" w:ascii="Times New Roman" w:hAnsi="Times New Roman" w:cs="Times New Roman"/>
                <w:b w:val="0"/>
                <w:bCs w:val="0"/>
                <w:color w:val="auto"/>
                <w:lang w:val="en-US" w:eastAsia="zh-CN"/>
              </w:rPr>
              <w:t>；</w:t>
            </w:r>
            <w:r>
              <w:rPr>
                <w:rFonts w:hint="default" w:ascii="Times New Roman" w:hAnsi="Times New Roman" w:eastAsia="宋体" w:cs="Times New Roman"/>
                <w:color w:val="auto"/>
                <w:lang w:val="en-US" w:eastAsia="zh-CN"/>
              </w:rPr>
              <w:t>生活污水一体化处理设施</w:t>
            </w:r>
            <w:r>
              <w:rPr>
                <w:rFonts w:hint="eastAsia" w:ascii="Times New Roman" w:hAnsi="Times New Roman" w:eastAsia="宋体" w:cs="Times New Roman"/>
                <w:color w:val="auto"/>
                <w:lang w:val="en-US" w:eastAsia="zh-CN"/>
              </w:rPr>
              <w:t>产生的</w:t>
            </w:r>
            <w:r>
              <w:rPr>
                <w:rFonts w:hint="default" w:ascii="Times New Roman" w:hAnsi="Times New Roman" w:eastAsia="宋体" w:cs="Times New Roman"/>
                <w:color w:val="auto"/>
                <w:lang w:val="en-US" w:eastAsia="zh-CN"/>
              </w:rPr>
              <w:t>底泥，定期清掏用于周边植被绿化</w:t>
            </w:r>
            <w:r>
              <w:rPr>
                <w:rFonts w:hint="eastAsia" w:ascii="Times New Roman" w:hAnsi="Times New Roman" w:cs="Times New Roman"/>
                <w:b w:val="0"/>
                <w:bCs w:val="0"/>
                <w:color w:val="auto"/>
                <w:lang w:val="en-US" w:eastAsia="zh-CN"/>
              </w:rPr>
              <w:t>。</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eastAsia"/>
                <w:b w:val="0"/>
                <w:bCs w:val="0"/>
                <w:color w:val="auto"/>
                <w:lang w:val="en-US" w:eastAsia="zh-CN"/>
              </w:rPr>
              <w:t>：探矿区内设置危废贮存库，并做“防风、防雨、防晒、防渗、防漏、防腐”等措施。满足《危险废物贮存污染控制标准》（GB18597-2023）设计要求。</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eastAsia"/>
                <w:b w:val="0"/>
                <w:bCs w:val="0"/>
                <w:color w:val="auto"/>
                <w:lang w:val="en-US" w:eastAsia="zh-CN"/>
              </w:rPr>
              <w:t>交由有资质单位处置。</w:t>
            </w:r>
          </w:p>
          <w:p w14:paraId="441678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2" w:firstLineChars="200"/>
              <w:jc w:val="both"/>
              <w:textAlignment w:val="auto"/>
              <w:outlineLvl w:val="9"/>
              <w:rPr>
                <w:rFonts w:hint="eastAsia" w:ascii="Times New Roman" w:hAnsi="Times New Roman" w:cs="Times New Roman"/>
                <w:b/>
                <w:bCs/>
                <w:color w:val="auto"/>
                <w:lang w:val="en-US" w:eastAsia="zh-CN"/>
              </w:rPr>
            </w:pPr>
            <w:r>
              <w:rPr>
                <w:rFonts w:hint="eastAsia" w:ascii="Times New Roman" w:hAnsi="Times New Roman" w:cs="Times New Roman"/>
                <w:b/>
                <w:bCs/>
                <w:color w:val="auto"/>
                <w:lang w:val="en-US" w:eastAsia="zh-CN"/>
              </w:rPr>
              <w:t>暂存及转运管理要求</w:t>
            </w:r>
          </w:p>
          <w:p w14:paraId="7CFC32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①槽探过程中产生的固体废物要进行分类收集，确保固体废物的收集率为100%；严禁将固体废物乱倒乱放。</w:t>
            </w:r>
          </w:p>
          <w:p w14:paraId="37152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②建立相应的规章制度和污染防治措施；定期对收集人员培训。</w:t>
            </w:r>
          </w:p>
          <w:p w14:paraId="0A416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cs="Times New Roman"/>
                <w:b w:val="0"/>
                <w:bCs w:val="0"/>
                <w:color w:val="auto"/>
                <w:lang w:val="en-US" w:eastAsia="zh-CN"/>
              </w:rPr>
              <w:t>综上所述，本项目固废处置措施可行。</w:t>
            </w:r>
          </w:p>
          <w:p w14:paraId="17DFBA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5.5生态环境保护与植被恢复措施分析</w:t>
            </w:r>
          </w:p>
          <w:p w14:paraId="169200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本环评要求施工期生态保护与植被恢复措施如下：</w:t>
            </w:r>
          </w:p>
          <w:p w14:paraId="15121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kern w:val="2"/>
                <w:sz w:val="24"/>
                <w:szCs w:val="32"/>
                <w:lang w:val="en-US" w:eastAsia="zh-CN" w:bidi="ar-SA"/>
              </w:rPr>
            </w:pPr>
            <w:r>
              <w:rPr>
                <w:rFonts w:hint="eastAsia" w:ascii="Times New Roman" w:hAnsi="Times New Roman" w:eastAsia="宋体" w:cs="Times New Roman"/>
                <w:b/>
                <w:bCs/>
                <w:color w:val="auto"/>
                <w:kern w:val="2"/>
                <w:sz w:val="24"/>
                <w:szCs w:val="32"/>
                <w:lang w:val="en-US" w:eastAsia="zh-CN" w:bidi="ar-SA"/>
              </w:rPr>
              <w:t>5.5.1土壤与植被的保护措施</w:t>
            </w:r>
          </w:p>
          <w:p w14:paraId="3F64A5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本项目为地质</w:t>
            </w:r>
            <w:r>
              <w:rPr>
                <w:rFonts w:hint="eastAsia" w:cs="Times New Roman"/>
                <w:color w:val="auto"/>
                <w:lang w:val="en-US" w:eastAsia="zh-CN"/>
              </w:rPr>
              <w:t>勘查</w:t>
            </w:r>
            <w:r>
              <w:rPr>
                <w:rFonts w:hint="eastAsia" w:ascii="Times New Roman" w:hAnsi="Times New Roman" w:eastAsia="宋体" w:cs="Times New Roman"/>
                <w:color w:val="auto"/>
              </w:rPr>
              <w:t>工程，项目工程建设的生态环境影响主要为</w:t>
            </w:r>
            <w:r>
              <w:rPr>
                <w:rFonts w:hint="eastAsia" w:cs="Times New Roman"/>
                <w:color w:val="auto"/>
                <w:lang w:val="en-US" w:eastAsia="zh-CN"/>
              </w:rPr>
              <w:t>勘查</w:t>
            </w:r>
            <w:r>
              <w:rPr>
                <w:rFonts w:hint="eastAsia" w:ascii="Times New Roman" w:hAnsi="Times New Roman" w:eastAsia="宋体" w:cs="Times New Roman"/>
                <w:color w:val="auto"/>
              </w:rPr>
              <w:t>过程对生态的影响，在对生态环境各具体要素</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如土壤、植被、野生动物等</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产生影响的同时，也对工程占地范围内原有的地表景观格局和生态体系完整性产生一定影响。</w:t>
            </w:r>
          </w:p>
          <w:p w14:paraId="6E6B0D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本项目严格遵循《绿色地质勘查工作规范》</w:t>
            </w:r>
            <w:r>
              <w:rPr>
                <w:rFonts w:hint="eastAsia" w:cs="Times New Roman"/>
                <w:color w:val="auto"/>
                <w:highlight w:val="none"/>
                <w:lang w:eastAsia="zh-CN"/>
              </w:rPr>
              <w:t>（</w:t>
            </w:r>
            <w:r>
              <w:rPr>
                <w:rFonts w:hint="eastAsia" w:ascii="Times New Roman" w:hAnsi="Times New Roman" w:eastAsia="宋体" w:cs="Times New Roman"/>
                <w:color w:val="auto"/>
                <w:highlight w:val="none"/>
              </w:rPr>
              <w:t>DZ/T0374—2021</w:t>
            </w:r>
            <w:r>
              <w:rPr>
                <w:rFonts w:hint="eastAsia" w:cs="Times New Roman"/>
                <w:color w:val="auto"/>
                <w:highlight w:val="none"/>
                <w:lang w:eastAsia="zh-CN"/>
              </w:rPr>
              <w:t>）</w:t>
            </w:r>
            <w:r>
              <w:rPr>
                <w:rFonts w:hint="eastAsia" w:ascii="Times New Roman" w:hAnsi="Times New Roman" w:eastAsia="宋体" w:cs="Times New Roman"/>
                <w:color w:val="auto"/>
                <w:highlight w:val="none"/>
              </w:rPr>
              <w:t>全过程管控要求，从勘查前期布设、野外施工、现场管控、完工迹地恢复全流程落实绿色勘查管控，同步参照《矿山生态修复技术规范》开展临时占地生态修复，各环节合规管控要点如下：</w:t>
            </w:r>
          </w:p>
          <w:p w14:paraId="439865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一</w:t>
            </w:r>
            <w:r>
              <w:rPr>
                <w:rFonts w:hint="eastAsia" w:cs="Times New Roman"/>
                <w:color w:val="auto"/>
                <w:highlight w:val="none"/>
                <w:lang w:eastAsia="zh-CN"/>
              </w:rPr>
              <w:t>）</w:t>
            </w:r>
            <w:r>
              <w:rPr>
                <w:rFonts w:hint="eastAsia" w:ascii="Times New Roman" w:hAnsi="Times New Roman" w:eastAsia="宋体" w:cs="Times New Roman"/>
                <w:color w:val="auto"/>
                <w:highlight w:val="none"/>
              </w:rPr>
              <w:t>勘查前期规划阶段</w:t>
            </w:r>
          </w:p>
          <w:p w14:paraId="275D98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严格按照《绿色地质勘查工作规范》</w:t>
            </w:r>
            <w:r>
              <w:rPr>
                <w:rFonts w:hint="eastAsia" w:cs="Times New Roman"/>
                <w:color w:val="auto"/>
                <w:highlight w:val="none"/>
                <w:lang w:eastAsia="zh-CN"/>
              </w:rPr>
              <w:t>（</w:t>
            </w:r>
            <w:r>
              <w:rPr>
                <w:rFonts w:hint="eastAsia" w:ascii="Times New Roman" w:hAnsi="Times New Roman" w:eastAsia="宋体" w:cs="Times New Roman"/>
                <w:color w:val="auto"/>
                <w:highlight w:val="none"/>
              </w:rPr>
              <w:t>DZ/T0374—2021</w:t>
            </w:r>
            <w:r>
              <w:rPr>
                <w:rFonts w:hint="eastAsia" w:cs="Times New Roman"/>
                <w:color w:val="auto"/>
                <w:highlight w:val="none"/>
                <w:lang w:eastAsia="zh-CN"/>
              </w:rPr>
              <w:t>）</w:t>
            </w:r>
            <w:r>
              <w:rPr>
                <w:rFonts w:hint="eastAsia" w:ascii="Times New Roman" w:hAnsi="Times New Roman" w:eastAsia="宋体" w:cs="Times New Roman"/>
                <w:color w:val="auto"/>
                <w:highlight w:val="none"/>
              </w:rPr>
              <w:t>规范要求划定勘查作业边界，提前圈定禁扰植被区域，优化化探取样点位、行走路线，最大限度压缩临时扰动范围，不随意开辟简易行车便道，从源头减少地表、植被破坏，符合规范中“最小扰动”绿色勘查基本原则。</w:t>
            </w:r>
          </w:p>
          <w:p w14:paraId="2EAFA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二</w:t>
            </w:r>
            <w:r>
              <w:rPr>
                <w:rFonts w:hint="eastAsia" w:cs="Times New Roman"/>
                <w:color w:val="auto"/>
                <w:highlight w:val="none"/>
                <w:lang w:eastAsia="zh-CN"/>
              </w:rPr>
              <w:t>）</w:t>
            </w:r>
            <w:r>
              <w:rPr>
                <w:rFonts w:hint="eastAsia" w:ascii="Times New Roman" w:hAnsi="Times New Roman" w:eastAsia="宋体" w:cs="Times New Roman"/>
                <w:color w:val="auto"/>
                <w:highlight w:val="none"/>
              </w:rPr>
              <w:t>野外施工作业阶段</w:t>
            </w:r>
          </w:p>
          <w:p w14:paraId="43017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严格执行规范内土壤表层保护、土石方管控、扬尘管控、野生动物保护相关条款：取样、筛分作业限定在划定作业点内，表土分层单独堆存、土工分层回填；严禁</w:t>
            </w:r>
            <w:r>
              <w:rPr>
                <w:rFonts w:hint="eastAsia" w:cs="Times New Roman"/>
                <w:color w:val="auto"/>
                <w:highlight w:val="none"/>
                <w:lang w:val="en-US" w:eastAsia="zh-CN"/>
              </w:rPr>
              <w:t>踩踏</w:t>
            </w:r>
            <w:r>
              <w:rPr>
                <w:rFonts w:hint="eastAsia" w:ascii="Times New Roman" w:hAnsi="Times New Roman" w:eastAsia="宋体" w:cs="Times New Roman"/>
                <w:color w:val="auto"/>
                <w:highlight w:val="none"/>
              </w:rPr>
              <w:t>作业区外草地；施工人员环保培训、野生动物警示标识布设、禁止捕猎等措施完全匹配规范野外施工环保要求。</w:t>
            </w:r>
          </w:p>
          <w:p w14:paraId="4CBE6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三</w:t>
            </w:r>
            <w:r>
              <w:rPr>
                <w:rFonts w:hint="eastAsia" w:cs="Times New Roman"/>
                <w:color w:val="auto"/>
                <w:highlight w:val="none"/>
                <w:lang w:eastAsia="zh-CN"/>
              </w:rPr>
              <w:t>）</w:t>
            </w:r>
            <w:r>
              <w:rPr>
                <w:rFonts w:hint="eastAsia" w:ascii="Times New Roman" w:hAnsi="Times New Roman" w:eastAsia="宋体" w:cs="Times New Roman"/>
                <w:color w:val="auto"/>
                <w:highlight w:val="none"/>
              </w:rPr>
              <w:t>勘查完工迹地恢复阶段</w:t>
            </w:r>
          </w:p>
          <w:p w14:paraId="2D195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参照《矿山生态修复技术规范》开展临时占地生态修复，配套设置可量化刚性验收指标，作为项目竣工环保验收核心核查标准：</w:t>
            </w:r>
          </w:p>
          <w:p w14:paraId="51953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（1）覆土厚度：所有扰动迹地、临时营地覆土厚度≥20cm，覆土优先采用施工前剥离的0～20cm熟化表层土，不得使用底层贫瘠碎石土回填；</w:t>
            </w:r>
          </w:p>
          <w:p w14:paraId="645C6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（2）植被恢复率：临时占地完成平整覆土、本土耐旱草种播撒后，2年内植被恢复率≥70%，以区域原生针茅类草甸植被为优势物种，禁止引入外来植被；</w:t>
            </w:r>
          </w:p>
          <w:p w14:paraId="50EDCE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（3）土壤有机质恢复管控：回填复绿区域土壤有机质含量1年后恢复至原生土壤有机质基线值的70%以上，土层结构、腐殖质层厚度逐步接近原地貌水平；</w:t>
            </w:r>
          </w:p>
          <w:p w14:paraId="406F04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（4）平整度验收：扰动区域平整后坡度与周边原生地形基本一致，无明显坑洼、土堆，消除风蚀、水蚀加剧条件。</w:t>
            </w:r>
          </w:p>
          <w:p w14:paraId="08CE3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四</w:t>
            </w:r>
            <w:r>
              <w:rPr>
                <w:rFonts w:hint="eastAsia" w:cs="Times New Roman"/>
                <w:color w:val="auto"/>
                <w:highlight w:val="none"/>
                <w:lang w:eastAsia="zh-CN"/>
              </w:rPr>
              <w:t>）</w:t>
            </w:r>
            <w:r>
              <w:rPr>
                <w:rFonts w:hint="eastAsia" w:ascii="Times New Roman" w:hAnsi="Times New Roman" w:eastAsia="宋体" w:cs="Times New Roman"/>
                <w:color w:val="auto"/>
                <w:highlight w:val="none"/>
              </w:rPr>
              <w:t>配套细化土壤及植被保护管控细则：</w:t>
            </w:r>
          </w:p>
          <w:p w14:paraId="10CCF2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（1）探矿施工期间，将探矿活动严格控制在施工红线内，严禁越界勘查、随意扩大扰动面积；</w:t>
            </w:r>
          </w:p>
          <w:p w14:paraId="7E50F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（2）常态化洒水抑尘，降低施工扬尘对周边植被、土壤表层的覆盖影响；</w:t>
            </w:r>
          </w:p>
          <w:p w14:paraId="6893D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（3）表层熟土单独分区堆放，采取防尘网覆盖防护，施工结</w:t>
            </w:r>
            <w:r>
              <w:rPr>
                <w:rFonts w:hint="eastAsia" w:cs="Times New Roman"/>
                <w:color w:val="auto"/>
                <w:highlight w:val="none"/>
                <w:lang w:eastAsia="zh-CN"/>
              </w:rPr>
              <w:t>束后</w:t>
            </w:r>
            <w:r>
              <w:rPr>
                <w:rFonts w:hint="eastAsia" w:ascii="Times New Roman" w:hAnsi="Times New Roman" w:eastAsia="宋体" w:cs="Times New Roman"/>
                <w:color w:val="auto"/>
                <w:highlight w:val="none"/>
              </w:rPr>
              <w:t>1个月内完成全部熟土分层回填，保障土壤肥力；</w:t>
            </w:r>
          </w:p>
          <w:p w14:paraId="25DADA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（4）结合区域高寒干旱气候，选用本地耐寒、耐旱、抗风沙草甸草种，后期依靠自然降水维持植被生长；</w:t>
            </w:r>
          </w:p>
          <w:p w14:paraId="1E7931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（5）土石方开挖、回填同步推进，做到随挖随填、即时平整，缩短裸露土体受风蚀、冻融侵蚀时长；</w:t>
            </w:r>
          </w:p>
          <w:p w14:paraId="506E1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（6）充分利用原有山间通道转运物资，不新增临时施工道路，减少土壤、植被扰动面积；</w:t>
            </w:r>
          </w:p>
          <w:p w14:paraId="0F61AA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（7）施工营地、临时取样点等临时占地完工后立即启动土地平整、覆土复绿流程；</w:t>
            </w:r>
          </w:p>
          <w:p w14:paraId="14340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（8）施工前划定原生植被保护缓冲区，缓冲区范围内禁止任何机械、人员扰动，采用人工低扰动取样方式作业；</w:t>
            </w:r>
          </w:p>
          <w:p w14:paraId="60E7FD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rPr>
            </w:pPr>
            <w:r>
              <w:rPr>
                <w:rFonts w:hint="eastAsia" w:ascii="Times New Roman" w:hAnsi="Times New Roman" w:eastAsia="宋体" w:cs="Times New Roman"/>
                <w:color w:val="auto"/>
                <w:highlight w:val="none"/>
              </w:rPr>
              <w:t>（9）全过程落实HSE环境管理，安排专人每日巡查地表扰动、表土堆存、扬尘管控落实情况，形成绿色勘查巡查台账，满足《绿色地质勘查工作规范》</w:t>
            </w:r>
            <w:r>
              <w:rPr>
                <w:rFonts w:hint="eastAsia" w:cs="Times New Roman"/>
                <w:color w:val="auto"/>
                <w:highlight w:val="none"/>
                <w:lang w:eastAsia="zh-CN"/>
              </w:rPr>
              <w:t>（</w:t>
            </w:r>
            <w:r>
              <w:rPr>
                <w:rFonts w:hint="eastAsia" w:ascii="Times New Roman" w:hAnsi="Times New Roman" w:eastAsia="宋体" w:cs="Times New Roman"/>
                <w:color w:val="auto"/>
                <w:highlight w:val="none"/>
              </w:rPr>
              <w:t>DZ/T0374—2021</w:t>
            </w:r>
            <w:r>
              <w:rPr>
                <w:rFonts w:hint="eastAsia" w:cs="Times New Roman"/>
                <w:color w:val="auto"/>
                <w:highlight w:val="none"/>
                <w:lang w:eastAsia="zh-CN"/>
              </w:rPr>
              <w:t>）</w:t>
            </w:r>
            <w:r>
              <w:rPr>
                <w:rFonts w:hint="eastAsia" w:ascii="Times New Roman" w:hAnsi="Times New Roman" w:eastAsia="宋体" w:cs="Times New Roman"/>
                <w:color w:val="auto"/>
                <w:highlight w:val="none"/>
              </w:rPr>
              <w:t>资料归档要求。</w:t>
            </w:r>
          </w:p>
          <w:p w14:paraId="5C51F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b/>
                <w:bCs/>
                <w:color w:val="auto"/>
                <w:szCs w:val="32"/>
                <w:lang w:val="en-US" w:eastAsia="zh-CN"/>
              </w:rPr>
              <w:t>5.5.2</w:t>
            </w:r>
            <w:r>
              <w:rPr>
                <w:rFonts w:hint="eastAsia" w:ascii="Times New Roman" w:hAnsi="Times New Roman" w:eastAsia="宋体" w:cs="Times New Roman"/>
                <w:b/>
                <w:bCs/>
                <w:color w:val="auto"/>
              </w:rPr>
              <w:t>水土流失防治措施</w:t>
            </w:r>
          </w:p>
          <w:p w14:paraId="798E3A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highlight w:val="none"/>
              </w:rPr>
              <w:t>本项目探矿施工过程中土方量为</w:t>
            </w:r>
            <w:r>
              <w:rPr>
                <w:rFonts w:hint="eastAsia" w:cs="Times New Roman"/>
                <w:color w:val="auto"/>
                <w:highlight w:val="none"/>
                <w:lang w:val="en-US" w:eastAsia="zh-CN"/>
              </w:rPr>
              <w:t>8</w:t>
            </w:r>
            <w:r>
              <w:rPr>
                <w:rFonts w:hint="eastAsia" w:ascii="Times New Roman" w:hAnsi="Times New Roman" w:eastAsia="宋体" w:cs="Times New Roman"/>
                <w:color w:val="auto"/>
                <w:highlight w:val="none"/>
                <w:lang w:val="en-US" w:eastAsia="zh-CN"/>
              </w:rPr>
              <w:t>00</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，在探</w:t>
            </w:r>
            <w:r>
              <w:rPr>
                <w:rFonts w:hint="eastAsia" w:ascii="Times New Roman" w:hAnsi="Times New Roman" w:eastAsia="宋体" w:cs="Times New Roman"/>
                <w:color w:val="auto"/>
              </w:rPr>
              <w:t>矿施工过程中，应控制地表破坏程度，尽量保护原有地表植被，要严格按照施工规划尽可能少占地。工程施工时注意合理分配施工时段，避开大风天气，严禁在大风和降雨天气下进行开采，合理布设</w:t>
            </w:r>
            <w:r>
              <w:rPr>
                <w:rFonts w:hint="eastAsia" w:cs="Times New Roman"/>
                <w:color w:val="auto"/>
                <w:lang w:val="en-US" w:eastAsia="zh-CN"/>
              </w:rPr>
              <w:t>勘查</w:t>
            </w:r>
            <w:r>
              <w:rPr>
                <w:rFonts w:hint="eastAsia" w:ascii="Times New Roman" w:hAnsi="Times New Roman" w:eastAsia="宋体" w:cs="Times New Roman"/>
                <w:color w:val="auto"/>
              </w:rPr>
              <w:t>施工场地，及时处理开挖弃土，对施工中所产生的弃土应尽可能地加以利</w:t>
            </w:r>
            <w:r>
              <w:rPr>
                <w:rFonts w:hint="eastAsia" w:ascii="Times New Roman" w:hAnsi="Times New Roman" w:eastAsia="宋体" w:cs="Times New Roman"/>
                <w:color w:val="auto"/>
                <w:lang w:eastAsia="zh-CN"/>
              </w:rPr>
              <w:t>用和</w:t>
            </w:r>
            <w:r>
              <w:rPr>
                <w:rFonts w:hint="eastAsia" w:ascii="Times New Roman" w:hAnsi="Times New Roman" w:eastAsia="宋体" w:cs="Times New Roman"/>
                <w:color w:val="auto"/>
              </w:rPr>
              <w:t>回填；对开挖的土石方、开挖裸露面做好防风措施，尽量缩短暴露时间，本着谁开发，谁保护，谁造成水土流失谁负责治理的原则，在防治责任范围内，水土流失防治责任由企业单位负责承担。</w:t>
            </w:r>
          </w:p>
          <w:p w14:paraId="55086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1</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在</w:t>
            </w:r>
            <w:r>
              <w:rPr>
                <w:rFonts w:hint="eastAsia" w:ascii="Times New Roman" w:hAnsi="Times New Roman" w:eastAsia="宋体" w:cs="Times New Roman"/>
                <w:color w:val="auto"/>
              </w:rPr>
              <w:t>探矿施工过程中，必须做好水土流失的预防工作，认真贯彻</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谁造成水土流失，谁投资治理，谁造成新的危害，谁负责赔偿</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和</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治理与生产建设相结合</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的原则。</w:t>
            </w:r>
          </w:p>
          <w:p w14:paraId="47EA7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2</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加强</w:t>
            </w:r>
            <w:r>
              <w:rPr>
                <w:rFonts w:hint="eastAsia" w:ascii="Times New Roman" w:hAnsi="Times New Roman" w:eastAsia="宋体" w:cs="Times New Roman"/>
                <w:color w:val="auto"/>
                <w:lang w:eastAsia="zh-CN"/>
              </w:rPr>
              <w:t>水土保持法</w:t>
            </w:r>
            <w:r>
              <w:rPr>
                <w:rFonts w:hint="eastAsia" w:ascii="Times New Roman" w:hAnsi="Times New Roman" w:eastAsia="宋体" w:cs="Times New Roman"/>
                <w:color w:val="auto"/>
              </w:rPr>
              <w:t>的宣传，有关部门应积极主动，加强水土保持执法管理，将其纳入依法办事的轨道上来，对施工人员进行培训和教育，自觉保持水土，宣传保护生态环境的重要性。</w:t>
            </w:r>
          </w:p>
          <w:p w14:paraId="1284B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3</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探矿施工时应充分考虑施工计划的合理性，合理安排工期和工程顺序，减少土壤损失和地表破坏面积。</w:t>
            </w:r>
          </w:p>
          <w:p w14:paraId="3245E6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4</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探矿施工期间应划定施工活动范围</w:t>
            </w:r>
            <w:r>
              <w:rPr>
                <w:rFonts w:hint="eastAsia" w:ascii="Times New Roman" w:hAnsi="Times New Roman" w:eastAsia="宋体" w:cs="Times New Roman"/>
                <w:color w:val="auto"/>
                <w:lang w:eastAsia="zh-CN"/>
              </w:rPr>
              <w:t>，在</w:t>
            </w:r>
            <w:r>
              <w:rPr>
                <w:rFonts w:hint="eastAsia" w:ascii="Times New Roman" w:hAnsi="Times New Roman" w:eastAsia="宋体" w:cs="Times New Roman"/>
                <w:color w:val="auto"/>
              </w:rPr>
              <w:t>开展槽探营地建设过程中严格控制和管理施工活动范围，不得离开施工区域，由专人负责，以防破坏土壤和植被，引发土壤流失。</w:t>
            </w:r>
          </w:p>
          <w:p w14:paraId="2C480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5</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严禁在大风天气施工，并对相关工作人员进行宣传教育。</w:t>
            </w:r>
          </w:p>
          <w:p w14:paraId="0E10B8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6</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减少非生产生活车辆、机械进入开采区，施工中严格按照规划、设计施工占地要求，尽量减少地表形态破坏。</w:t>
            </w:r>
          </w:p>
          <w:p w14:paraId="09AB6E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建设单位在探矿期间应按照工程需要，分清轻重缓急，合理安排生态保护工程的建设时间</w:t>
            </w:r>
            <w:r>
              <w:rPr>
                <w:rFonts w:hint="eastAsia" w:ascii="Times New Roman" w:hAnsi="Times New Roman" w:eastAsia="宋体" w:cs="Times New Roman"/>
                <w:color w:val="auto"/>
                <w:lang w:eastAsia="zh-CN"/>
              </w:rPr>
              <w:t>，在</w:t>
            </w:r>
            <w:r>
              <w:rPr>
                <w:rFonts w:hint="eastAsia" w:ascii="Times New Roman" w:hAnsi="Times New Roman" w:eastAsia="宋体" w:cs="Times New Roman"/>
                <w:color w:val="auto"/>
              </w:rPr>
              <w:t>探矿工程结束后逐步落实生态恢复和补偿的工作，边探矿施工边恢复，通过采取废土回填等措施，可加快生态系统恢复和正向演替的过程，对探矿施工造成的生态破坏进行有效的补偿。</w:t>
            </w:r>
          </w:p>
          <w:p w14:paraId="7766D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5.5.3</w:t>
            </w:r>
            <w:r>
              <w:rPr>
                <w:rFonts w:hint="eastAsia" w:ascii="Times New Roman" w:hAnsi="Times New Roman" w:eastAsia="宋体" w:cs="Times New Roman"/>
                <w:b/>
                <w:bCs/>
                <w:color w:val="auto"/>
              </w:rPr>
              <w:t>野生动物保护措施</w:t>
            </w:r>
          </w:p>
          <w:p w14:paraId="3DCFB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default" w:ascii="Times New Roman" w:hAnsi="Times New Roman" w:eastAsia="宋体" w:cs="Times New Roman"/>
                <w:color w:val="auto"/>
              </w:rPr>
              <w:t>为了有效保护矿区域内的野生动物资源，可以采取以下措施：</w:t>
            </w:r>
          </w:p>
          <w:p w14:paraId="1F70C676">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rPr>
              <w:t>在施工道路设置</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保护生态环境、保护野生动物</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等警示牌，加强对施工人员进行宣传教育，强化保护野生动物的观念，不得捕猎。车辆行驶过程中不得鸣笛惊吓野生动物。</w:t>
            </w:r>
          </w:p>
          <w:p w14:paraId="4F02B9BB">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default" w:ascii="Times New Roman" w:hAnsi="Times New Roman" w:eastAsia="宋体" w:cs="Times New Roman"/>
                <w:color w:val="auto"/>
              </w:rPr>
              <w:t>加强施工人员对野生动物的保护教育，提高施工人员对野生动物的保护意识。</w:t>
            </w:r>
          </w:p>
          <w:p w14:paraId="02778B51">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default" w:ascii="Times New Roman" w:hAnsi="Times New Roman" w:eastAsia="宋体" w:cs="Times New Roman"/>
                <w:color w:val="auto"/>
              </w:rPr>
              <w:t>严禁乱捕滥猎野生动物</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制定管理制度，杜绝施工人员买卖和自制狩猎工具，严禁施工人员乱捕滥猎野生动物，做到违者必究</w:t>
            </w:r>
            <w:r>
              <w:rPr>
                <w:rFonts w:hint="eastAsia" w:ascii="Times New Roman" w:hAnsi="Times New Roman" w:eastAsia="宋体" w:cs="Times New Roman"/>
                <w:color w:val="auto"/>
              </w:rPr>
              <w:t>。</w:t>
            </w:r>
          </w:p>
          <w:p w14:paraId="6E58E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明确禁止食用地方重点保护野生动物，以及以食用为目的进行猎捕、交易、运输和非法购买等行为。</w:t>
            </w:r>
          </w:p>
          <w:p w14:paraId="073F9C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对于建设项目可能影响</w:t>
            </w:r>
            <w:r>
              <w:rPr>
                <w:rFonts w:hint="eastAsia" w:ascii="Times New Roman" w:hAnsi="Times New Roman" w:eastAsia="宋体" w:cs="Times New Roman"/>
                <w:color w:val="auto"/>
                <w:lang w:val="en-US" w:eastAsia="zh-CN"/>
              </w:rPr>
              <w:t>野生动物活动</w:t>
            </w:r>
            <w:r>
              <w:rPr>
                <w:rFonts w:hint="eastAsia" w:ascii="Times New Roman" w:hAnsi="Times New Roman" w:eastAsia="宋体" w:cs="Times New Roman"/>
                <w:color w:val="auto"/>
              </w:rPr>
              <w:t>的，要求予以避让或采取措施消除、减少不利影响。</w:t>
            </w:r>
          </w:p>
          <w:p w14:paraId="404B4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default" w:ascii="Times New Roman" w:hAnsi="Times New Roman" w:eastAsia="宋体" w:cs="Times New Roman"/>
                <w:bCs/>
                <w:color w:val="auto"/>
              </w:rPr>
            </w:pPr>
            <w:r>
              <w:rPr>
                <w:rFonts w:hint="eastAsia" w:ascii="Times New Roman" w:hAnsi="Times New Roman" w:eastAsia="宋体" w:cs="Times New Roman"/>
                <w:b/>
                <w:color w:val="auto"/>
                <w:lang w:val="en-US" w:eastAsia="zh-CN"/>
              </w:rPr>
              <w:t>5.5.4勘查</w:t>
            </w:r>
            <w:r>
              <w:rPr>
                <w:rFonts w:hint="eastAsia" w:ascii="Times New Roman" w:hAnsi="Times New Roman" w:eastAsia="宋体" w:cs="Times New Roman"/>
                <w:b/>
                <w:color w:val="auto"/>
              </w:rPr>
              <w:t>结束后的生态恢复措施</w:t>
            </w:r>
          </w:p>
          <w:p w14:paraId="64E5E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勘查结束后生态恢复工作同时满足《绿色地质勘查工作规范》（DZ/T0374—2021）完工恢复、验收相关条款及《矿山生态修复技术规范》修复质量管控要求，明确可量化验收标准：</w:t>
            </w:r>
          </w:p>
          <w:p w14:paraId="51B07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全部临时占地、取样坑、临时营地统一清理平整，施工设备、管材、样品器具全部清运出场，无任何生产生活废弃物遗留；平整完成后覆土厚度统一≥20cm，采用前期剥离原生表土覆盖；</w:t>
            </w:r>
          </w:p>
          <w:p w14:paraId="22634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覆土完成后播撒本土原生耐旱草种，建立2年恢复期跟踪监测机制，验收核心量化指标：植被恢复率≥70%，表层土壤有机质含量恢复至原生状态70%以上；</w:t>
            </w:r>
          </w:p>
          <w:p w14:paraId="60075D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全矿区完成恢复后开展全域巡视核查，对植被稀疏、覆土不足区域二次补土、补播，直至达到量化验收标准；</w:t>
            </w:r>
          </w:p>
          <w:p w14:paraId="2B949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严格落实“边勘查、边恢复”，杜绝以探代采、长期大面积裸露地表；</w:t>
            </w:r>
          </w:p>
          <w:p w14:paraId="62E19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cs="Times New Roman"/>
                <w:color w:val="auto"/>
                <w:highlight w:val="none"/>
                <w:lang w:val="en-US" w:eastAsia="zh-CN"/>
              </w:rPr>
            </w:pPr>
            <w:r>
              <w:rPr>
                <w:rFonts w:hint="eastAsia" w:cs="Times New Roman"/>
                <w:color w:val="auto"/>
                <w:highlight w:val="none"/>
                <w:lang w:val="en-US" w:eastAsia="zh-CN"/>
              </w:rPr>
              <w:t>拆除全部临时帐篷、一体化污水处理设施，所有不可循环利用生活垃圾密闭转运至城镇垃圾收集点处置；</w:t>
            </w:r>
          </w:p>
          <w:p w14:paraId="2345C2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eastAsia="宋体" w:cs="Times New Roman"/>
                <w:color w:val="auto"/>
              </w:rPr>
            </w:pPr>
            <w:r>
              <w:rPr>
                <w:rFonts w:hint="eastAsia" w:cs="Times New Roman"/>
                <w:color w:val="auto"/>
                <w:highlight w:val="none"/>
                <w:lang w:val="en-US" w:eastAsia="zh-CN"/>
              </w:rPr>
              <w:t>恢复完成后形成生态恢复专项验收台账，附覆土厚度检测记录、植被覆盖度现场核查照片、土壤有机质检测报告，作为项目竣工环保验收必备支撑材料，满足《绿色地质勘查工作规范》（DZ/T0374—2021）绿色勘查成果归档要求。</w:t>
            </w:r>
          </w:p>
          <w:p w14:paraId="2FE550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both"/>
              <w:textAlignment w:val="auto"/>
              <w:outlineLvl w:val="9"/>
              <w:rPr>
                <w:rFonts w:hint="eastAsia" w:ascii="Times New Roman" w:hAnsi="Times New Roman" w:eastAsia="宋体" w:cs="Times New Roman"/>
                <w:b/>
                <w:bCs/>
                <w:color w:val="auto"/>
              </w:rPr>
            </w:pPr>
            <w:r>
              <w:rPr>
                <w:rFonts w:hint="eastAsia" w:ascii="Times New Roman" w:hAnsi="Times New Roman" w:cs="Times New Roman"/>
                <w:b/>
                <w:bCs/>
                <w:color w:val="auto"/>
                <w:lang w:val="en-US" w:eastAsia="zh-CN"/>
              </w:rPr>
              <w:t>5.5.5</w:t>
            </w:r>
            <w:r>
              <w:rPr>
                <w:rFonts w:hint="eastAsia" w:ascii="Times New Roman" w:hAnsi="Times New Roman" w:eastAsia="宋体" w:cs="Times New Roman"/>
                <w:b/>
                <w:bCs/>
                <w:color w:val="auto"/>
                <w:lang w:val="en-US" w:eastAsia="zh-CN"/>
              </w:rPr>
              <w:t>防沙治沙</w:t>
            </w:r>
            <w:r>
              <w:rPr>
                <w:rFonts w:hint="eastAsia" w:ascii="Times New Roman" w:hAnsi="Times New Roman" w:eastAsia="宋体" w:cs="Times New Roman"/>
                <w:b/>
                <w:bCs/>
                <w:color w:val="auto"/>
              </w:rPr>
              <w:t>措施</w:t>
            </w:r>
          </w:p>
          <w:p w14:paraId="53A41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rPr>
            </w:pPr>
            <w:r>
              <w:rPr>
                <w:rFonts w:hint="eastAsia" w:ascii="Times New Roman" w:hAnsi="Times New Roman" w:eastAsia="宋体" w:cs="Times New Roman"/>
                <w:b w:val="0"/>
                <w:bCs w:val="0"/>
                <w:color w:val="auto"/>
              </w:rPr>
              <w:t>①施工期间应划定施工活动范围，严格控制和管理运输车辆的运行线路和范围，不得离开运输</w:t>
            </w:r>
            <w:r>
              <w:rPr>
                <w:rFonts w:hint="eastAsia" w:ascii="Times New Roman" w:hAnsi="Times New Roman" w:eastAsia="宋体" w:cs="Times New Roman"/>
                <w:b w:val="0"/>
                <w:bCs w:val="0"/>
                <w:color w:val="auto"/>
                <w:lang w:eastAsia="zh-CN"/>
              </w:rPr>
              <w:t>道路</w:t>
            </w:r>
            <w:r>
              <w:rPr>
                <w:rFonts w:hint="eastAsia" w:ascii="Times New Roman" w:hAnsi="Times New Roman" w:eastAsia="宋体" w:cs="Times New Roman"/>
                <w:b w:val="0"/>
                <w:bCs w:val="0"/>
                <w:color w:val="auto"/>
              </w:rPr>
              <w:t>随意行驶，由专人负责，以防破坏土壤和植被，加剧土地沙化。</w:t>
            </w:r>
          </w:p>
          <w:p w14:paraId="03D1B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rPr>
            </w:pPr>
            <w:r>
              <w:rPr>
                <w:rFonts w:hint="eastAsia" w:ascii="Times New Roman" w:hAnsi="Times New Roman" w:eastAsia="宋体" w:cs="Times New Roman"/>
                <w:b w:val="0"/>
                <w:bCs w:val="0"/>
                <w:color w:val="auto"/>
              </w:rPr>
              <w:t>②施工土方全部用于回填，严禁随意堆置。</w:t>
            </w:r>
          </w:p>
          <w:p w14:paraId="1B609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rPr>
            </w:pPr>
            <w:r>
              <w:rPr>
                <w:rFonts w:hint="eastAsia" w:ascii="Times New Roman" w:hAnsi="Times New Roman" w:eastAsia="宋体" w:cs="Times New Roman"/>
                <w:b w:val="0"/>
                <w:bCs w:val="0"/>
                <w:color w:val="auto"/>
              </w:rPr>
              <w:t>③</w:t>
            </w:r>
            <w:r>
              <w:rPr>
                <w:rFonts w:hint="eastAsia" w:ascii="Times New Roman" w:hAnsi="Times New Roman" w:eastAsia="宋体" w:cs="Times New Roman"/>
                <w:b w:val="0"/>
                <w:bCs w:val="0"/>
                <w:color w:val="auto"/>
                <w:lang w:val="en-US" w:eastAsia="zh-CN"/>
              </w:rPr>
              <w:t>槽探</w:t>
            </w:r>
            <w:r>
              <w:rPr>
                <w:rFonts w:hint="eastAsia" w:ascii="Times New Roman" w:hAnsi="Times New Roman" w:eastAsia="宋体" w:cs="Times New Roman"/>
                <w:b w:val="0"/>
                <w:bCs w:val="0"/>
                <w:color w:val="auto"/>
              </w:rPr>
              <w:t>开挖土方堆存过程中使用防尘网，并定期洒水抑尘。</w:t>
            </w:r>
          </w:p>
          <w:p w14:paraId="1E6F26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rPr>
            </w:pPr>
            <w:r>
              <w:rPr>
                <w:rFonts w:hint="eastAsia" w:ascii="Times New Roman" w:hAnsi="Times New Roman" w:eastAsia="宋体" w:cs="Times New Roman"/>
                <w:b w:val="0"/>
                <w:bCs w:val="0"/>
                <w:color w:val="auto"/>
              </w:rPr>
              <w:t>④</w:t>
            </w:r>
            <w:r>
              <w:rPr>
                <w:rFonts w:hint="eastAsia" w:ascii="Times New Roman" w:hAnsi="Times New Roman" w:eastAsia="宋体" w:cs="Times New Roman"/>
                <w:b w:val="0"/>
                <w:bCs w:val="0"/>
                <w:color w:val="auto"/>
                <w:lang w:val="en-US" w:eastAsia="zh-CN"/>
              </w:rPr>
              <w:t>探槽</w:t>
            </w:r>
            <w:r>
              <w:rPr>
                <w:rFonts w:hint="eastAsia" w:ascii="Times New Roman" w:hAnsi="Times New Roman" w:eastAsia="宋体" w:cs="Times New Roman"/>
                <w:b w:val="0"/>
                <w:bCs w:val="0"/>
                <w:color w:val="auto"/>
              </w:rPr>
              <w:t>回填需先进行严格的整治，对局部高差较大处，开挖及回填时应保证地面相对平整。精细平整过程中不仅要保证土体再塑，而且要稳坡固表。</w:t>
            </w:r>
          </w:p>
          <w:p w14:paraId="31858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val="0"/>
                <w:bCs w:val="0"/>
                <w:color w:val="auto"/>
              </w:rPr>
            </w:pPr>
            <w:r>
              <w:rPr>
                <w:rFonts w:hint="eastAsia" w:ascii="Times New Roman" w:hAnsi="Times New Roman" w:eastAsia="宋体" w:cs="Times New Roman"/>
                <w:b w:val="0"/>
                <w:bCs w:val="0"/>
                <w:color w:val="auto"/>
              </w:rPr>
              <w:t>⑤施工期间严格执行生态保护措施，杜绝破坏植被、造成沙化的行为。</w:t>
            </w:r>
          </w:p>
          <w:p w14:paraId="4F97C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eastAsia="宋体" w:cs="Times New Roman"/>
                <w:b/>
                <w:bCs/>
                <w:color w:val="auto"/>
              </w:rPr>
            </w:pPr>
            <w:r>
              <w:rPr>
                <w:rFonts w:hint="eastAsia" w:ascii="Times New Roman" w:hAnsi="Times New Roman" w:eastAsia="宋体" w:cs="Times New Roman"/>
                <w:b w:val="0"/>
                <w:bCs w:val="0"/>
                <w:color w:val="auto"/>
              </w:rPr>
              <w:t>⑥施工结</w:t>
            </w:r>
            <w:r>
              <w:rPr>
                <w:rFonts w:hint="eastAsia" w:cs="Times New Roman"/>
                <w:b w:val="0"/>
                <w:bCs w:val="0"/>
                <w:color w:val="auto"/>
                <w:lang w:eastAsia="zh-CN"/>
              </w:rPr>
              <w:t>束后</w:t>
            </w:r>
            <w:r>
              <w:rPr>
                <w:rFonts w:hint="eastAsia" w:ascii="Times New Roman" w:hAnsi="Times New Roman" w:eastAsia="宋体" w:cs="Times New Roman"/>
                <w:b w:val="0"/>
                <w:bCs w:val="0"/>
                <w:color w:val="auto"/>
              </w:rPr>
              <w:t>，对施工场地进行清理、平整。</w:t>
            </w:r>
          </w:p>
          <w:p w14:paraId="76BA5C1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5.6</w:t>
            </w:r>
            <w:r>
              <w:rPr>
                <w:rFonts w:hint="eastAsia"/>
                <w:color w:val="auto"/>
              </w:rPr>
              <w:t>环境风险评价</w:t>
            </w:r>
          </w:p>
          <w:p w14:paraId="7580C1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环境风险评价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49200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通过对项目在生产过程中使用的物质、各工艺系统的危险性进行识别，分析周边环境的敏感性，对项目的风险潜势进行初判，确定评价等级。</w:t>
            </w:r>
          </w:p>
          <w:p w14:paraId="5F0A049E">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5.6.1</w:t>
            </w:r>
            <w:r>
              <w:rPr>
                <w:rFonts w:hint="default"/>
                <w:color w:val="auto"/>
              </w:rPr>
              <w:t>评价依据</w:t>
            </w:r>
          </w:p>
          <w:p w14:paraId="7E0389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eastAsia="zh-CN"/>
              </w:rPr>
              <w:t>（</w:t>
            </w:r>
            <w:r>
              <w:rPr>
                <w:rFonts w:hint="default" w:ascii="Times New Roman" w:hAnsi="Times New Roman" w:cs="Times New Roman"/>
                <w:color w:val="auto"/>
              </w:rPr>
              <w:t>1</w:t>
            </w:r>
            <w:r>
              <w:rPr>
                <w:rFonts w:hint="eastAsia" w:ascii="Times New Roman" w:hAnsi="Times New Roman" w:cs="Times New Roman"/>
                <w:color w:val="auto"/>
                <w:lang w:eastAsia="zh-CN"/>
              </w:rPr>
              <w:t>）</w:t>
            </w:r>
            <w:r>
              <w:rPr>
                <w:rFonts w:hint="default" w:ascii="Times New Roman" w:hAnsi="Times New Roman" w:cs="Times New Roman"/>
                <w:color w:val="auto"/>
              </w:rPr>
              <w:t>风险调查</w:t>
            </w:r>
          </w:p>
          <w:p w14:paraId="1C3FFD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本项目</w:t>
            </w:r>
            <w:r>
              <w:rPr>
                <w:rFonts w:hint="eastAsia" w:ascii="Times New Roman" w:hAnsi="Times New Roman" w:cs="Times New Roman"/>
                <w:color w:val="auto"/>
                <w:lang w:eastAsia="zh-CN"/>
              </w:rPr>
              <w:t>柴油</w:t>
            </w:r>
            <w:r>
              <w:rPr>
                <w:rFonts w:hint="eastAsia" w:ascii="Times New Roman" w:hAnsi="Times New Roman" w:cs="Times New Roman"/>
                <w:color w:val="auto"/>
                <w:lang w:val="en-US" w:eastAsia="zh-CN"/>
              </w:rPr>
              <w:t>临时</w:t>
            </w:r>
            <w:r>
              <w:rPr>
                <w:rFonts w:hint="eastAsia" w:ascii="Times New Roman" w:hAnsi="Times New Roman" w:cs="Times New Roman"/>
                <w:color w:val="auto"/>
              </w:rPr>
              <w:t>从</w:t>
            </w:r>
            <w:r>
              <w:rPr>
                <w:rFonts w:hint="eastAsia" w:ascii="Times New Roman" w:hAnsi="Times New Roman" w:cs="Times New Roman"/>
                <w:color w:val="auto"/>
                <w:lang w:val="en-US" w:eastAsia="zh-CN"/>
              </w:rPr>
              <w:t>和静</w:t>
            </w:r>
            <w:r>
              <w:rPr>
                <w:rFonts w:hint="eastAsia" w:ascii="Times New Roman" w:hAnsi="Times New Roman" w:cs="Times New Roman"/>
                <w:color w:val="auto"/>
              </w:rPr>
              <w:t>县克尔古提乡</w:t>
            </w:r>
            <w:r>
              <w:rPr>
                <w:rFonts w:hint="eastAsia" w:ascii="Times New Roman" w:hAnsi="Times New Roman" w:cs="Times New Roman"/>
                <w:color w:val="auto"/>
                <w:highlight w:val="none"/>
              </w:rPr>
              <w:t>购买</w:t>
            </w:r>
            <w:r>
              <w:rPr>
                <w:rFonts w:hint="eastAsia" w:ascii="Times New Roman" w:hAnsi="Times New Roman" w:cs="Times New Roman"/>
                <w:color w:val="auto"/>
              </w:rPr>
              <w:t>，采用</w:t>
            </w:r>
            <w:r>
              <w:rPr>
                <w:rFonts w:hint="eastAsia" w:ascii="Times New Roman" w:hAnsi="Times New Roman" w:cs="Times New Roman"/>
                <w:color w:val="auto"/>
                <w:lang w:val="en-US" w:eastAsia="zh-CN"/>
              </w:rPr>
              <w:t>运油车储存，</w:t>
            </w:r>
            <w:r>
              <w:rPr>
                <w:rFonts w:hint="eastAsia" w:ascii="Times New Roman" w:hAnsi="Times New Roman" w:cs="Times New Roman"/>
                <w:color w:val="auto"/>
              </w:rPr>
              <w:t>储存量为</w:t>
            </w:r>
            <w:r>
              <w:rPr>
                <w:rFonts w:hint="eastAsia" w:ascii="Times New Roman" w:hAnsi="Times New Roman" w:cs="Times New Roman"/>
                <w:color w:val="auto"/>
                <w:lang w:val="en-US" w:eastAsia="zh-CN"/>
              </w:rPr>
              <w:t>0.25t</w:t>
            </w:r>
            <w:r>
              <w:rPr>
                <w:rFonts w:hint="eastAsia" w:ascii="Times New Roman" w:hAnsi="Times New Roman" w:cs="Times New Roman"/>
                <w:color w:val="auto"/>
              </w:rPr>
              <w:t>。</w:t>
            </w:r>
          </w:p>
          <w:p w14:paraId="13C7D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default" w:ascii="Times New Roman" w:hAnsi="Times New Roman" w:cs="Times New Roman"/>
                <w:color w:val="auto"/>
                <w:highlight w:val="none"/>
              </w:rPr>
              <w:t>暂存于</w:t>
            </w:r>
            <w:r>
              <w:rPr>
                <w:rFonts w:hint="eastAsia" w:ascii="Times New Roman" w:hAnsi="Times New Roman" w:cs="Times New Roman"/>
                <w:color w:val="auto"/>
                <w:highlight w:val="none"/>
                <w:lang w:eastAsia="zh-CN"/>
              </w:rPr>
              <w:t>危废贮存库</w:t>
            </w:r>
            <w:r>
              <w:rPr>
                <w:rFonts w:hint="default" w:ascii="Times New Roman" w:hAnsi="Times New Roman" w:cs="Times New Roman"/>
                <w:color w:val="auto"/>
                <w:highlight w:val="none"/>
              </w:rPr>
              <w:t>，交由有危废处置资质单位处理</w:t>
            </w:r>
            <w:r>
              <w:rPr>
                <w:rFonts w:hint="eastAsia" w:ascii="Times New Roman" w:hAnsi="Times New Roman" w:cs="Times New Roman"/>
                <w:color w:val="auto"/>
                <w:highlight w:val="none"/>
                <w:lang w:eastAsia="zh-CN"/>
              </w:rPr>
              <w:t>。</w:t>
            </w:r>
            <w:r>
              <w:rPr>
                <w:rFonts w:hint="eastAsia" w:ascii="Times New Roman" w:hAnsi="Times New Roman" w:cs="Times New Roman"/>
                <w:color w:val="auto"/>
              </w:rPr>
              <w:t>本项目风险物质为</w:t>
            </w:r>
            <w:r>
              <w:rPr>
                <w:rFonts w:hint="eastAsia" w:ascii="Times New Roman" w:hAnsi="Times New Roman" w:cs="Times New Roman"/>
                <w:color w:val="auto"/>
                <w:lang w:val="en-US" w:eastAsia="zh-CN"/>
              </w:rPr>
              <w:t>柴油</w:t>
            </w:r>
            <w:r>
              <w:rPr>
                <w:rFonts w:hint="eastAsia" w:cs="Times New Roman"/>
                <w:color w:val="auto"/>
                <w:lang w:val="en-US" w:eastAsia="zh-CN"/>
              </w:rPr>
              <w:t>和废润滑油</w:t>
            </w:r>
            <w:r>
              <w:rPr>
                <w:rFonts w:hint="eastAsia" w:ascii="Times New Roman" w:hAnsi="Times New Roman" w:cs="Times New Roman"/>
                <w:color w:val="auto"/>
              </w:rPr>
              <w:t>。</w:t>
            </w:r>
          </w:p>
          <w:p w14:paraId="6657B6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rPr>
              <w:t>2</w:t>
            </w:r>
            <w:r>
              <w:rPr>
                <w:rFonts w:hint="eastAsia" w:ascii="Times New Roman" w:hAnsi="Times New Roman" w:cs="Times New Roman"/>
                <w:color w:val="auto"/>
                <w:lang w:eastAsia="zh-CN"/>
              </w:rPr>
              <w:t>）</w:t>
            </w:r>
            <w:r>
              <w:rPr>
                <w:rFonts w:hint="eastAsia" w:ascii="Times New Roman" w:hAnsi="Times New Roman" w:cs="Times New Roman"/>
                <w:color w:val="auto"/>
              </w:rPr>
              <w:t>风险潜势初判</w:t>
            </w:r>
          </w:p>
          <w:p w14:paraId="7AC4E2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根据《建设项目环境风险评价技术导则》</w:t>
            </w:r>
            <w:r>
              <w:rPr>
                <w:rFonts w:hint="eastAsia" w:ascii="Times New Roman" w:hAnsi="Times New Roman" w:cs="Times New Roman"/>
                <w:color w:val="auto"/>
                <w:lang w:eastAsia="zh-CN"/>
              </w:rPr>
              <w:t>（</w:t>
            </w:r>
            <w:r>
              <w:rPr>
                <w:rFonts w:hint="default" w:ascii="Times New Roman" w:hAnsi="Times New Roman" w:cs="Times New Roman"/>
                <w:color w:val="auto"/>
              </w:rPr>
              <w:t>HJ169-2018</w:t>
            </w:r>
            <w:r>
              <w:rPr>
                <w:rFonts w:hint="eastAsia" w:ascii="Times New Roman" w:hAnsi="Times New Roman" w:cs="Times New Roman"/>
                <w:color w:val="auto"/>
                <w:lang w:eastAsia="zh-CN"/>
              </w:rPr>
              <w:t>）</w:t>
            </w:r>
            <w:r>
              <w:rPr>
                <w:rFonts w:hint="default" w:ascii="Times New Roman" w:hAnsi="Times New Roman" w:cs="Times New Roman"/>
                <w:color w:val="auto"/>
              </w:rPr>
              <w:t>，当存在多</w:t>
            </w:r>
            <w:r>
              <w:rPr>
                <w:rFonts w:hint="eastAsia" w:ascii="Times New Roman" w:hAnsi="Times New Roman" w:cs="Times New Roman"/>
                <w:color w:val="auto"/>
                <w:lang w:val="en-US" w:eastAsia="zh-CN"/>
              </w:rPr>
              <w:t>种</w:t>
            </w:r>
            <w:r>
              <w:rPr>
                <w:rFonts w:hint="default" w:ascii="Times New Roman" w:hAnsi="Times New Roman" w:cs="Times New Roman"/>
                <w:color w:val="auto"/>
              </w:rPr>
              <w:t>危险物质时，按下式计算物质总量与临界量比值。</w:t>
            </w:r>
          </w:p>
          <w:p w14:paraId="38484BC7">
            <w:pPr>
              <w:keepNext w:val="0"/>
              <w:keepLines w:val="0"/>
              <w:suppressLineNumbers w:val="0"/>
              <w:adjustRightInd w:val="0"/>
              <w:snapToGrid w:val="0"/>
              <w:spacing w:before="0" w:beforeAutospacing="0" w:after="0" w:afterAutospacing="0"/>
              <w:ind w:left="0" w:right="0" w:firstLine="480"/>
              <w:jc w:val="center"/>
              <w:rPr>
                <w:rFonts w:hint="default" w:ascii="Times New Roman" w:hAnsi="Times New Roman" w:cs="Times New Roman"/>
                <w:b/>
                <w:color w:val="auto"/>
              </w:rPr>
            </w:pPr>
            <w:r>
              <w:rPr>
                <w:rFonts w:hint="default" w:ascii="Times New Roman" w:hAnsi="Times New Roman" w:cs="Times New Roman"/>
                <w:color w:val="auto"/>
              </w:rPr>
              <w:drawing>
                <wp:inline distT="0" distB="0" distL="114300" distR="114300">
                  <wp:extent cx="1785620" cy="539115"/>
                  <wp:effectExtent l="0" t="0" r="508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1785620" cy="539115"/>
                          </a:xfrm>
                          <a:prstGeom prst="rect">
                            <a:avLst/>
                          </a:prstGeom>
                          <a:noFill/>
                          <a:ln>
                            <a:noFill/>
                          </a:ln>
                        </pic:spPr>
                      </pic:pic>
                    </a:graphicData>
                  </a:graphic>
                </wp:inline>
              </w:drawing>
            </w:r>
          </w:p>
          <w:p w14:paraId="61F5B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式中：q</w:t>
            </w:r>
            <w:r>
              <w:rPr>
                <w:rFonts w:hint="default" w:ascii="Times New Roman" w:hAnsi="Times New Roman" w:cs="Times New Roman"/>
                <w:color w:val="auto"/>
                <w:vertAlign w:val="subscript"/>
              </w:rPr>
              <w:t>1</w:t>
            </w:r>
            <w:r>
              <w:rPr>
                <w:rFonts w:hint="default" w:ascii="Times New Roman" w:hAnsi="Times New Roman" w:cs="Times New Roman"/>
                <w:color w:val="auto"/>
              </w:rPr>
              <w:t>，q</w:t>
            </w:r>
            <w:r>
              <w:rPr>
                <w:rFonts w:hint="default" w:ascii="Times New Roman" w:hAnsi="Times New Roman" w:cs="Times New Roman"/>
                <w:color w:val="auto"/>
                <w:vertAlign w:val="subscript"/>
              </w:rPr>
              <w:t>2</w:t>
            </w:r>
            <w:r>
              <w:rPr>
                <w:rFonts w:hint="default" w:ascii="Times New Roman" w:hAnsi="Times New Roman" w:cs="Times New Roman"/>
                <w:color w:val="auto"/>
              </w:rPr>
              <w:t>…..q</w:t>
            </w:r>
            <w:r>
              <w:rPr>
                <w:rFonts w:hint="default" w:ascii="Times New Roman" w:hAnsi="Times New Roman" w:cs="Times New Roman"/>
                <w:color w:val="auto"/>
                <w:vertAlign w:val="subscript"/>
              </w:rPr>
              <w:t>n</w:t>
            </w:r>
            <w:r>
              <w:rPr>
                <w:rFonts w:hint="default" w:ascii="Times New Roman" w:hAnsi="Times New Roman" w:cs="Times New Roman"/>
                <w:color w:val="auto"/>
              </w:rPr>
              <w:t>——每种危险物质的最大存在总量，t；</w:t>
            </w:r>
          </w:p>
          <w:p w14:paraId="1883BD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1200" w:firstLineChars="500"/>
              <w:textAlignment w:val="auto"/>
              <w:rPr>
                <w:rFonts w:hint="default" w:ascii="Times New Roman" w:hAnsi="Times New Roman" w:cs="Times New Roman"/>
                <w:color w:val="auto"/>
              </w:rPr>
            </w:pPr>
            <w:r>
              <w:rPr>
                <w:rFonts w:hint="default" w:ascii="Times New Roman" w:hAnsi="Times New Roman" w:cs="Times New Roman"/>
                <w:color w:val="auto"/>
              </w:rPr>
              <w:t>Q</w:t>
            </w:r>
            <w:r>
              <w:rPr>
                <w:rFonts w:hint="default" w:ascii="Times New Roman" w:hAnsi="Times New Roman" w:cs="Times New Roman"/>
                <w:color w:val="auto"/>
                <w:vertAlign w:val="subscript"/>
              </w:rPr>
              <w:t>1</w:t>
            </w:r>
            <w:r>
              <w:rPr>
                <w:rFonts w:hint="default" w:ascii="Times New Roman" w:hAnsi="Times New Roman" w:cs="Times New Roman"/>
                <w:color w:val="auto"/>
              </w:rPr>
              <w:t>，Q</w:t>
            </w:r>
            <w:r>
              <w:rPr>
                <w:rFonts w:hint="default" w:ascii="Times New Roman" w:hAnsi="Times New Roman" w:cs="Times New Roman"/>
                <w:color w:val="auto"/>
                <w:vertAlign w:val="subscript"/>
              </w:rPr>
              <w:t>2</w:t>
            </w:r>
            <w:r>
              <w:rPr>
                <w:rFonts w:hint="default" w:ascii="Times New Roman" w:hAnsi="Times New Roman" w:cs="Times New Roman"/>
                <w:color w:val="auto"/>
              </w:rPr>
              <w:t>，…..Q</w:t>
            </w:r>
            <w:r>
              <w:rPr>
                <w:rFonts w:hint="default" w:ascii="Times New Roman" w:hAnsi="Times New Roman" w:cs="Times New Roman"/>
                <w:color w:val="auto"/>
                <w:vertAlign w:val="subscript"/>
              </w:rPr>
              <w:t>n</w:t>
            </w:r>
            <w:r>
              <w:rPr>
                <w:rFonts w:hint="default" w:ascii="Times New Roman" w:hAnsi="Times New Roman" w:cs="Times New Roman"/>
                <w:color w:val="auto"/>
              </w:rPr>
              <w:t>——每种危险物质的临界量，t；</w:t>
            </w:r>
          </w:p>
          <w:p w14:paraId="00C15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当Q&lt;1时，该项目环境风险潜势为</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1 \* ROMAN</w:instrText>
            </w:r>
            <w:r>
              <w:rPr>
                <w:rFonts w:hint="default" w:ascii="Times New Roman" w:hAnsi="Times New Roman" w:cs="Times New Roman"/>
                <w:color w:val="auto"/>
              </w:rPr>
              <w:fldChar w:fldCharType="separate"/>
            </w:r>
            <w:r>
              <w:rPr>
                <w:rFonts w:hint="default" w:ascii="Times New Roman" w:hAnsi="Times New Roman" w:cs="Times New Roman"/>
                <w:color w:val="auto"/>
              </w:rPr>
              <w:t>I</w:t>
            </w:r>
            <w:r>
              <w:rPr>
                <w:rFonts w:hint="default" w:ascii="Times New Roman" w:hAnsi="Times New Roman" w:cs="Times New Roman"/>
                <w:color w:val="auto"/>
              </w:rPr>
              <w:fldChar w:fldCharType="end"/>
            </w:r>
            <w:r>
              <w:rPr>
                <w:rFonts w:hint="default" w:ascii="Times New Roman" w:hAnsi="Times New Roman" w:cs="Times New Roman"/>
                <w:color w:val="auto"/>
              </w:rPr>
              <w:t>。</w:t>
            </w:r>
          </w:p>
          <w:p w14:paraId="754069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当Q≥1时，将Q值划分为：</w:t>
            </w:r>
            <w:r>
              <w:rPr>
                <w:rFonts w:hint="eastAsia" w:ascii="Times New Roman" w:hAnsi="Times New Roman" w:cs="Times New Roman"/>
                <w:color w:val="auto"/>
                <w:lang w:eastAsia="zh-CN"/>
              </w:rPr>
              <w:t>（</w:t>
            </w:r>
            <w:r>
              <w:rPr>
                <w:rFonts w:hint="default" w:ascii="Times New Roman" w:hAnsi="Times New Roman" w:cs="Times New Roman"/>
                <w:color w:val="auto"/>
              </w:rPr>
              <w:t>1</w:t>
            </w:r>
            <w:r>
              <w:rPr>
                <w:rFonts w:hint="eastAsia" w:ascii="Times New Roman" w:hAnsi="Times New Roman" w:cs="Times New Roman"/>
                <w:color w:val="auto"/>
                <w:lang w:eastAsia="zh-CN"/>
              </w:rPr>
              <w:t>）</w:t>
            </w:r>
            <w:r>
              <w:rPr>
                <w:rFonts w:hint="default" w:ascii="Times New Roman" w:hAnsi="Times New Roman" w:cs="Times New Roman"/>
                <w:color w:val="auto"/>
              </w:rPr>
              <w:t>1≤Q＜10；</w:t>
            </w:r>
            <w:r>
              <w:rPr>
                <w:rFonts w:hint="eastAsia" w:ascii="Times New Roman" w:hAnsi="Times New Roman" w:cs="Times New Roman"/>
                <w:color w:val="auto"/>
                <w:lang w:eastAsia="zh-CN"/>
              </w:rPr>
              <w:t>（</w:t>
            </w:r>
            <w:r>
              <w:rPr>
                <w:rFonts w:hint="default" w:ascii="Times New Roman" w:hAnsi="Times New Roman" w:cs="Times New Roman"/>
                <w:color w:val="auto"/>
              </w:rPr>
              <w:t>2</w:t>
            </w:r>
            <w:r>
              <w:rPr>
                <w:rFonts w:hint="eastAsia" w:ascii="Times New Roman" w:hAnsi="Times New Roman" w:cs="Times New Roman"/>
                <w:color w:val="auto"/>
                <w:lang w:eastAsia="zh-CN"/>
              </w:rPr>
              <w:t>）</w:t>
            </w:r>
            <w:r>
              <w:rPr>
                <w:rFonts w:hint="default" w:ascii="Times New Roman" w:hAnsi="Times New Roman" w:cs="Times New Roman"/>
                <w:color w:val="auto"/>
              </w:rPr>
              <w:t>10≤Q＜</w:t>
            </w:r>
            <w:r>
              <w:rPr>
                <w:rFonts w:hint="eastAsia" w:ascii="Times New Roman" w:hAnsi="Times New Roman" w:cs="Times New Roman"/>
                <w:color w:val="auto"/>
                <w:lang w:val="en-US" w:eastAsia="zh-CN"/>
              </w:rPr>
              <w:t>1</w:t>
            </w:r>
            <w:r>
              <w:rPr>
                <w:rFonts w:hint="default" w:ascii="Times New Roman" w:hAnsi="Times New Roman" w:cs="Times New Roman"/>
                <w:color w:val="auto"/>
              </w:rPr>
              <w:t>00；</w:t>
            </w:r>
            <w:r>
              <w:rPr>
                <w:rFonts w:hint="eastAsia" w:ascii="Times New Roman" w:hAnsi="Times New Roman" w:cs="Times New Roman"/>
                <w:color w:val="auto"/>
                <w:lang w:eastAsia="zh-CN"/>
              </w:rPr>
              <w:t>（</w:t>
            </w:r>
            <w:r>
              <w:rPr>
                <w:rFonts w:hint="default" w:ascii="Times New Roman" w:hAnsi="Times New Roman" w:cs="Times New Roman"/>
                <w:color w:val="auto"/>
              </w:rPr>
              <w:t>3</w:t>
            </w:r>
            <w:r>
              <w:rPr>
                <w:rFonts w:hint="eastAsia" w:ascii="Times New Roman" w:hAnsi="Times New Roman" w:cs="Times New Roman"/>
                <w:color w:val="auto"/>
                <w:lang w:eastAsia="zh-CN"/>
              </w:rPr>
              <w:t>）</w:t>
            </w:r>
            <w:r>
              <w:rPr>
                <w:rFonts w:hint="default" w:ascii="Times New Roman" w:hAnsi="Times New Roman" w:cs="Times New Roman"/>
                <w:color w:val="auto"/>
              </w:rPr>
              <w:t>Q≥100。</w:t>
            </w:r>
          </w:p>
          <w:p w14:paraId="1B4E1130">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rPr>
            </w:pPr>
            <w:r>
              <w:rPr>
                <w:rFonts w:hint="default" w:ascii="Times New Roman" w:hAnsi="Times New Roman" w:eastAsia="宋体" w:cs="Times New Roman"/>
                <w:b/>
                <w:color w:val="auto"/>
              </w:rPr>
              <w:t>表</w:t>
            </w:r>
            <w:r>
              <w:rPr>
                <w:rFonts w:hint="eastAsia" w:ascii="Times New Roman" w:hAnsi="Times New Roman" w:eastAsia="宋体" w:cs="Times New Roman"/>
                <w:b/>
                <w:color w:val="auto"/>
                <w:lang w:val="en-US" w:eastAsia="zh-CN"/>
              </w:rPr>
              <w:t>5.6-1</w:t>
            </w:r>
            <w:r>
              <w:rPr>
                <w:rFonts w:hint="default" w:ascii="Times New Roman" w:hAnsi="Times New Roman" w:eastAsia="宋体" w:cs="Times New Roman"/>
                <w:b/>
                <w:color w:val="auto"/>
              </w:rPr>
              <w:t xml:space="preserve">  本项目涉及的风险源分布情况表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277"/>
              <w:gridCol w:w="1335"/>
              <w:gridCol w:w="1312"/>
              <w:gridCol w:w="1230"/>
              <w:gridCol w:w="2694"/>
            </w:tblGrid>
            <w:tr w14:paraId="3B03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6" w:hRule="atLeast"/>
                <w:jc w:val="center"/>
              </w:trPr>
              <w:tc>
                <w:tcPr>
                  <w:tcW w:w="1121" w:type="dxa"/>
                  <w:noWrap w:val="0"/>
                  <w:vAlign w:val="center"/>
                </w:tcPr>
                <w:p w14:paraId="34C6AF28">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名称</w:t>
                  </w:r>
                </w:p>
              </w:tc>
              <w:tc>
                <w:tcPr>
                  <w:tcW w:w="1277" w:type="dxa"/>
                  <w:noWrap w:val="0"/>
                  <w:vAlign w:val="center"/>
                </w:tcPr>
                <w:p w14:paraId="33FFD22A">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CAS号</w:t>
                  </w:r>
                </w:p>
              </w:tc>
              <w:tc>
                <w:tcPr>
                  <w:tcW w:w="1335" w:type="dxa"/>
                  <w:noWrap w:val="0"/>
                  <w:vAlign w:val="center"/>
                </w:tcPr>
                <w:p w14:paraId="0F93FFBE">
                  <w:pPr>
                    <w:pStyle w:val="76"/>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hint="default" w:ascii="Times New Roman" w:hAnsi="Times New Roman" w:cs="Times New Roman"/>
                      <w:color w:val="auto"/>
                    </w:rPr>
                    <w:t>最大储存量</w:t>
                  </w:r>
                  <w:r>
                    <w:rPr>
                      <w:rFonts w:hint="eastAsia" w:ascii="Times New Roman" w:hAnsi="Times New Roman" w:cs="Times New Roman"/>
                      <w:color w:val="auto"/>
                      <w:lang w:eastAsia="zh-CN"/>
                    </w:rPr>
                    <w:t>（</w:t>
                  </w:r>
                  <w:r>
                    <w:rPr>
                      <w:rFonts w:hint="default" w:ascii="Times New Roman" w:hAnsi="Times New Roman" w:cs="Times New Roman"/>
                      <w:color w:val="auto"/>
                    </w:rPr>
                    <w:t>t</w:t>
                  </w:r>
                  <w:r>
                    <w:rPr>
                      <w:rFonts w:hint="eastAsia" w:ascii="Times New Roman" w:hAnsi="Times New Roman" w:cs="Times New Roman"/>
                      <w:color w:val="auto"/>
                      <w:lang w:eastAsia="zh-CN"/>
                    </w:rPr>
                    <w:t>）</w:t>
                  </w:r>
                </w:p>
              </w:tc>
              <w:tc>
                <w:tcPr>
                  <w:tcW w:w="1312" w:type="dxa"/>
                  <w:noWrap w:val="0"/>
                  <w:vAlign w:val="center"/>
                </w:tcPr>
                <w:p w14:paraId="6C380DC1">
                  <w:pPr>
                    <w:pStyle w:val="76"/>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hint="default" w:ascii="Times New Roman" w:hAnsi="Times New Roman" w:cs="Times New Roman"/>
                      <w:color w:val="auto"/>
                    </w:rPr>
                    <w:t>临界量</w:t>
                  </w:r>
                  <w:r>
                    <w:rPr>
                      <w:rFonts w:hint="eastAsia" w:ascii="Times New Roman" w:hAnsi="Times New Roman" w:cs="Times New Roman"/>
                      <w:color w:val="auto"/>
                      <w:lang w:eastAsia="zh-CN"/>
                    </w:rPr>
                    <w:t>（</w:t>
                  </w:r>
                  <w:r>
                    <w:rPr>
                      <w:rFonts w:hint="default" w:ascii="Times New Roman" w:hAnsi="Times New Roman" w:cs="Times New Roman"/>
                      <w:color w:val="auto"/>
                    </w:rPr>
                    <w:t>t</w:t>
                  </w:r>
                  <w:r>
                    <w:rPr>
                      <w:rFonts w:hint="eastAsia" w:ascii="Times New Roman" w:hAnsi="Times New Roman" w:cs="Times New Roman"/>
                      <w:color w:val="auto"/>
                      <w:lang w:eastAsia="zh-CN"/>
                    </w:rPr>
                    <w:t>）</w:t>
                  </w:r>
                </w:p>
              </w:tc>
              <w:tc>
                <w:tcPr>
                  <w:tcW w:w="1230" w:type="dxa"/>
                  <w:noWrap w:val="0"/>
                  <w:vAlign w:val="center"/>
                </w:tcPr>
                <w:p w14:paraId="26AAEDA5">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储存方式</w:t>
                  </w:r>
                </w:p>
              </w:tc>
              <w:tc>
                <w:tcPr>
                  <w:tcW w:w="2694" w:type="dxa"/>
                  <w:noWrap w:val="0"/>
                  <w:vAlign w:val="center"/>
                </w:tcPr>
                <w:p w14:paraId="2212212D">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分布区域</w:t>
                  </w:r>
                </w:p>
              </w:tc>
            </w:tr>
            <w:tr w14:paraId="6D6F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1" w:type="dxa"/>
                  <w:noWrap w:val="0"/>
                  <w:vAlign w:val="center"/>
                </w:tcPr>
                <w:p w14:paraId="4E7A5208">
                  <w:pPr>
                    <w:pStyle w:val="76"/>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柴油</w:t>
                  </w:r>
                </w:p>
              </w:tc>
              <w:tc>
                <w:tcPr>
                  <w:tcW w:w="1277" w:type="dxa"/>
                  <w:noWrap w:val="0"/>
                  <w:vAlign w:val="center"/>
                </w:tcPr>
                <w:p w14:paraId="1D408B08">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cs="Times New Roman"/>
                      <w:color w:val="auto"/>
                    </w:rPr>
                    <w:t>68334-30-5</w:t>
                  </w:r>
                </w:p>
              </w:tc>
              <w:tc>
                <w:tcPr>
                  <w:tcW w:w="1335" w:type="dxa"/>
                  <w:noWrap w:val="0"/>
                  <w:vAlign w:val="center"/>
                </w:tcPr>
                <w:p w14:paraId="64AE1C2D">
                  <w:pPr>
                    <w:pStyle w:val="76"/>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0.25</w:t>
                  </w:r>
                </w:p>
              </w:tc>
              <w:tc>
                <w:tcPr>
                  <w:tcW w:w="1312" w:type="dxa"/>
                  <w:noWrap w:val="0"/>
                  <w:vAlign w:val="center"/>
                </w:tcPr>
                <w:p w14:paraId="31E26E70">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2500</w:t>
                  </w:r>
                </w:p>
              </w:tc>
              <w:tc>
                <w:tcPr>
                  <w:tcW w:w="1230" w:type="dxa"/>
                  <w:noWrap w:val="0"/>
                  <w:vAlign w:val="center"/>
                </w:tcPr>
                <w:p w14:paraId="0A8C2214">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eastAsia="宋体" w:cs="Times New Roman"/>
                      <w:color w:val="auto"/>
                      <w:lang w:val="en-US" w:eastAsia="zh-CN"/>
                    </w:rPr>
                    <w:t>车</w:t>
                  </w:r>
                  <w:r>
                    <w:rPr>
                      <w:rFonts w:hint="default" w:ascii="Times New Roman" w:hAnsi="Times New Roman" w:cs="Times New Roman"/>
                      <w:color w:val="auto"/>
                    </w:rPr>
                    <w:t>装</w:t>
                  </w:r>
                </w:p>
              </w:tc>
              <w:tc>
                <w:tcPr>
                  <w:tcW w:w="2694" w:type="dxa"/>
                  <w:noWrap w:val="0"/>
                  <w:vAlign w:val="center"/>
                </w:tcPr>
                <w:p w14:paraId="15B70E2C">
                  <w:pPr>
                    <w:pStyle w:val="76"/>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运油车</w:t>
                  </w:r>
                </w:p>
              </w:tc>
            </w:tr>
            <w:tr w14:paraId="4D3A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1" w:type="dxa"/>
                  <w:noWrap w:val="0"/>
                  <w:vAlign w:val="center"/>
                </w:tcPr>
                <w:p w14:paraId="3545F4F4">
                  <w:pPr>
                    <w:pStyle w:val="76"/>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lang w:val="en-US" w:eastAsia="zh-CN"/>
                    </w:rPr>
                  </w:pPr>
                  <w:r>
                    <w:rPr>
                      <w:rFonts w:hint="eastAsia" w:ascii="Times New Roman" w:hAnsi="Times New Roman" w:cs="Times New Roman"/>
                      <w:color w:val="auto"/>
                      <w:highlight w:val="none"/>
                      <w:shd w:val="clear" w:color="auto" w:fill="FFFFFF"/>
                      <w:lang w:val="en-US" w:eastAsia="zh-CN"/>
                    </w:rPr>
                    <w:t>废润滑油</w:t>
                  </w:r>
                </w:p>
              </w:tc>
              <w:tc>
                <w:tcPr>
                  <w:tcW w:w="1277" w:type="dxa"/>
                  <w:noWrap w:val="0"/>
                  <w:vAlign w:val="center"/>
                </w:tcPr>
                <w:p w14:paraId="0F0E7EC2">
                  <w:pPr>
                    <w:pStyle w:val="76"/>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rPr>
                  </w:pPr>
                  <w:r>
                    <w:rPr>
                      <w:rFonts w:hint="eastAsia"/>
                      <w:color w:val="auto"/>
                      <w:lang w:val="en-US" w:eastAsia="zh-CN"/>
                    </w:rPr>
                    <w:t>8</w:t>
                  </w:r>
                  <w:r>
                    <w:rPr>
                      <w:rFonts w:hint="default"/>
                      <w:color w:val="auto"/>
                    </w:rPr>
                    <w:t>00</w:t>
                  </w:r>
                  <w:r>
                    <w:rPr>
                      <w:rFonts w:hint="eastAsia"/>
                      <w:color w:val="auto"/>
                      <w:lang w:val="en-US" w:eastAsia="zh-CN"/>
                    </w:rPr>
                    <w:t>2</w:t>
                  </w:r>
                  <w:r>
                    <w:rPr>
                      <w:rFonts w:hint="default"/>
                      <w:color w:val="auto"/>
                    </w:rPr>
                    <w:t>-</w:t>
                  </w:r>
                  <w:r>
                    <w:rPr>
                      <w:rFonts w:hint="eastAsia"/>
                      <w:color w:val="auto"/>
                      <w:lang w:val="en-US" w:eastAsia="zh-CN"/>
                    </w:rPr>
                    <w:t>05</w:t>
                  </w:r>
                  <w:r>
                    <w:rPr>
                      <w:rFonts w:hint="default"/>
                      <w:color w:val="auto"/>
                    </w:rPr>
                    <w:t>-</w:t>
                  </w:r>
                  <w:r>
                    <w:rPr>
                      <w:rFonts w:hint="eastAsia"/>
                      <w:color w:val="auto"/>
                      <w:lang w:val="en-US" w:eastAsia="zh-CN"/>
                    </w:rPr>
                    <w:t>9</w:t>
                  </w:r>
                </w:p>
              </w:tc>
              <w:tc>
                <w:tcPr>
                  <w:tcW w:w="1335" w:type="dxa"/>
                  <w:noWrap w:val="0"/>
                  <w:vAlign w:val="center"/>
                </w:tcPr>
                <w:p w14:paraId="29893F37">
                  <w:pPr>
                    <w:pStyle w:val="76"/>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lang w:val="en-US" w:eastAsia="zh-CN"/>
                    </w:rPr>
                  </w:pPr>
                  <w:r>
                    <w:rPr>
                      <w:rFonts w:hint="eastAsia" w:eastAsia="宋体"/>
                      <w:color w:val="auto"/>
                      <w:lang w:val="en-US" w:eastAsia="zh-CN"/>
                    </w:rPr>
                    <w:t>0.01</w:t>
                  </w:r>
                </w:p>
              </w:tc>
              <w:tc>
                <w:tcPr>
                  <w:tcW w:w="1312" w:type="dxa"/>
                  <w:noWrap w:val="0"/>
                  <w:vAlign w:val="center"/>
                </w:tcPr>
                <w:p w14:paraId="30D94DD9">
                  <w:pPr>
                    <w:pStyle w:val="76"/>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rPr>
                  </w:pPr>
                  <w:r>
                    <w:rPr>
                      <w:rFonts w:hint="eastAsia"/>
                      <w:color w:val="auto"/>
                      <w:lang w:val="en-US" w:eastAsia="zh-CN"/>
                    </w:rPr>
                    <w:t>2500</w:t>
                  </w:r>
                </w:p>
              </w:tc>
              <w:tc>
                <w:tcPr>
                  <w:tcW w:w="1230" w:type="dxa"/>
                  <w:noWrap w:val="0"/>
                  <w:vAlign w:val="center"/>
                </w:tcPr>
                <w:p w14:paraId="646A8AB7">
                  <w:pPr>
                    <w:pStyle w:val="76"/>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lang w:val="en-US" w:eastAsia="zh-CN"/>
                    </w:rPr>
                  </w:pPr>
                  <w:r>
                    <w:rPr>
                      <w:rFonts w:hint="default"/>
                      <w:color w:val="auto"/>
                    </w:rPr>
                    <w:t>桶装</w:t>
                  </w:r>
                </w:p>
              </w:tc>
              <w:tc>
                <w:tcPr>
                  <w:tcW w:w="2694" w:type="dxa"/>
                  <w:noWrap w:val="0"/>
                  <w:vAlign w:val="center"/>
                </w:tcPr>
                <w:p w14:paraId="71D3398E">
                  <w:pPr>
                    <w:pStyle w:val="76"/>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lang w:val="en-US" w:eastAsia="zh-CN"/>
                    </w:rPr>
                  </w:pPr>
                  <w:r>
                    <w:rPr>
                      <w:rFonts w:hint="eastAsia"/>
                      <w:color w:val="auto"/>
                      <w:lang w:val="en-US" w:eastAsia="zh-CN"/>
                    </w:rPr>
                    <w:t>危废贮存库</w:t>
                  </w:r>
                </w:p>
              </w:tc>
            </w:tr>
          </w:tbl>
          <w:p w14:paraId="4FA2062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right="0" w:firstLine="480" w:firstLineChars="200"/>
              <w:jc w:val="both"/>
              <w:rPr>
                <w:rFonts w:hint="default" w:ascii="Times New Roman" w:hAnsi="Times New Roman" w:cs="Times New Roman"/>
                <w:color w:val="auto"/>
              </w:rPr>
            </w:pPr>
            <w:r>
              <w:rPr>
                <w:rFonts w:hint="default" w:ascii="Times New Roman" w:hAnsi="Times New Roman" w:cs="Times New Roman"/>
                <w:color w:val="auto"/>
              </w:rPr>
              <w:t>通过计算，本项目Q=</w:t>
            </w:r>
            <w:r>
              <w:rPr>
                <w:rFonts w:hint="eastAsia" w:ascii="Times New Roman" w:hAnsi="Times New Roman" w:eastAsia="宋体" w:cs="Times New Roman"/>
                <w:color w:val="auto"/>
              </w:rPr>
              <w:t>0.</w:t>
            </w:r>
            <w:r>
              <w:rPr>
                <w:rFonts w:hint="eastAsia" w:ascii="Times New Roman" w:hAnsi="Times New Roman" w:eastAsia="宋体" w:cs="Times New Roman"/>
                <w:color w:val="auto"/>
                <w:lang w:val="en-US" w:eastAsia="zh-CN"/>
              </w:rPr>
              <w:t>0001</w:t>
            </w:r>
            <w:r>
              <w:rPr>
                <w:rFonts w:hint="eastAsia" w:cs="Times New Roman"/>
                <w:color w:val="auto"/>
                <w:lang w:val="en-US" w:eastAsia="zh-CN"/>
              </w:rPr>
              <w:t>04</w:t>
            </w:r>
            <w:r>
              <w:rPr>
                <w:rFonts w:hint="default" w:ascii="Times New Roman" w:hAnsi="Times New Roman" w:cs="Times New Roman"/>
                <w:color w:val="auto"/>
              </w:rPr>
              <w:t>&lt;1，所以本项目环境风险潜势为</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1 \* ROMAN</w:instrText>
            </w:r>
            <w:r>
              <w:rPr>
                <w:rFonts w:hint="default" w:ascii="Times New Roman" w:hAnsi="Times New Roman" w:cs="Times New Roman"/>
                <w:color w:val="auto"/>
              </w:rPr>
              <w:fldChar w:fldCharType="separate"/>
            </w:r>
            <w:r>
              <w:rPr>
                <w:rFonts w:hint="default" w:ascii="Times New Roman" w:hAnsi="Times New Roman" w:cs="Times New Roman"/>
                <w:color w:val="auto"/>
              </w:rPr>
              <w:t>I</w:t>
            </w:r>
            <w:r>
              <w:rPr>
                <w:rFonts w:hint="default" w:ascii="Times New Roman" w:hAnsi="Times New Roman" w:cs="Times New Roman"/>
                <w:color w:val="auto"/>
              </w:rPr>
              <w:fldChar w:fldCharType="end"/>
            </w:r>
            <w:r>
              <w:rPr>
                <w:rFonts w:hint="default" w:ascii="Times New Roman" w:hAnsi="Times New Roman" w:cs="Times New Roman"/>
                <w:color w:val="auto"/>
              </w:rPr>
              <w:t>。</w:t>
            </w:r>
          </w:p>
          <w:p w14:paraId="0FD04BC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right="0" w:firstLine="480" w:firstLineChars="200"/>
              <w:jc w:val="both"/>
              <w:rPr>
                <w:rFonts w:hint="default" w:ascii="Times New Roman" w:hAnsi="Times New Roman" w:cs="Times New Roman"/>
                <w:color w:val="auto"/>
              </w:rPr>
            </w:pPr>
            <w:r>
              <w:rPr>
                <w:rFonts w:hint="eastAsia" w:ascii="Times New Roman" w:hAnsi="Times New Roman" w:cs="Times New Roman"/>
                <w:color w:val="auto"/>
                <w:lang w:eastAsia="zh-CN"/>
              </w:rPr>
              <w:t>（</w:t>
            </w:r>
            <w:r>
              <w:rPr>
                <w:rFonts w:hint="default" w:ascii="Times New Roman" w:hAnsi="Times New Roman" w:cs="Times New Roman"/>
                <w:color w:val="auto"/>
              </w:rPr>
              <w:t>3</w:t>
            </w:r>
            <w:r>
              <w:rPr>
                <w:rFonts w:hint="eastAsia" w:ascii="Times New Roman" w:hAnsi="Times New Roman" w:cs="Times New Roman"/>
                <w:color w:val="auto"/>
                <w:lang w:eastAsia="zh-CN"/>
              </w:rPr>
              <w:t>）</w:t>
            </w:r>
            <w:r>
              <w:rPr>
                <w:rFonts w:hint="default" w:ascii="Times New Roman" w:hAnsi="Times New Roman" w:cs="Times New Roman"/>
                <w:color w:val="auto"/>
              </w:rPr>
              <w:t>评价等级</w:t>
            </w:r>
          </w:p>
          <w:p w14:paraId="64DEA70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500" w:lineRule="exact"/>
              <w:ind w:left="0" w:right="0" w:firstLine="480" w:firstLineChars="200"/>
              <w:jc w:val="both"/>
              <w:rPr>
                <w:rFonts w:hint="default" w:ascii="Times New Roman" w:hAnsi="Times New Roman" w:cs="Times New Roman"/>
                <w:color w:val="auto"/>
              </w:rPr>
            </w:pPr>
            <w:r>
              <w:rPr>
                <w:rFonts w:hint="default" w:ascii="Times New Roman" w:hAnsi="Times New Roman" w:cs="Times New Roman"/>
                <w:color w:val="auto"/>
              </w:rPr>
              <w:t>根据《建设项目环境风险评价技术导则》</w:t>
            </w:r>
            <w:r>
              <w:rPr>
                <w:rFonts w:hint="eastAsia" w:ascii="Times New Roman" w:hAnsi="Times New Roman" w:cs="Times New Roman"/>
                <w:color w:val="auto"/>
                <w:lang w:eastAsia="zh-CN"/>
              </w:rPr>
              <w:t>（</w:t>
            </w:r>
            <w:r>
              <w:rPr>
                <w:rFonts w:hint="default" w:ascii="Times New Roman" w:hAnsi="Times New Roman" w:cs="Times New Roman"/>
                <w:color w:val="auto"/>
              </w:rPr>
              <w:t>HJ169-2018</w:t>
            </w:r>
            <w:r>
              <w:rPr>
                <w:rFonts w:hint="eastAsia" w:ascii="Times New Roman" w:hAnsi="Times New Roman" w:cs="Times New Roman"/>
                <w:color w:val="auto"/>
                <w:lang w:eastAsia="zh-CN"/>
              </w:rPr>
              <w:t>）</w:t>
            </w:r>
            <w:r>
              <w:rPr>
                <w:rFonts w:hint="default" w:ascii="Times New Roman" w:hAnsi="Times New Roman" w:cs="Times New Roman"/>
                <w:color w:val="auto"/>
              </w:rPr>
              <w:t>，环境风险评价工作等级划分见下表所示。</w:t>
            </w:r>
          </w:p>
          <w:p w14:paraId="77BD0523">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s="Times New Roman"/>
                <w:color w:val="auto"/>
              </w:rPr>
            </w:pPr>
            <w:r>
              <w:rPr>
                <w:rFonts w:hint="default" w:cs="Times New Roman"/>
                <w:color w:val="auto"/>
              </w:rPr>
              <w:t>表</w:t>
            </w:r>
            <w:r>
              <w:rPr>
                <w:rFonts w:hint="eastAsia" w:cs="Times New Roman"/>
                <w:color w:val="auto"/>
                <w:lang w:val="en-US" w:eastAsia="zh-CN"/>
              </w:rPr>
              <w:t>5.6-2</w:t>
            </w:r>
            <w:r>
              <w:rPr>
                <w:rFonts w:hint="default" w:cs="Times New Roman"/>
                <w:color w:val="auto"/>
              </w:rPr>
              <w:t xml:space="preserve">   评价工作等级划分表</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869"/>
              <w:gridCol w:w="1901"/>
              <w:gridCol w:w="942"/>
              <w:gridCol w:w="941"/>
              <w:gridCol w:w="2306"/>
            </w:tblGrid>
            <w:tr w14:paraId="7325D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0" w:type="auto"/>
                  <w:tcBorders>
                    <w:tl2br w:val="nil"/>
                    <w:tr2bl w:val="nil"/>
                  </w:tcBorders>
                  <w:noWrap w:val="0"/>
                  <w:vAlign w:val="center"/>
                </w:tcPr>
                <w:p w14:paraId="0F0CD18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环境风险潜势</w:t>
                  </w:r>
                </w:p>
              </w:tc>
              <w:tc>
                <w:tcPr>
                  <w:tcW w:w="0" w:type="auto"/>
                  <w:tcBorders>
                    <w:tl2br w:val="nil"/>
                    <w:tr2bl w:val="nil"/>
                  </w:tcBorders>
                  <w:noWrap w:val="0"/>
                  <w:vAlign w:val="center"/>
                </w:tcPr>
                <w:p w14:paraId="270E546B">
                  <w:pPr>
                    <w:pStyle w:val="68"/>
                    <w:keepNext w:val="0"/>
                    <w:keepLines w:val="0"/>
                    <w:suppressLineNumbers w:val="0"/>
                    <w:spacing w:before="0" w:beforeAutospacing="0" w:after="0" w:afterAutospacing="0"/>
                    <w:ind w:right="0"/>
                    <w:rPr>
                      <w:rFonts w:hint="default" w:ascii="Times New Roman" w:hAnsi="Times New Roman" w:cs="Times New Roman"/>
                      <w:color w:val="auto"/>
                      <w:vertAlign w:val="superscript"/>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4 \* ROMAN</w:instrText>
                  </w:r>
                  <w:r>
                    <w:rPr>
                      <w:rFonts w:hint="default" w:ascii="Times New Roman" w:hAnsi="Times New Roman" w:cs="Times New Roman"/>
                      <w:color w:val="auto"/>
                    </w:rPr>
                    <w:fldChar w:fldCharType="separate"/>
                  </w:r>
                  <w:r>
                    <w:rPr>
                      <w:rFonts w:hint="default" w:ascii="Times New Roman" w:hAnsi="Times New Roman" w:cs="Times New Roman"/>
                      <w:color w:val="auto"/>
                    </w:rPr>
                    <w:t>IV</w:t>
                  </w:r>
                  <w:r>
                    <w:rPr>
                      <w:rFonts w:hint="default" w:ascii="Times New Roman" w:hAnsi="Times New Roman" w:cs="Times New Roman"/>
                      <w:color w:val="auto"/>
                    </w:rPr>
                    <w:fldChar w:fldCharType="end"/>
                  </w:r>
                  <w:r>
                    <w:rPr>
                      <w:rFonts w:hint="default" w:ascii="Times New Roman" w:hAnsi="Times New Roman" w:cs="Times New Roman"/>
                      <w:color w:val="auto"/>
                    </w:rPr>
                    <w:t>、</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4 \* ROMAN</w:instrText>
                  </w:r>
                  <w:r>
                    <w:rPr>
                      <w:rFonts w:hint="default" w:ascii="Times New Roman" w:hAnsi="Times New Roman" w:cs="Times New Roman"/>
                      <w:color w:val="auto"/>
                    </w:rPr>
                    <w:fldChar w:fldCharType="separate"/>
                  </w:r>
                  <w:r>
                    <w:rPr>
                      <w:rFonts w:hint="default" w:ascii="Times New Roman" w:hAnsi="Times New Roman" w:cs="Times New Roman"/>
                      <w:color w:val="auto"/>
                    </w:rPr>
                    <w:t>IV</w:t>
                  </w:r>
                  <w:r>
                    <w:rPr>
                      <w:rFonts w:hint="default" w:ascii="Times New Roman" w:hAnsi="Times New Roman" w:cs="Times New Roman"/>
                      <w:color w:val="auto"/>
                    </w:rPr>
                    <w:fldChar w:fldCharType="end"/>
                  </w:r>
                  <w:r>
                    <w:rPr>
                      <w:rFonts w:hint="default" w:ascii="Times New Roman" w:hAnsi="Times New Roman" w:cs="Times New Roman"/>
                      <w:color w:val="auto"/>
                      <w:vertAlign w:val="superscript"/>
                    </w:rPr>
                    <w:t>+</w:t>
                  </w:r>
                </w:p>
              </w:tc>
              <w:tc>
                <w:tcPr>
                  <w:tcW w:w="0" w:type="auto"/>
                  <w:tcBorders>
                    <w:tl2br w:val="nil"/>
                    <w:tr2bl w:val="nil"/>
                  </w:tcBorders>
                  <w:noWrap w:val="0"/>
                  <w:vAlign w:val="center"/>
                </w:tcPr>
                <w:p w14:paraId="6DC959C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3 \* ROMAN</w:instrText>
                  </w:r>
                  <w:r>
                    <w:rPr>
                      <w:rFonts w:hint="default" w:ascii="Times New Roman" w:hAnsi="Times New Roman" w:cs="Times New Roman"/>
                      <w:color w:val="auto"/>
                    </w:rPr>
                    <w:fldChar w:fldCharType="separate"/>
                  </w:r>
                  <w:r>
                    <w:rPr>
                      <w:rFonts w:hint="eastAsia" w:ascii="Times New Roman" w:hAnsi="Times New Roman" w:cs="Times New Roman"/>
                      <w:color w:val="auto"/>
                      <w:lang w:eastAsia="zh-CN"/>
                    </w:rPr>
                    <w:t>Ⅲ</w:t>
                  </w:r>
                  <w:r>
                    <w:rPr>
                      <w:rFonts w:hint="default" w:ascii="Times New Roman" w:hAnsi="Times New Roman" w:cs="Times New Roman"/>
                      <w:color w:val="auto"/>
                    </w:rPr>
                    <w:fldChar w:fldCharType="end"/>
                  </w:r>
                </w:p>
              </w:tc>
              <w:tc>
                <w:tcPr>
                  <w:tcW w:w="0" w:type="auto"/>
                  <w:tcBorders>
                    <w:tl2br w:val="nil"/>
                    <w:tr2bl w:val="nil"/>
                  </w:tcBorders>
                  <w:noWrap w:val="0"/>
                  <w:vAlign w:val="center"/>
                </w:tcPr>
                <w:p w14:paraId="2E6F25D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2 \* ROMAN</w:instrText>
                  </w:r>
                  <w:r>
                    <w:rPr>
                      <w:rFonts w:hint="default" w:ascii="Times New Roman" w:hAnsi="Times New Roman" w:cs="Times New Roman"/>
                      <w:color w:val="auto"/>
                    </w:rPr>
                    <w:fldChar w:fldCharType="separate"/>
                  </w:r>
                  <w:r>
                    <w:rPr>
                      <w:rFonts w:hint="default" w:ascii="Times New Roman" w:hAnsi="Times New Roman" w:cs="Times New Roman"/>
                      <w:color w:val="auto"/>
                    </w:rPr>
                    <w:t>II</w:t>
                  </w:r>
                  <w:r>
                    <w:rPr>
                      <w:rFonts w:hint="default" w:ascii="Times New Roman" w:hAnsi="Times New Roman" w:cs="Times New Roman"/>
                      <w:color w:val="auto"/>
                    </w:rPr>
                    <w:fldChar w:fldCharType="end"/>
                  </w:r>
                </w:p>
              </w:tc>
              <w:tc>
                <w:tcPr>
                  <w:tcW w:w="0" w:type="auto"/>
                  <w:tcBorders>
                    <w:tl2br w:val="nil"/>
                    <w:tr2bl w:val="nil"/>
                  </w:tcBorders>
                  <w:noWrap w:val="0"/>
                  <w:vAlign w:val="center"/>
                </w:tcPr>
                <w:p w14:paraId="41AE6A9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1 \* ROMAN</w:instrText>
                  </w:r>
                  <w:r>
                    <w:rPr>
                      <w:rFonts w:hint="default" w:ascii="Times New Roman" w:hAnsi="Times New Roman" w:cs="Times New Roman"/>
                      <w:color w:val="auto"/>
                    </w:rPr>
                    <w:fldChar w:fldCharType="separate"/>
                  </w:r>
                  <w:r>
                    <w:rPr>
                      <w:rFonts w:hint="default" w:ascii="Times New Roman" w:hAnsi="Times New Roman" w:cs="Times New Roman"/>
                      <w:color w:val="auto"/>
                    </w:rPr>
                    <w:t>I</w:t>
                  </w:r>
                  <w:r>
                    <w:rPr>
                      <w:rFonts w:hint="default" w:ascii="Times New Roman" w:hAnsi="Times New Roman" w:cs="Times New Roman"/>
                      <w:color w:val="auto"/>
                    </w:rPr>
                    <w:fldChar w:fldCharType="end"/>
                  </w:r>
                </w:p>
              </w:tc>
            </w:tr>
            <w:tr w14:paraId="15CD03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0" w:type="auto"/>
                  <w:tcBorders>
                    <w:tl2br w:val="nil"/>
                    <w:tr2bl w:val="nil"/>
                  </w:tcBorders>
                  <w:noWrap w:val="0"/>
                  <w:vAlign w:val="center"/>
                </w:tcPr>
                <w:p w14:paraId="399297FA">
                  <w:pPr>
                    <w:pStyle w:val="68"/>
                    <w:keepNext w:val="0"/>
                    <w:keepLines w:val="0"/>
                    <w:suppressLineNumbers w:val="0"/>
                    <w:spacing w:before="0" w:beforeAutospacing="0" w:after="0" w:afterAutospacing="0"/>
                    <w:ind w:right="0"/>
                    <w:rPr>
                      <w:rFonts w:hint="default" w:ascii="Times New Roman" w:hAnsi="Times New Roman" w:cs="Times New Roman"/>
                      <w:color w:val="auto"/>
                      <w:szCs w:val="21"/>
                    </w:rPr>
                  </w:pPr>
                  <w:r>
                    <w:rPr>
                      <w:rFonts w:hint="default" w:ascii="Times New Roman" w:hAnsi="Times New Roman" w:cs="Times New Roman"/>
                      <w:color w:val="auto"/>
                      <w:szCs w:val="21"/>
                    </w:rPr>
                    <w:t>评价工作等级</w:t>
                  </w:r>
                </w:p>
              </w:tc>
              <w:tc>
                <w:tcPr>
                  <w:tcW w:w="0" w:type="auto"/>
                  <w:tcBorders>
                    <w:tl2br w:val="nil"/>
                    <w:tr2bl w:val="nil"/>
                  </w:tcBorders>
                  <w:noWrap w:val="0"/>
                  <w:vAlign w:val="center"/>
                </w:tcPr>
                <w:p w14:paraId="44E003DC">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一</w:t>
                  </w:r>
                </w:p>
              </w:tc>
              <w:tc>
                <w:tcPr>
                  <w:tcW w:w="0" w:type="auto"/>
                  <w:tcBorders>
                    <w:tl2br w:val="nil"/>
                    <w:tr2bl w:val="nil"/>
                  </w:tcBorders>
                  <w:noWrap w:val="0"/>
                  <w:vAlign w:val="center"/>
                </w:tcPr>
                <w:p w14:paraId="3349C332">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二</w:t>
                  </w:r>
                </w:p>
              </w:tc>
              <w:tc>
                <w:tcPr>
                  <w:tcW w:w="0" w:type="auto"/>
                  <w:tcBorders>
                    <w:tl2br w:val="nil"/>
                    <w:tr2bl w:val="nil"/>
                  </w:tcBorders>
                  <w:noWrap w:val="0"/>
                  <w:vAlign w:val="center"/>
                </w:tcPr>
                <w:p w14:paraId="17606B5A">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三</w:t>
                  </w:r>
                </w:p>
              </w:tc>
              <w:tc>
                <w:tcPr>
                  <w:tcW w:w="0" w:type="auto"/>
                  <w:tcBorders>
                    <w:tl2br w:val="nil"/>
                    <w:tr2bl w:val="nil"/>
                  </w:tcBorders>
                  <w:noWrap w:val="0"/>
                  <w:vAlign w:val="center"/>
                </w:tcPr>
                <w:p w14:paraId="72318BA9">
                  <w:pPr>
                    <w:pStyle w:val="68"/>
                    <w:keepNext w:val="0"/>
                    <w:keepLines w:val="0"/>
                    <w:suppressLineNumbers w:val="0"/>
                    <w:spacing w:before="0" w:beforeAutospacing="0" w:after="0" w:afterAutospacing="0"/>
                    <w:ind w:right="0"/>
                    <w:rPr>
                      <w:rFonts w:hint="default" w:ascii="Times New Roman" w:hAnsi="Times New Roman" w:cs="Times New Roman"/>
                      <w:color w:val="auto"/>
                      <w:vertAlign w:val="superscript"/>
                    </w:rPr>
                  </w:pPr>
                  <w:r>
                    <w:rPr>
                      <w:rFonts w:hint="default" w:ascii="Times New Roman" w:hAnsi="Times New Roman" w:cs="Times New Roman"/>
                      <w:color w:val="auto"/>
                    </w:rPr>
                    <w:t>简单分析</w:t>
                  </w:r>
                  <w:r>
                    <w:rPr>
                      <w:rFonts w:hint="default" w:ascii="Times New Roman" w:hAnsi="Times New Roman" w:cs="Times New Roman"/>
                      <w:color w:val="auto"/>
                      <w:vertAlign w:val="superscript"/>
                    </w:rPr>
                    <w:t>a</w:t>
                  </w:r>
                </w:p>
              </w:tc>
            </w:tr>
            <w:tr w14:paraId="14D2D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0" w:type="auto"/>
                  <w:gridSpan w:val="5"/>
                  <w:tcBorders>
                    <w:tl2br w:val="nil"/>
                    <w:tr2bl w:val="nil"/>
                  </w:tcBorders>
                  <w:noWrap w:val="0"/>
                  <w:vAlign w:val="center"/>
                </w:tcPr>
                <w:p w14:paraId="41F3C514">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eastAsia" w:cs="Times New Roman"/>
                      <w:color w:val="auto"/>
                      <w:lang w:eastAsia="zh-CN"/>
                    </w:rPr>
                    <w:t>相对</w:t>
                  </w:r>
                  <w:r>
                    <w:rPr>
                      <w:rFonts w:hint="default" w:ascii="Times New Roman" w:hAnsi="Times New Roman" w:cs="Times New Roman"/>
                      <w:color w:val="auto"/>
                    </w:rPr>
                    <w:t>于详细评价工作内容而言，在描述危险物质、环境影响途径、环境危害后果、风险防范措施等方面给出</w:t>
                  </w:r>
                  <w:r>
                    <w:rPr>
                      <w:rFonts w:hint="eastAsia" w:ascii="Times New Roman" w:hAnsi="Times New Roman" w:cs="Times New Roman"/>
                      <w:color w:val="auto"/>
                      <w:lang w:eastAsia="zh-CN"/>
                    </w:rPr>
                    <w:t>详细</w:t>
                  </w:r>
                  <w:r>
                    <w:rPr>
                      <w:rFonts w:hint="default" w:ascii="Times New Roman" w:hAnsi="Times New Roman" w:cs="Times New Roman"/>
                      <w:color w:val="auto"/>
                    </w:rPr>
                    <w:t>的说明。详见</w:t>
                  </w:r>
                  <w:r>
                    <w:rPr>
                      <w:rFonts w:hint="eastAsia" w:ascii="Times New Roman" w:hAnsi="Times New Roman" w:cs="Times New Roman"/>
                      <w:color w:val="auto"/>
                    </w:rPr>
                    <w:t>导则</w:t>
                  </w:r>
                  <w:r>
                    <w:rPr>
                      <w:rFonts w:hint="default" w:ascii="Times New Roman" w:hAnsi="Times New Roman" w:cs="Times New Roman"/>
                      <w:color w:val="auto"/>
                    </w:rPr>
                    <w:t>附录A。</w:t>
                  </w:r>
                </w:p>
              </w:tc>
            </w:tr>
          </w:tbl>
          <w:p w14:paraId="62DAC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本项目环境风险潜势为I，根据上表，本项目风险评价工作等级为简单分析。</w:t>
            </w:r>
          </w:p>
          <w:p w14:paraId="78998B29">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bookmarkStart w:id="4" w:name="_Toc30952"/>
            <w:bookmarkStart w:id="5" w:name="_Toc2247557"/>
            <w:r>
              <w:rPr>
                <w:rFonts w:hint="eastAsia"/>
                <w:color w:val="auto"/>
                <w:lang w:val="en-US" w:eastAsia="zh-CN"/>
              </w:rPr>
              <w:t>5.6.2</w:t>
            </w:r>
            <w:r>
              <w:rPr>
                <w:rFonts w:hint="eastAsia"/>
                <w:color w:val="auto"/>
              </w:rPr>
              <w:t>环境敏感目标概况</w:t>
            </w:r>
            <w:bookmarkEnd w:id="4"/>
            <w:bookmarkEnd w:id="5"/>
          </w:p>
          <w:p w14:paraId="35E2A3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bookmarkStart w:id="6" w:name="_Toc420"/>
            <w:bookmarkStart w:id="7" w:name="_Toc2247558"/>
            <w:r>
              <w:rPr>
                <w:rFonts w:hint="eastAsia" w:ascii="Times New Roman" w:hAnsi="Times New Roman" w:cs="Times New Roman"/>
                <w:color w:val="auto"/>
                <w:lang w:eastAsia="zh-CN"/>
              </w:rPr>
              <w:t>（</w:t>
            </w:r>
            <w:r>
              <w:rPr>
                <w:rFonts w:hint="default" w:ascii="Times New Roman" w:hAnsi="Times New Roman" w:cs="Times New Roman"/>
                <w:color w:val="auto"/>
              </w:rPr>
              <w:t>1</w:t>
            </w:r>
            <w:r>
              <w:rPr>
                <w:rFonts w:hint="eastAsia" w:ascii="Times New Roman" w:hAnsi="Times New Roman" w:cs="Times New Roman"/>
                <w:color w:val="auto"/>
                <w:lang w:eastAsia="zh-CN"/>
              </w:rPr>
              <w:t>）</w:t>
            </w:r>
            <w:r>
              <w:rPr>
                <w:rFonts w:hint="eastAsia" w:ascii="Times New Roman" w:hAnsi="Times New Roman" w:cs="Times New Roman"/>
                <w:color w:val="auto"/>
              </w:rPr>
              <w:t>大气环境敏感目标调查</w:t>
            </w:r>
            <w:bookmarkEnd w:id="6"/>
            <w:bookmarkEnd w:id="7"/>
          </w:p>
          <w:p w14:paraId="6D274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项目</w:t>
            </w:r>
            <w:bookmarkStart w:id="8" w:name="_Toc2247559"/>
            <w:bookmarkStart w:id="9" w:name="_Toc24251"/>
            <w:r>
              <w:rPr>
                <w:rFonts w:hint="eastAsia" w:ascii="宋体" w:hAnsi="宋体" w:cs="宋体"/>
                <w:color w:val="auto"/>
                <w:sz w:val="24"/>
              </w:rPr>
              <w:t>矿区的主要大气污染</w:t>
            </w:r>
            <w:r>
              <w:rPr>
                <w:rFonts w:hint="eastAsia" w:ascii="宋体" w:hAnsi="宋体" w:cs="宋体"/>
                <w:color w:val="auto"/>
                <w:sz w:val="24"/>
                <w:lang w:val="en-US" w:eastAsia="zh-CN"/>
              </w:rPr>
              <w:t>物</w:t>
            </w:r>
            <w:r>
              <w:rPr>
                <w:rFonts w:hint="eastAsia" w:ascii="宋体" w:hAnsi="宋体" w:cs="宋体"/>
                <w:color w:val="auto"/>
                <w:sz w:val="24"/>
              </w:rPr>
              <w:t>是粉尘，在采取洒水降尘措施后粉尘的排放量能够大幅度</w:t>
            </w:r>
            <w:r>
              <w:rPr>
                <w:rFonts w:hint="eastAsia" w:ascii="宋体" w:hAnsi="宋体" w:cs="宋体"/>
                <w:color w:val="auto"/>
                <w:sz w:val="24"/>
                <w:lang w:eastAsia="zh-CN"/>
              </w:rPr>
              <w:t>地</w:t>
            </w:r>
            <w:r>
              <w:rPr>
                <w:rFonts w:hint="eastAsia" w:ascii="宋体" w:hAnsi="宋体" w:cs="宋体"/>
                <w:color w:val="auto"/>
                <w:sz w:val="24"/>
              </w:rPr>
              <w:t>降低；其颗粒大，沉降性好，在洒水降尘措施严格落实情况下，</w:t>
            </w:r>
            <w:r>
              <w:rPr>
                <w:rFonts w:hint="eastAsia" w:ascii="宋体" w:hAnsi="宋体" w:cs="宋体"/>
                <w:color w:val="auto"/>
                <w:sz w:val="24"/>
                <w:lang w:val="en-US" w:eastAsia="zh-CN"/>
              </w:rPr>
              <w:t>临时堆场</w:t>
            </w:r>
            <w:r>
              <w:rPr>
                <w:rFonts w:hint="eastAsia" w:ascii="宋体" w:hAnsi="宋体" w:cs="宋体"/>
                <w:color w:val="auto"/>
                <w:sz w:val="24"/>
              </w:rPr>
              <w:t>粉尘的排放对矿区大气环境影响不大。</w:t>
            </w:r>
          </w:p>
          <w:p w14:paraId="17A0A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rPr>
              <w:t>2</w:t>
            </w:r>
            <w:r>
              <w:rPr>
                <w:rFonts w:hint="eastAsia" w:ascii="Times New Roman" w:hAnsi="Times New Roman" w:cs="Times New Roman"/>
                <w:color w:val="auto"/>
                <w:lang w:eastAsia="zh-CN"/>
              </w:rPr>
              <w:t>）</w:t>
            </w:r>
            <w:r>
              <w:rPr>
                <w:rFonts w:hint="eastAsia" w:ascii="Times New Roman" w:hAnsi="Times New Roman" w:cs="Times New Roman"/>
                <w:color w:val="auto"/>
              </w:rPr>
              <w:t>地表水环境敏感目标调查</w:t>
            </w:r>
            <w:bookmarkEnd w:id="8"/>
            <w:bookmarkEnd w:id="9"/>
          </w:p>
          <w:p w14:paraId="4B8A4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项目</w:t>
            </w:r>
            <w:r>
              <w:rPr>
                <w:rFonts w:hint="eastAsia" w:ascii="Times New Roman" w:hAnsi="Times New Roman" w:cs="Times New Roman"/>
                <w:color w:val="auto"/>
                <w:lang w:val="en-US" w:eastAsia="zh-CN"/>
              </w:rPr>
              <w:t>工人在矿区搭设临时帐篷。</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r>
              <w:rPr>
                <w:rFonts w:hint="eastAsia" w:ascii="Times New Roman" w:hAnsi="Times New Roman" w:cs="Times New Roman"/>
                <w:color w:val="auto"/>
                <w:lang w:val="en-US" w:eastAsia="zh-CN"/>
              </w:rPr>
              <w:t>。</w:t>
            </w:r>
            <w:r>
              <w:rPr>
                <w:rFonts w:hint="eastAsia" w:ascii="Times New Roman" w:hAnsi="Times New Roman" w:cs="Times New Roman"/>
                <w:color w:val="auto"/>
              </w:rPr>
              <w:t>项目废水不会对地表水体产生影响。</w:t>
            </w:r>
          </w:p>
          <w:p w14:paraId="167027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bookmarkStart w:id="10" w:name="_Toc25863"/>
            <w:bookmarkStart w:id="11" w:name="_Toc2247560"/>
            <w:r>
              <w:rPr>
                <w:rFonts w:hint="eastAsia" w:ascii="Times New Roman" w:hAnsi="Times New Roman" w:cs="Times New Roman"/>
                <w:color w:val="auto"/>
                <w:lang w:eastAsia="zh-CN"/>
              </w:rPr>
              <w:t>（</w:t>
            </w:r>
            <w:r>
              <w:rPr>
                <w:rFonts w:hint="eastAsia" w:ascii="Times New Roman" w:hAnsi="Times New Roman" w:cs="Times New Roman"/>
                <w:color w:val="auto"/>
              </w:rPr>
              <w:t>3</w:t>
            </w:r>
            <w:r>
              <w:rPr>
                <w:rFonts w:hint="eastAsia" w:ascii="Times New Roman" w:hAnsi="Times New Roman" w:cs="Times New Roman"/>
                <w:color w:val="auto"/>
                <w:lang w:eastAsia="zh-CN"/>
              </w:rPr>
              <w:t>）</w:t>
            </w:r>
            <w:r>
              <w:rPr>
                <w:rFonts w:hint="eastAsia" w:ascii="Times New Roman" w:hAnsi="Times New Roman" w:cs="Times New Roman"/>
                <w:color w:val="auto"/>
              </w:rPr>
              <w:t>地下水环境敏感目标调查</w:t>
            </w:r>
            <w:bookmarkEnd w:id="10"/>
            <w:bookmarkEnd w:id="11"/>
          </w:p>
          <w:p w14:paraId="2C5844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根据现场调查，项目周边均为山体，地势较高，且周边无居民饮用水水源，因此</w:t>
            </w:r>
            <w:r>
              <w:rPr>
                <w:rFonts w:hint="default" w:ascii="Times New Roman" w:hAnsi="Times New Roman" w:cs="Times New Roman"/>
                <w:color w:val="auto"/>
              </w:rPr>
              <w:t>项目</w:t>
            </w:r>
            <w:r>
              <w:rPr>
                <w:rFonts w:hint="eastAsia" w:ascii="Times New Roman" w:hAnsi="Times New Roman" w:cs="Times New Roman"/>
                <w:color w:val="auto"/>
              </w:rPr>
              <w:t>无</w:t>
            </w:r>
            <w:r>
              <w:rPr>
                <w:rFonts w:hint="default" w:ascii="Times New Roman" w:hAnsi="Times New Roman" w:cs="Times New Roman"/>
                <w:color w:val="auto"/>
              </w:rPr>
              <w:t>地下水</w:t>
            </w:r>
            <w:r>
              <w:rPr>
                <w:rFonts w:hint="eastAsia" w:ascii="Times New Roman" w:hAnsi="Times New Roman" w:cs="Times New Roman"/>
                <w:color w:val="auto"/>
              </w:rPr>
              <w:t>环境敏感目标</w:t>
            </w:r>
            <w:r>
              <w:rPr>
                <w:rFonts w:hint="default" w:ascii="Times New Roman" w:hAnsi="Times New Roman" w:cs="Times New Roman"/>
                <w:color w:val="auto"/>
              </w:rPr>
              <w:t>。</w:t>
            </w:r>
          </w:p>
          <w:p w14:paraId="1232EEE0">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bookmarkStart w:id="12" w:name="_Toc2247561"/>
            <w:bookmarkStart w:id="13" w:name="_Toc12060"/>
            <w:r>
              <w:rPr>
                <w:rFonts w:hint="eastAsia"/>
                <w:color w:val="auto"/>
                <w:lang w:val="en-US" w:eastAsia="zh-CN"/>
              </w:rPr>
              <w:t>5.6.3</w:t>
            </w:r>
            <w:r>
              <w:rPr>
                <w:rFonts w:hint="eastAsia"/>
                <w:color w:val="auto"/>
              </w:rPr>
              <w:t>环境风险识别</w:t>
            </w:r>
            <w:bookmarkEnd w:id="12"/>
            <w:bookmarkEnd w:id="13"/>
          </w:p>
          <w:p w14:paraId="6CAD78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项目的风险识别主要从生产设施风险识别和生产过程所涉及的物质风险识别两方面着手。其中生产设施风险识别包括主要</w:t>
            </w:r>
            <w:r>
              <w:rPr>
                <w:rFonts w:hint="eastAsia" w:cs="Times New Roman"/>
                <w:color w:val="auto"/>
                <w:lang w:val="en-US" w:eastAsia="zh-CN"/>
              </w:rPr>
              <w:t>勘查</w:t>
            </w:r>
            <w:r>
              <w:rPr>
                <w:rFonts w:hint="default" w:ascii="Times New Roman" w:hAnsi="Times New Roman" w:cs="Times New Roman"/>
                <w:color w:val="auto"/>
              </w:rPr>
              <w:t>装置、贮运系统、公用工程系统、工程环保设施及辅助生产设施等；物质风险性识别包括生产中</w:t>
            </w:r>
            <w:r>
              <w:rPr>
                <w:rFonts w:hint="eastAsia" w:ascii="Times New Roman" w:hAnsi="Times New Roman" w:cs="Times New Roman"/>
                <w:color w:val="auto"/>
                <w:lang w:eastAsia="zh-CN"/>
              </w:rPr>
              <w:t>涉及的</w:t>
            </w:r>
            <w:r>
              <w:rPr>
                <w:rFonts w:hint="default" w:ascii="Times New Roman" w:hAnsi="Times New Roman" w:cs="Times New Roman"/>
                <w:color w:val="auto"/>
              </w:rPr>
              <w:t>原辅材料、产品以及生产过程中排放的</w:t>
            </w:r>
            <w:r>
              <w:rPr>
                <w:rFonts w:hint="eastAsia" w:ascii="Times New Roman" w:hAnsi="Times New Roman" w:cs="Times New Roman"/>
                <w:color w:val="auto"/>
                <w:lang w:eastAsia="zh-CN"/>
              </w:rPr>
              <w:t>“</w:t>
            </w:r>
            <w:r>
              <w:rPr>
                <w:rFonts w:hint="default" w:ascii="Times New Roman" w:hAnsi="Times New Roman" w:cs="Times New Roman"/>
                <w:color w:val="auto"/>
              </w:rPr>
              <w:t>三废</w:t>
            </w:r>
            <w:r>
              <w:rPr>
                <w:rFonts w:hint="eastAsia" w:ascii="Times New Roman" w:hAnsi="Times New Roman" w:cs="Times New Roman"/>
                <w:color w:val="auto"/>
                <w:lang w:eastAsia="zh-CN"/>
              </w:rPr>
              <w:t>”</w:t>
            </w:r>
            <w:r>
              <w:rPr>
                <w:rFonts w:hint="default" w:ascii="Times New Roman" w:hAnsi="Times New Roman" w:cs="Times New Roman"/>
                <w:color w:val="auto"/>
              </w:rPr>
              <w:t>污染物等。</w:t>
            </w:r>
          </w:p>
          <w:p w14:paraId="0BB13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bookmarkStart w:id="14" w:name="_Toc2247562"/>
            <w:r>
              <w:rPr>
                <w:rFonts w:hint="eastAsia" w:ascii="Times New Roman" w:hAnsi="Times New Roman" w:cs="Times New Roman"/>
                <w:color w:val="auto"/>
                <w:lang w:eastAsia="zh-CN"/>
              </w:rPr>
              <w:t>（</w:t>
            </w:r>
            <w:r>
              <w:rPr>
                <w:rFonts w:hint="eastAsia" w:ascii="Times New Roman" w:hAnsi="Times New Roman" w:cs="Times New Roman"/>
                <w:color w:val="auto"/>
              </w:rPr>
              <w:t>1</w:t>
            </w:r>
            <w:r>
              <w:rPr>
                <w:rFonts w:hint="eastAsia" w:ascii="Times New Roman" w:hAnsi="Times New Roman" w:cs="Times New Roman"/>
                <w:color w:val="auto"/>
                <w:lang w:eastAsia="zh-CN"/>
              </w:rPr>
              <w:t>）</w:t>
            </w:r>
            <w:r>
              <w:rPr>
                <w:rFonts w:hint="eastAsia" w:ascii="Times New Roman" w:hAnsi="Times New Roman" w:cs="Times New Roman"/>
                <w:color w:val="auto"/>
              </w:rPr>
              <w:t>风险物质识别</w:t>
            </w:r>
            <w:bookmarkEnd w:id="14"/>
          </w:p>
          <w:p w14:paraId="4F89A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rPr>
              <w:t>根据对项目的原辅材料和产品等进行分析，项目涉及的风险物质主要为</w:t>
            </w:r>
            <w:r>
              <w:rPr>
                <w:rFonts w:hint="eastAsia" w:ascii="Times New Roman" w:hAnsi="Times New Roman" w:cs="Times New Roman"/>
                <w:color w:val="auto"/>
                <w:lang w:val="en-US" w:eastAsia="zh-CN"/>
              </w:rPr>
              <w:t>柴油</w:t>
            </w:r>
            <w:r>
              <w:rPr>
                <w:rFonts w:hint="eastAsia" w:cs="Times New Roman"/>
                <w:color w:val="auto"/>
                <w:lang w:val="en-US" w:eastAsia="zh-CN"/>
              </w:rPr>
              <w:t>和废润滑油</w:t>
            </w:r>
            <w:r>
              <w:rPr>
                <w:rFonts w:hint="eastAsia" w:ascii="Times New Roman" w:hAnsi="Times New Roman" w:cs="Times New Roman"/>
                <w:color w:val="auto"/>
              </w:rPr>
              <w:t>。</w:t>
            </w:r>
            <w:r>
              <w:rPr>
                <w:rFonts w:hint="eastAsia" w:ascii="Times New Roman" w:hAnsi="Times New Roman" w:cs="Times New Roman"/>
                <w:color w:val="auto"/>
                <w:lang w:eastAsia="zh-CN"/>
              </w:rPr>
              <w:t>柴油</w:t>
            </w:r>
            <w:r>
              <w:rPr>
                <w:rFonts w:hint="eastAsia" w:cs="Times New Roman"/>
                <w:color w:val="auto"/>
                <w:lang w:val="en-US" w:eastAsia="zh-CN"/>
              </w:rPr>
              <w:t>和废润滑油</w:t>
            </w:r>
            <w:r>
              <w:rPr>
                <w:rFonts w:hint="default" w:ascii="Times New Roman" w:hAnsi="Times New Roman" w:cs="Times New Roman"/>
                <w:color w:val="auto"/>
              </w:rPr>
              <w:t>的</w:t>
            </w:r>
            <w:r>
              <w:rPr>
                <w:rFonts w:hint="eastAsia" w:ascii="Times New Roman" w:hAnsi="Times New Roman" w:cs="Times New Roman"/>
                <w:color w:val="auto"/>
                <w:lang w:val="en-US" w:eastAsia="zh-CN"/>
              </w:rPr>
              <w:t>理化</w:t>
            </w:r>
            <w:r>
              <w:rPr>
                <w:rFonts w:hint="default" w:ascii="Times New Roman" w:hAnsi="Times New Roman" w:cs="Times New Roman"/>
                <w:color w:val="auto"/>
              </w:rPr>
              <w:t>特性见</w:t>
            </w:r>
            <w:r>
              <w:rPr>
                <w:rFonts w:hint="eastAsia" w:ascii="Times New Roman" w:hAnsi="Times New Roman" w:cs="Times New Roman"/>
                <w:color w:val="auto"/>
                <w:lang w:val="en-US" w:eastAsia="zh-CN"/>
              </w:rPr>
              <w:t>5.6-3</w:t>
            </w:r>
            <w:r>
              <w:rPr>
                <w:rFonts w:hint="eastAsia"/>
                <w:color w:val="auto"/>
                <w:lang w:val="en-US" w:eastAsia="zh-CN"/>
              </w:rPr>
              <w:t>、5.6-4</w:t>
            </w:r>
            <w:r>
              <w:rPr>
                <w:rFonts w:hint="default"/>
                <w:color w:val="auto"/>
              </w:rPr>
              <w:t>所示</w:t>
            </w:r>
            <w:r>
              <w:rPr>
                <w:rFonts w:hint="eastAsia"/>
                <w:color w:val="auto"/>
                <w:lang w:eastAsia="zh-CN"/>
              </w:rPr>
              <w:t>。</w:t>
            </w:r>
          </w:p>
          <w:p w14:paraId="058F81B5">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eastAsia" w:cs="Times New Roman"/>
                <w:b/>
                <w:color w:val="auto"/>
                <w:sz w:val="21"/>
                <w:szCs w:val="21"/>
                <w:lang w:val="en-US" w:eastAsia="zh-CN"/>
              </w:rPr>
            </w:pPr>
            <w:bookmarkStart w:id="15" w:name="_Toc2247563"/>
            <w:r>
              <w:rPr>
                <w:rFonts w:hint="eastAsia" w:cs="Times New Roman"/>
                <w:b/>
                <w:color w:val="auto"/>
                <w:sz w:val="21"/>
                <w:szCs w:val="21"/>
              </w:rPr>
              <w:t>表</w:t>
            </w:r>
            <w:r>
              <w:rPr>
                <w:rFonts w:hint="eastAsia" w:cs="Times New Roman"/>
                <w:b/>
                <w:color w:val="auto"/>
                <w:sz w:val="21"/>
                <w:szCs w:val="21"/>
                <w:lang w:val="en-US" w:eastAsia="zh-CN"/>
              </w:rPr>
              <w:t>5.6-3</w:t>
            </w:r>
            <w:r>
              <w:rPr>
                <w:rFonts w:hint="default" w:cs="Times New Roman"/>
                <w:color w:val="auto"/>
              </w:rPr>
              <w:t xml:space="preserve">   </w:t>
            </w:r>
            <w:r>
              <w:rPr>
                <w:rFonts w:hint="eastAsia" w:cs="Times New Roman"/>
                <w:color w:val="auto"/>
                <w:lang w:eastAsia="zh-CN"/>
              </w:rPr>
              <w:t>柴油</w:t>
            </w:r>
            <w:r>
              <w:rPr>
                <w:rFonts w:hint="default" w:cs="Times New Roman"/>
                <w:color w:val="auto"/>
              </w:rPr>
              <w:t>物理化学特性表</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202"/>
              <w:gridCol w:w="480"/>
              <w:gridCol w:w="496"/>
              <w:gridCol w:w="1588"/>
              <w:gridCol w:w="622"/>
              <w:gridCol w:w="957"/>
              <w:gridCol w:w="1177"/>
              <w:gridCol w:w="865"/>
              <w:gridCol w:w="515"/>
            </w:tblGrid>
            <w:tr w14:paraId="21249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10"/>
                  <w:tcBorders>
                    <w:tl2br w:val="nil"/>
                    <w:tr2bl w:val="nil"/>
                  </w:tcBorders>
                  <w:noWrap w:val="0"/>
                  <w:vAlign w:val="center"/>
                </w:tcPr>
                <w:p w14:paraId="3D2768E2">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物料安全数据表</w:t>
                  </w:r>
                </w:p>
              </w:tc>
            </w:tr>
            <w:tr w14:paraId="795EE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tcBorders>
                    <w:tl2br w:val="nil"/>
                    <w:tr2bl w:val="nil"/>
                  </w:tcBorders>
                  <w:noWrap w:val="0"/>
                  <w:vAlign w:val="center"/>
                </w:tcPr>
                <w:p w14:paraId="01829FB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CAS</w:t>
                  </w:r>
                </w:p>
              </w:tc>
              <w:tc>
                <w:tcPr>
                  <w:tcW w:w="671" w:type="pct"/>
                  <w:tcBorders>
                    <w:tl2br w:val="nil"/>
                    <w:tr2bl w:val="nil"/>
                  </w:tcBorders>
                  <w:noWrap w:val="0"/>
                  <w:vAlign w:val="center"/>
                </w:tcPr>
                <w:p w14:paraId="5A702378">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68334-30-5</w:t>
                  </w:r>
                </w:p>
              </w:tc>
              <w:tc>
                <w:tcPr>
                  <w:tcW w:w="545" w:type="pct"/>
                  <w:gridSpan w:val="2"/>
                  <w:tcBorders>
                    <w:tl2br w:val="nil"/>
                    <w:tr2bl w:val="nil"/>
                  </w:tcBorders>
                  <w:noWrap w:val="0"/>
                  <w:vAlign w:val="center"/>
                </w:tcPr>
                <w:p w14:paraId="5D217A86">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RTECS</w:t>
                  </w:r>
                </w:p>
              </w:tc>
              <w:tc>
                <w:tcPr>
                  <w:tcW w:w="886" w:type="pct"/>
                  <w:tcBorders>
                    <w:tl2br w:val="nil"/>
                    <w:tr2bl w:val="nil"/>
                  </w:tcBorders>
                  <w:noWrap w:val="0"/>
                  <w:vAlign w:val="center"/>
                </w:tcPr>
                <w:p w14:paraId="133F5C2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HZl770000</w:t>
                  </w:r>
                </w:p>
              </w:tc>
              <w:tc>
                <w:tcPr>
                  <w:tcW w:w="347" w:type="pct"/>
                  <w:tcBorders>
                    <w:tl2br w:val="nil"/>
                    <w:tr2bl w:val="nil"/>
                  </w:tcBorders>
                  <w:noWrap w:val="0"/>
                  <w:vAlign w:val="center"/>
                </w:tcPr>
                <w:p w14:paraId="59FB0F37">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UN</w:t>
                  </w:r>
                </w:p>
              </w:tc>
              <w:tc>
                <w:tcPr>
                  <w:tcW w:w="534" w:type="pct"/>
                  <w:tcBorders>
                    <w:tl2br w:val="nil"/>
                    <w:tr2bl w:val="nil"/>
                  </w:tcBorders>
                  <w:noWrap w:val="0"/>
                  <w:vAlign w:val="center"/>
                </w:tcPr>
                <w:p w14:paraId="433C0D0A">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w:t>
                  </w:r>
                </w:p>
              </w:tc>
              <w:tc>
                <w:tcPr>
                  <w:tcW w:w="1140" w:type="pct"/>
                  <w:gridSpan w:val="2"/>
                  <w:tcBorders>
                    <w:tl2br w:val="nil"/>
                    <w:tr2bl w:val="nil"/>
                  </w:tcBorders>
                  <w:noWrap w:val="0"/>
                  <w:vAlign w:val="center"/>
                </w:tcPr>
                <w:p w14:paraId="375781BA">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危编号</w:t>
                  </w:r>
                </w:p>
              </w:tc>
              <w:tc>
                <w:tcPr>
                  <w:tcW w:w="286" w:type="pct"/>
                  <w:tcBorders>
                    <w:tl2br w:val="nil"/>
                    <w:tr2bl w:val="nil"/>
                  </w:tcBorders>
                  <w:noWrap w:val="0"/>
                  <w:vAlign w:val="center"/>
                </w:tcPr>
                <w:p w14:paraId="3F8A61F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w:t>
                  </w:r>
                </w:p>
              </w:tc>
            </w:tr>
            <w:tr w14:paraId="7E1C4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tcBorders>
                    <w:tl2br w:val="nil"/>
                    <w:tr2bl w:val="nil"/>
                  </w:tcBorders>
                  <w:noWrap w:val="0"/>
                  <w:vAlign w:val="center"/>
                </w:tcPr>
                <w:p w14:paraId="008B7B91">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中文名称</w:t>
                  </w:r>
                </w:p>
              </w:tc>
              <w:tc>
                <w:tcPr>
                  <w:tcW w:w="2102" w:type="pct"/>
                  <w:gridSpan w:val="4"/>
                  <w:tcBorders>
                    <w:tl2br w:val="nil"/>
                    <w:tr2bl w:val="nil"/>
                  </w:tcBorders>
                  <w:noWrap w:val="0"/>
                  <w:vAlign w:val="center"/>
                </w:tcPr>
                <w:p w14:paraId="45D08D19">
                  <w:pPr>
                    <w:pStyle w:val="68"/>
                    <w:keepNext w:val="0"/>
                    <w:keepLines w:val="0"/>
                    <w:suppressLineNumbers w:val="0"/>
                    <w:spacing w:before="0" w:beforeAutospacing="0" w:after="0" w:afterAutospacing="0"/>
                    <w:ind w:right="0"/>
                    <w:rPr>
                      <w:rFonts w:hint="eastAsia" w:ascii="Times New Roman" w:hAnsi="Times New Roman" w:eastAsia="宋体" w:cs="Times New Roman"/>
                      <w:color w:val="auto"/>
                      <w:lang w:eastAsia="zh-CN"/>
                    </w:rPr>
                  </w:pPr>
                  <w:r>
                    <w:rPr>
                      <w:rFonts w:hint="eastAsia" w:ascii="Times New Roman" w:hAnsi="Times New Roman" w:cs="Times New Roman"/>
                      <w:color w:val="auto"/>
                      <w:lang w:eastAsia="zh-CN"/>
                    </w:rPr>
                    <w:t>柴油（</w:t>
                  </w:r>
                  <w:r>
                    <w:rPr>
                      <w:rFonts w:hint="default" w:ascii="Times New Roman" w:hAnsi="Times New Roman" w:cs="Times New Roman"/>
                      <w:color w:val="auto"/>
                    </w:rPr>
                    <w:t>0#普通</w:t>
                  </w:r>
                  <w:r>
                    <w:rPr>
                      <w:rFonts w:hint="eastAsia" w:ascii="Times New Roman" w:hAnsi="Times New Roman" w:cs="Times New Roman"/>
                      <w:color w:val="auto"/>
                      <w:lang w:eastAsia="zh-CN"/>
                    </w:rPr>
                    <w:t>柴油</w:t>
                  </w:r>
                  <w:r>
                    <w:rPr>
                      <w:rFonts w:hint="default" w:ascii="Times New Roman" w:hAnsi="Times New Roman" w:cs="Times New Roman"/>
                      <w:color w:val="auto"/>
                    </w:rPr>
                    <w:t>、车用</w:t>
                  </w:r>
                  <w:r>
                    <w:rPr>
                      <w:rFonts w:hint="eastAsia" w:ascii="Times New Roman" w:hAnsi="Times New Roman" w:cs="Times New Roman"/>
                      <w:color w:val="auto"/>
                      <w:lang w:eastAsia="zh-CN"/>
                    </w:rPr>
                    <w:t>柴油）</w:t>
                  </w:r>
                </w:p>
              </w:tc>
              <w:tc>
                <w:tcPr>
                  <w:tcW w:w="347" w:type="pct"/>
                  <w:vMerge w:val="restart"/>
                  <w:tcBorders>
                    <w:tl2br w:val="nil"/>
                    <w:tr2bl w:val="nil"/>
                  </w:tcBorders>
                  <w:noWrap w:val="0"/>
                  <w:vAlign w:val="center"/>
                </w:tcPr>
                <w:p w14:paraId="4FB0020B">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理化性质</w:t>
                  </w:r>
                </w:p>
              </w:tc>
              <w:tc>
                <w:tcPr>
                  <w:tcW w:w="1961" w:type="pct"/>
                  <w:gridSpan w:val="4"/>
                  <w:tcBorders>
                    <w:tl2br w:val="nil"/>
                    <w:tr2bl w:val="nil"/>
                  </w:tcBorders>
                  <w:noWrap w:val="0"/>
                  <w:vAlign w:val="center"/>
                </w:tcPr>
                <w:p w14:paraId="558672E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外观及性状</w:t>
                  </w:r>
                  <w:r>
                    <w:rPr>
                      <w:rFonts w:hint="eastAsia" w:ascii="Times New Roman" w:hAnsi="Times New Roman" w:cs="Times New Roman"/>
                      <w:color w:val="auto"/>
                    </w:rPr>
                    <w:t>：</w:t>
                  </w:r>
                  <w:r>
                    <w:rPr>
                      <w:rFonts w:hint="default" w:ascii="Times New Roman" w:hAnsi="Times New Roman" w:cs="Times New Roman"/>
                      <w:color w:val="auto"/>
                    </w:rPr>
                    <w:t>稍有</w:t>
                  </w:r>
                  <w:r>
                    <w:rPr>
                      <w:rFonts w:hint="eastAsia" w:ascii="Times New Roman" w:hAnsi="Times New Roman" w:cs="Times New Roman"/>
                      <w:color w:val="auto"/>
                      <w:lang w:eastAsia="zh-CN"/>
                    </w:rPr>
                    <w:t>黏</w:t>
                  </w:r>
                  <w:r>
                    <w:rPr>
                      <w:rFonts w:hint="default" w:ascii="Times New Roman" w:hAnsi="Times New Roman" w:cs="Times New Roman"/>
                      <w:color w:val="auto"/>
                    </w:rPr>
                    <w:t>性的棕色液体。</w:t>
                  </w:r>
                </w:p>
              </w:tc>
            </w:tr>
            <w:tr w14:paraId="07FC6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tcBorders>
                    <w:tl2br w:val="nil"/>
                    <w:tr2bl w:val="nil"/>
                  </w:tcBorders>
                  <w:noWrap w:val="0"/>
                  <w:vAlign w:val="center"/>
                </w:tcPr>
                <w:p w14:paraId="0DEB135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英文名称</w:t>
                  </w:r>
                </w:p>
              </w:tc>
              <w:tc>
                <w:tcPr>
                  <w:tcW w:w="2102" w:type="pct"/>
                  <w:gridSpan w:val="4"/>
                  <w:tcBorders>
                    <w:tl2br w:val="nil"/>
                    <w:tr2bl w:val="nil"/>
                  </w:tcBorders>
                  <w:noWrap w:val="0"/>
                  <w:vAlign w:val="center"/>
                </w:tcPr>
                <w:p w14:paraId="1E02C9C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Dieseloil；Dieselfuel</w:t>
                  </w:r>
                </w:p>
              </w:tc>
              <w:tc>
                <w:tcPr>
                  <w:tcW w:w="347" w:type="pct"/>
                  <w:vMerge w:val="continue"/>
                  <w:tcBorders>
                    <w:tl2br w:val="nil"/>
                    <w:tr2bl w:val="nil"/>
                  </w:tcBorders>
                  <w:noWrap w:val="0"/>
                  <w:vAlign w:val="center"/>
                </w:tcPr>
                <w:p w14:paraId="10722436">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534" w:type="pct"/>
                  <w:vMerge w:val="restart"/>
                  <w:tcBorders>
                    <w:tl2br w:val="nil"/>
                    <w:tr2bl w:val="nil"/>
                  </w:tcBorders>
                  <w:noWrap w:val="0"/>
                  <w:vAlign w:val="center"/>
                </w:tcPr>
                <w:p w14:paraId="37BF3332">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溶解度：不溶</w:t>
                  </w:r>
                </w:p>
              </w:tc>
              <w:tc>
                <w:tcPr>
                  <w:tcW w:w="1426" w:type="pct"/>
                  <w:gridSpan w:val="3"/>
                  <w:tcBorders>
                    <w:tl2br w:val="nil"/>
                    <w:tr2bl w:val="nil"/>
                  </w:tcBorders>
                  <w:noWrap w:val="0"/>
                  <w:vAlign w:val="center"/>
                </w:tcPr>
                <w:p w14:paraId="64898D0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lang w:eastAsia="zh-CN"/>
                    </w:rPr>
                    <w:t>蒸汽压</w:t>
                  </w:r>
                  <w:r>
                    <w:rPr>
                      <w:rFonts w:hint="eastAsia" w:ascii="Times New Roman" w:hAnsi="Times New Roman" w:cs="Times New Roman"/>
                      <w:color w:val="auto"/>
                    </w:rPr>
                    <w:t>：</w:t>
                  </w:r>
                  <w:r>
                    <w:rPr>
                      <w:rFonts w:hint="default" w:ascii="Times New Roman" w:hAnsi="Times New Roman" w:cs="Times New Roman"/>
                      <w:color w:val="auto"/>
                    </w:rPr>
                    <w:t>无资料</w:t>
                  </w:r>
                </w:p>
              </w:tc>
            </w:tr>
            <w:tr w14:paraId="1DEBA0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tcBorders>
                    <w:tl2br w:val="nil"/>
                    <w:tr2bl w:val="nil"/>
                  </w:tcBorders>
                  <w:noWrap w:val="0"/>
                  <w:vAlign w:val="center"/>
                </w:tcPr>
                <w:p w14:paraId="5393B2BB">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分子式</w:t>
                  </w:r>
                </w:p>
              </w:tc>
              <w:tc>
                <w:tcPr>
                  <w:tcW w:w="2102" w:type="pct"/>
                  <w:gridSpan w:val="4"/>
                  <w:tcBorders>
                    <w:tl2br w:val="nil"/>
                    <w:tr2bl w:val="nil"/>
                  </w:tcBorders>
                  <w:noWrap w:val="0"/>
                  <w:vAlign w:val="center"/>
                </w:tcPr>
                <w:p w14:paraId="15BE25AE">
                  <w:pPr>
                    <w:pStyle w:val="68"/>
                    <w:keepNext w:val="0"/>
                    <w:keepLines w:val="0"/>
                    <w:suppressLineNumbers w:val="0"/>
                    <w:spacing w:before="0" w:beforeAutospacing="0" w:after="0" w:afterAutospacing="0"/>
                    <w:ind w:right="0"/>
                    <w:rPr>
                      <w:rFonts w:hint="eastAsia" w:ascii="Times New Roman" w:hAnsi="Times New Roman" w:eastAsia="宋体" w:cs="Times New Roman"/>
                      <w:color w:val="auto"/>
                      <w:lang w:eastAsia="zh-CN"/>
                    </w:rPr>
                  </w:pPr>
                  <w:r>
                    <w:rPr>
                      <w:rFonts w:hint="default" w:ascii="Times New Roman" w:hAnsi="Times New Roman" w:cs="Times New Roman"/>
                      <w:color w:val="auto"/>
                    </w:rPr>
                    <w:t>C4</w:t>
                  </w:r>
                  <w:r>
                    <w:rPr>
                      <w:rFonts w:hint="default" w:ascii="Times New Roman" w:hAnsi="Times New Roman" w:eastAsia="微软雅黑" w:cs="Times New Roman"/>
                      <w:color w:val="auto"/>
                    </w:rPr>
                    <w:t>−</w:t>
                  </w:r>
                  <w:r>
                    <w:rPr>
                      <w:rFonts w:hint="default" w:ascii="Times New Roman" w:hAnsi="Times New Roman" w:cs="Times New Roman"/>
                      <w:color w:val="auto"/>
                    </w:rPr>
                    <w:t>C12</w:t>
                  </w:r>
                  <w:r>
                    <w:rPr>
                      <w:rFonts w:hint="eastAsia" w:ascii="Times New Roman" w:hAnsi="Times New Roman" w:cs="Times New Roman"/>
                      <w:color w:val="auto"/>
                      <w:lang w:eastAsia="zh-CN"/>
                    </w:rPr>
                    <w:t>（</w:t>
                  </w:r>
                  <w:r>
                    <w:rPr>
                      <w:rFonts w:hint="default" w:ascii="Times New Roman" w:hAnsi="Times New Roman" w:cs="Times New Roman"/>
                      <w:color w:val="auto"/>
                    </w:rPr>
                    <w:t>脂肪烃和环烃</w:t>
                  </w:r>
                  <w:r>
                    <w:rPr>
                      <w:rFonts w:hint="eastAsia" w:ascii="Times New Roman" w:hAnsi="Times New Roman" w:cs="Times New Roman"/>
                      <w:color w:val="auto"/>
                      <w:lang w:eastAsia="zh-CN"/>
                    </w:rPr>
                    <w:t>）</w:t>
                  </w:r>
                </w:p>
              </w:tc>
              <w:tc>
                <w:tcPr>
                  <w:tcW w:w="347" w:type="pct"/>
                  <w:vMerge w:val="continue"/>
                  <w:tcBorders>
                    <w:tl2br w:val="nil"/>
                    <w:tr2bl w:val="nil"/>
                  </w:tcBorders>
                  <w:noWrap w:val="0"/>
                  <w:vAlign w:val="center"/>
                </w:tcPr>
                <w:p w14:paraId="42816AFF">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534" w:type="pct"/>
                  <w:vMerge w:val="continue"/>
                  <w:tcBorders>
                    <w:tl2br w:val="nil"/>
                    <w:tr2bl w:val="nil"/>
                  </w:tcBorders>
                  <w:noWrap w:val="0"/>
                  <w:vAlign w:val="center"/>
                </w:tcPr>
                <w:p w14:paraId="3C5B8CD2">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657" w:type="pct"/>
                  <w:vMerge w:val="restart"/>
                  <w:tcBorders>
                    <w:tl2br w:val="nil"/>
                    <w:tr2bl w:val="nil"/>
                  </w:tcBorders>
                  <w:noWrap w:val="0"/>
                  <w:vAlign w:val="center"/>
                </w:tcPr>
                <w:p w14:paraId="5BE03BAC">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相对密度</w:t>
                  </w:r>
                </w:p>
              </w:tc>
              <w:tc>
                <w:tcPr>
                  <w:tcW w:w="769" w:type="pct"/>
                  <w:gridSpan w:val="2"/>
                  <w:tcBorders>
                    <w:tl2br w:val="nil"/>
                    <w:tr2bl w:val="nil"/>
                  </w:tcBorders>
                  <w:noWrap w:val="0"/>
                  <w:vAlign w:val="center"/>
                </w:tcPr>
                <w:p w14:paraId="1BD862B4">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空气：无资料</w:t>
                  </w:r>
                </w:p>
              </w:tc>
            </w:tr>
            <w:tr w14:paraId="094872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restart"/>
                  <w:tcBorders>
                    <w:tl2br w:val="nil"/>
                    <w:tr2bl w:val="nil"/>
                  </w:tcBorders>
                  <w:noWrap w:val="0"/>
                  <w:vAlign w:val="center"/>
                </w:tcPr>
                <w:p w14:paraId="12700C9A">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燃烧爆炸危险性</w:t>
                  </w:r>
                </w:p>
              </w:tc>
              <w:tc>
                <w:tcPr>
                  <w:tcW w:w="939" w:type="pct"/>
                  <w:gridSpan w:val="2"/>
                  <w:tcBorders>
                    <w:tl2br w:val="nil"/>
                    <w:tr2bl w:val="nil"/>
                  </w:tcBorders>
                  <w:noWrap w:val="0"/>
                  <w:vAlign w:val="center"/>
                </w:tcPr>
                <w:p w14:paraId="7A236FB4">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闪点</w:t>
                  </w:r>
                  <w:r>
                    <w:rPr>
                      <w:rFonts w:hint="eastAsia" w:ascii="Times New Roman" w:hAnsi="Times New Roman" w:cs="Times New Roman"/>
                      <w:color w:val="auto"/>
                    </w:rPr>
                    <w:t>：</w:t>
                  </w:r>
                  <w:r>
                    <w:rPr>
                      <w:rFonts w:hint="default" w:ascii="Times New Roman" w:hAnsi="Times New Roman" w:cs="Times New Roman"/>
                      <w:color w:val="auto"/>
                    </w:rPr>
                    <w:t>62～63℃</w:t>
                  </w:r>
                </w:p>
              </w:tc>
              <w:tc>
                <w:tcPr>
                  <w:tcW w:w="1163" w:type="pct"/>
                  <w:gridSpan w:val="2"/>
                  <w:tcBorders>
                    <w:tl2br w:val="nil"/>
                    <w:tr2bl w:val="nil"/>
                  </w:tcBorders>
                  <w:noWrap w:val="0"/>
                  <w:vAlign w:val="center"/>
                </w:tcPr>
                <w:p w14:paraId="76130E14">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引燃温度</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eastAsia" w:ascii="Times New Roman" w:hAnsi="Times New Roman" w:cs="Times New Roman"/>
                      <w:color w:val="auto"/>
                      <w:lang w:eastAsia="zh-CN"/>
                    </w:rPr>
                    <w:t>）</w:t>
                  </w:r>
                  <w:r>
                    <w:rPr>
                      <w:rFonts w:hint="default" w:ascii="Times New Roman" w:hAnsi="Times New Roman" w:cs="Times New Roman"/>
                      <w:color w:val="auto"/>
                    </w:rPr>
                    <w:t>：257℃</w:t>
                  </w:r>
                </w:p>
              </w:tc>
              <w:tc>
                <w:tcPr>
                  <w:tcW w:w="347" w:type="pct"/>
                  <w:vMerge w:val="continue"/>
                  <w:tcBorders>
                    <w:tl2br w:val="nil"/>
                    <w:tr2bl w:val="nil"/>
                  </w:tcBorders>
                  <w:noWrap w:val="0"/>
                  <w:vAlign w:val="center"/>
                </w:tcPr>
                <w:p w14:paraId="56CE5D26">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534" w:type="pct"/>
                  <w:vMerge w:val="continue"/>
                  <w:tcBorders>
                    <w:tl2br w:val="nil"/>
                    <w:tr2bl w:val="nil"/>
                  </w:tcBorders>
                  <w:noWrap w:val="0"/>
                  <w:vAlign w:val="center"/>
                </w:tcPr>
                <w:p w14:paraId="3B88F877">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657" w:type="pct"/>
                  <w:vMerge w:val="continue"/>
                  <w:tcBorders>
                    <w:tl2br w:val="nil"/>
                    <w:tr2bl w:val="nil"/>
                  </w:tcBorders>
                  <w:noWrap w:val="0"/>
                  <w:vAlign w:val="center"/>
                </w:tcPr>
                <w:p w14:paraId="4B611492">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769" w:type="pct"/>
                  <w:gridSpan w:val="2"/>
                  <w:tcBorders>
                    <w:tl2br w:val="nil"/>
                    <w:tr2bl w:val="nil"/>
                  </w:tcBorders>
                  <w:noWrap w:val="0"/>
                  <w:vAlign w:val="center"/>
                </w:tcPr>
                <w:p w14:paraId="6F99F05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水：0.9</w:t>
                  </w:r>
                </w:p>
              </w:tc>
            </w:tr>
            <w:tr w14:paraId="16E25B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604C1025">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939" w:type="pct"/>
                  <w:gridSpan w:val="2"/>
                  <w:tcBorders>
                    <w:tl2br w:val="nil"/>
                    <w:tr2bl w:val="nil"/>
                  </w:tcBorders>
                  <w:noWrap w:val="0"/>
                  <w:vAlign w:val="center"/>
                </w:tcPr>
                <w:p w14:paraId="2C66A4F6">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自燃点</w:t>
                  </w:r>
                  <w:r>
                    <w:rPr>
                      <w:rFonts w:hint="eastAsia" w:ascii="Times New Roman" w:hAnsi="Times New Roman" w:cs="Times New Roman"/>
                      <w:color w:val="auto"/>
                    </w:rPr>
                    <w:t>：</w:t>
                  </w:r>
                  <w:r>
                    <w:rPr>
                      <w:rFonts w:hint="default" w:ascii="Times New Roman" w:hAnsi="Times New Roman" w:cs="Times New Roman"/>
                      <w:color w:val="auto"/>
                    </w:rPr>
                    <w:t>约250℃</w:t>
                  </w:r>
                </w:p>
              </w:tc>
              <w:tc>
                <w:tcPr>
                  <w:tcW w:w="1163" w:type="pct"/>
                  <w:gridSpan w:val="2"/>
                  <w:tcBorders>
                    <w:tl2br w:val="nil"/>
                    <w:tr2bl w:val="nil"/>
                  </w:tcBorders>
                  <w:noWrap w:val="0"/>
                  <w:vAlign w:val="center"/>
                </w:tcPr>
                <w:p w14:paraId="74C4655B">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火灾危险性分类</w:t>
                  </w:r>
                  <w:r>
                    <w:rPr>
                      <w:rFonts w:hint="eastAsia" w:ascii="Times New Roman" w:hAnsi="Times New Roman" w:cs="Times New Roman"/>
                      <w:color w:val="auto"/>
                    </w:rPr>
                    <w:t>：</w:t>
                  </w:r>
                  <w:r>
                    <w:rPr>
                      <w:rFonts w:hint="default" w:ascii="Times New Roman" w:hAnsi="Times New Roman" w:cs="Times New Roman"/>
                      <w:color w:val="auto"/>
                    </w:rPr>
                    <w:t>乙B</w:t>
                  </w:r>
                </w:p>
              </w:tc>
              <w:tc>
                <w:tcPr>
                  <w:tcW w:w="347" w:type="pct"/>
                  <w:vMerge w:val="restart"/>
                  <w:tcBorders>
                    <w:tl2br w:val="nil"/>
                    <w:tr2bl w:val="nil"/>
                  </w:tcBorders>
                  <w:noWrap w:val="0"/>
                  <w:vAlign w:val="center"/>
                </w:tcPr>
                <w:p w14:paraId="3CF80117">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毒害性及健康危害</w:t>
                  </w:r>
                </w:p>
              </w:tc>
              <w:tc>
                <w:tcPr>
                  <w:tcW w:w="1961" w:type="pct"/>
                  <w:gridSpan w:val="4"/>
                  <w:tcBorders>
                    <w:tl2br w:val="nil"/>
                    <w:tr2bl w:val="nil"/>
                  </w:tcBorders>
                  <w:noWrap w:val="0"/>
                  <w:vAlign w:val="center"/>
                </w:tcPr>
                <w:p w14:paraId="5D371E81">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职业性接触毒物危害程度分级</w:t>
                  </w:r>
                  <w:r>
                    <w:rPr>
                      <w:rFonts w:hint="eastAsia" w:ascii="Times New Roman" w:hAnsi="Times New Roman" w:cs="Times New Roman"/>
                      <w:color w:val="auto"/>
                    </w:rPr>
                    <w:t>：</w:t>
                  </w:r>
                  <w:r>
                    <w:rPr>
                      <w:rFonts w:hint="default" w:ascii="Times New Roman" w:hAnsi="Times New Roman" w:cs="Times New Roman"/>
                      <w:color w:val="auto"/>
                    </w:rPr>
                    <w:t>无资料</w:t>
                  </w:r>
                </w:p>
              </w:tc>
            </w:tr>
            <w:tr w14:paraId="416F9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4B5CF299">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vMerge w:val="restart"/>
                  <w:tcBorders>
                    <w:tl2br w:val="nil"/>
                    <w:tr2bl w:val="nil"/>
                  </w:tcBorders>
                  <w:noWrap w:val="0"/>
                  <w:vAlign w:val="center"/>
                </w:tcPr>
                <w:p w14:paraId="695E3873">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危险特性</w:t>
                  </w:r>
                  <w:r>
                    <w:rPr>
                      <w:rFonts w:hint="eastAsia" w:ascii="Times New Roman" w:hAnsi="Times New Roman" w:cs="Times New Roman"/>
                      <w:color w:val="auto"/>
                    </w:rPr>
                    <w:t>：</w:t>
                  </w:r>
                  <w:r>
                    <w:rPr>
                      <w:rFonts w:hint="default" w:ascii="Times New Roman" w:hAnsi="Times New Roman" w:cs="Times New Roman"/>
                      <w:color w:val="auto"/>
                    </w:rPr>
                    <w:t>遇明火、高热或与氧化剂接触，有引起燃烧爆炸的危险。若遇高热，容器内压增大，有开裂和爆炸的危险。</w:t>
                  </w:r>
                </w:p>
              </w:tc>
              <w:tc>
                <w:tcPr>
                  <w:tcW w:w="347" w:type="pct"/>
                  <w:vMerge w:val="continue"/>
                  <w:tcBorders>
                    <w:tl2br w:val="nil"/>
                    <w:tr2bl w:val="nil"/>
                  </w:tcBorders>
                  <w:noWrap w:val="0"/>
                  <w:vAlign w:val="center"/>
                </w:tcPr>
                <w:p w14:paraId="607125AC">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5D461AA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毒性资料</w:t>
                  </w:r>
                  <w:r>
                    <w:rPr>
                      <w:rFonts w:hint="eastAsia" w:ascii="Times New Roman" w:hAnsi="Times New Roman" w:cs="Times New Roman"/>
                      <w:color w:val="auto"/>
                    </w:rPr>
                    <w:t>：</w:t>
                  </w:r>
                  <w:r>
                    <w:rPr>
                      <w:rFonts w:hint="default" w:ascii="Times New Roman" w:hAnsi="Times New Roman" w:cs="Times New Roman"/>
                      <w:color w:val="auto"/>
                    </w:rPr>
                    <w:t>无资料</w:t>
                  </w:r>
                </w:p>
              </w:tc>
            </w:tr>
            <w:tr w14:paraId="3CC21A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4B82B8F9">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vMerge w:val="continue"/>
                  <w:tcBorders>
                    <w:tl2br w:val="nil"/>
                    <w:tr2bl w:val="nil"/>
                  </w:tcBorders>
                  <w:noWrap w:val="0"/>
                  <w:vAlign w:val="center"/>
                </w:tcPr>
                <w:p w14:paraId="6C4E62CF">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347" w:type="pct"/>
                  <w:vMerge w:val="continue"/>
                  <w:tcBorders>
                    <w:tl2br w:val="nil"/>
                    <w:tr2bl w:val="nil"/>
                  </w:tcBorders>
                  <w:noWrap w:val="0"/>
                  <w:vAlign w:val="center"/>
                </w:tcPr>
                <w:p w14:paraId="5620D760">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08AF621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职业接触限值</w:t>
                  </w:r>
                </w:p>
              </w:tc>
            </w:tr>
            <w:tr w14:paraId="51DA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705B10D6">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vMerge w:val="continue"/>
                  <w:tcBorders>
                    <w:tl2br w:val="nil"/>
                    <w:tr2bl w:val="nil"/>
                  </w:tcBorders>
                  <w:noWrap w:val="0"/>
                  <w:vAlign w:val="center"/>
                </w:tcPr>
                <w:p w14:paraId="74E088FC">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347" w:type="pct"/>
                  <w:vMerge w:val="continue"/>
                  <w:tcBorders>
                    <w:tl2br w:val="nil"/>
                    <w:tr2bl w:val="nil"/>
                  </w:tcBorders>
                  <w:noWrap w:val="0"/>
                  <w:vAlign w:val="center"/>
                </w:tcPr>
                <w:p w14:paraId="64C3872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185B086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MAC</w:t>
                  </w:r>
                  <w:r>
                    <w:rPr>
                      <w:rFonts w:hint="eastAsia" w:ascii="Times New Roman" w:hAnsi="Times New Roman" w:cs="Times New Roman"/>
                      <w:color w:val="auto"/>
                    </w:rPr>
                    <w:t>：</w:t>
                  </w:r>
                  <w:r>
                    <w:rPr>
                      <w:rFonts w:hint="default" w:ascii="Times New Roman" w:hAnsi="Times New Roman" w:cs="Times New Roman"/>
                      <w:color w:val="auto"/>
                    </w:rPr>
                    <w:t>无资料</w:t>
                  </w:r>
                </w:p>
              </w:tc>
            </w:tr>
            <w:tr w14:paraId="63A350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7B5180B3">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0B2A92F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燃烧</w:t>
                  </w:r>
                  <w:r>
                    <w:rPr>
                      <w:rFonts w:hint="eastAsia" w:ascii="Times New Roman" w:hAnsi="Times New Roman" w:cs="Times New Roman"/>
                      <w:color w:val="auto"/>
                      <w:lang w:eastAsia="zh-CN"/>
                    </w:rPr>
                    <w:t>（</w:t>
                  </w:r>
                  <w:r>
                    <w:rPr>
                      <w:rFonts w:hint="default" w:ascii="Times New Roman" w:hAnsi="Times New Roman" w:cs="Times New Roman"/>
                      <w:color w:val="auto"/>
                    </w:rPr>
                    <w:t>分解</w:t>
                  </w:r>
                  <w:r>
                    <w:rPr>
                      <w:rFonts w:hint="eastAsia" w:ascii="Times New Roman" w:hAnsi="Times New Roman" w:cs="Times New Roman"/>
                      <w:color w:val="auto"/>
                      <w:lang w:eastAsia="zh-CN"/>
                    </w:rPr>
                    <w:t>）</w:t>
                  </w:r>
                  <w:r>
                    <w:rPr>
                      <w:rFonts w:hint="default" w:ascii="Times New Roman" w:hAnsi="Times New Roman" w:cs="Times New Roman"/>
                      <w:color w:val="auto"/>
                    </w:rPr>
                    <w:t>产物</w:t>
                  </w:r>
                  <w:r>
                    <w:rPr>
                      <w:rFonts w:hint="eastAsia" w:ascii="Times New Roman" w:hAnsi="Times New Roman" w:cs="Times New Roman"/>
                      <w:color w:val="auto"/>
                    </w:rPr>
                    <w:t>：</w:t>
                  </w:r>
                  <w:r>
                    <w:rPr>
                      <w:rFonts w:hint="default" w:ascii="Times New Roman" w:hAnsi="Times New Roman" w:cs="Times New Roman"/>
                      <w:color w:val="auto"/>
                    </w:rPr>
                    <w:t>一氧化碳、二氧化碳。</w:t>
                  </w:r>
                </w:p>
              </w:tc>
              <w:tc>
                <w:tcPr>
                  <w:tcW w:w="347" w:type="pct"/>
                  <w:vMerge w:val="continue"/>
                  <w:tcBorders>
                    <w:tl2br w:val="nil"/>
                    <w:tr2bl w:val="nil"/>
                  </w:tcBorders>
                  <w:noWrap w:val="0"/>
                  <w:vAlign w:val="center"/>
                </w:tcPr>
                <w:p w14:paraId="3633D4C1">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4802F0A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PC-TWA</w:t>
                  </w:r>
                  <w:r>
                    <w:rPr>
                      <w:rFonts w:hint="eastAsia" w:ascii="Times New Roman" w:hAnsi="Times New Roman" w:cs="Times New Roman"/>
                      <w:color w:val="auto"/>
                    </w:rPr>
                    <w:t>：</w:t>
                  </w:r>
                  <w:r>
                    <w:rPr>
                      <w:rFonts w:hint="default" w:ascii="Times New Roman" w:hAnsi="Times New Roman" w:cs="Times New Roman"/>
                      <w:color w:val="auto"/>
                    </w:rPr>
                    <w:t>无资料</w:t>
                  </w:r>
                </w:p>
              </w:tc>
            </w:tr>
            <w:tr w14:paraId="2D66D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0BA10857">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6C63682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禁忌物</w:t>
                  </w:r>
                  <w:r>
                    <w:rPr>
                      <w:rFonts w:hint="eastAsia" w:ascii="Times New Roman" w:hAnsi="Times New Roman" w:cs="Times New Roman"/>
                      <w:color w:val="auto"/>
                    </w:rPr>
                    <w:t>：</w:t>
                  </w:r>
                  <w:r>
                    <w:rPr>
                      <w:rFonts w:hint="default" w:ascii="Times New Roman" w:hAnsi="Times New Roman" w:cs="Times New Roman"/>
                      <w:color w:val="auto"/>
                    </w:rPr>
                    <w:t>强氧化剂、卤素。</w:t>
                  </w:r>
                </w:p>
              </w:tc>
              <w:tc>
                <w:tcPr>
                  <w:tcW w:w="347" w:type="pct"/>
                  <w:vMerge w:val="continue"/>
                  <w:tcBorders>
                    <w:tl2br w:val="nil"/>
                    <w:tr2bl w:val="nil"/>
                  </w:tcBorders>
                  <w:noWrap w:val="0"/>
                  <w:vAlign w:val="center"/>
                </w:tcPr>
                <w:p w14:paraId="05F7FE1E">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12F03451">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PC-STEL</w:t>
                  </w:r>
                  <w:r>
                    <w:rPr>
                      <w:rFonts w:hint="eastAsia" w:ascii="Times New Roman" w:hAnsi="Times New Roman" w:cs="Times New Roman"/>
                      <w:color w:val="auto"/>
                    </w:rPr>
                    <w:t>：</w:t>
                  </w:r>
                  <w:r>
                    <w:rPr>
                      <w:rFonts w:hint="default" w:ascii="Times New Roman" w:hAnsi="Times New Roman" w:cs="Times New Roman"/>
                      <w:color w:val="auto"/>
                    </w:rPr>
                    <w:t>无资料</w:t>
                  </w:r>
                </w:p>
              </w:tc>
            </w:tr>
            <w:tr w14:paraId="58E5F0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690AA0EB">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387369F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避免接触的条件</w:t>
                  </w:r>
                  <w:r>
                    <w:rPr>
                      <w:rFonts w:hint="eastAsia" w:ascii="Times New Roman" w:hAnsi="Times New Roman" w:cs="Times New Roman"/>
                      <w:color w:val="auto"/>
                    </w:rPr>
                    <w:t>：</w:t>
                  </w:r>
                  <w:r>
                    <w:rPr>
                      <w:rFonts w:hint="default" w:ascii="Times New Roman" w:hAnsi="Times New Roman" w:cs="Times New Roman"/>
                      <w:color w:val="auto"/>
                    </w:rPr>
                    <w:t>无资料</w:t>
                  </w:r>
                </w:p>
              </w:tc>
              <w:tc>
                <w:tcPr>
                  <w:tcW w:w="347" w:type="pct"/>
                  <w:vMerge w:val="continue"/>
                  <w:tcBorders>
                    <w:tl2br w:val="nil"/>
                    <w:tr2bl w:val="nil"/>
                  </w:tcBorders>
                  <w:noWrap w:val="0"/>
                  <w:vAlign w:val="center"/>
                </w:tcPr>
                <w:p w14:paraId="21DE60FB">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4FD0251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侵入途径及健康危害</w:t>
                  </w:r>
                </w:p>
              </w:tc>
            </w:tr>
            <w:tr w14:paraId="0CC2F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27890011">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7F60B71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灭火剂</w:t>
                  </w:r>
                  <w:r>
                    <w:rPr>
                      <w:rFonts w:hint="eastAsia" w:ascii="Times New Roman" w:hAnsi="Times New Roman" w:cs="Times New Roman"/>
                      <w:color w:val="auto"/>
                    </w:rPr>
                    <w:t>：</w:t>
                  </w:r>
                  <w:r>
                    <w:rPr>
                      <w:rFonts w:hint="default" w:ascii="Times New Roman" w:hAnsi="Times New Roman" w:cs="Times New Roman"/>
                      <w:color w:val="auto"/>
                    </w:rPr>
                    <w:t>泡沫、二氧化碳、干粉、1211灭火剂、砂土。</w:t>
                  </w:r>
                </w:p>
              </w:tc>
              <w:tc>
                <w:tcPr>
                  <w:tcW w:w="347" w:type="pct"/>
                  <w:vMerge w:val="continue"/>
                  <w:tcBorders>
                    <w:tl2br w:val="nil"/>
                    <w:tr2bl w:val="nil"/>
                  </w:tcBorders>
                  <w:noWrap w:val="0"/>
                  <w:vAlign w:val="center"/>
                </w:tcPr>
                <w:p w14:paraId="5C9CCFD8">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682827E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侵入途径</w:t>
                  </w:r>
                  <w:r>
                    <w:rPr>
                      <w:rFonts w:hint="eastAsia" w:ascii="Times New Roman" w:hAnsi="Times New Roman" w:cs="Times New Roman"/>
                      <w:color w:val="auto"/>
                    </w:rPr>
                    <w:t>：</w:t>
                  </w:r>
                  <w:r>
                    <w:rPr>
                      <w:rFonts w:hint="default" w:ascii="Times New Roman" w:hAnsi="Times New Roman" w:cs="Times New Roman"/>
                      <w:color w:val="auto"/>
                    </w:rPr>
                    <w:t>吸入</w:t>
                  </w:r>
                  <w:r>
                    <w:rPr>
                      <w:rFonts w:hint="eastAsia" w:ascii="Times New Roman" w:hAnsi="Times New Roman" w:cs="Times New Roman"/>
                      <w:color w:val="auto"/>
                    </w:rPr>
                    <w:t>、</w:t>
                  </w:r>
                  <w:r>
                    <w:rPr>
                      <w:rFonts w:hint="default" w:ascii="Times New Roman" w:hAnsi="Times New Roman" w:cs="Times New Roman"/>
                      <w:color w:val="auto"/>
                    </w:rPr>
                    <w:t>食入</w:t>
                  </w:r>
                  <w:r>
                    <w:rPr>
                      <w:rFonts w:hint="eastAsia" w:ascii="Times New Roman" w:hAnsi="Times New Roman" w:cs="Times New Roman"/>
                      <w:color w:val="auto"/>
                    </w:rPr>
                    <w:t>、</w:t>
                  </w:r>
                  <w:r>
                    <w:rPr>
                      <w:rFonts w:hint="default" w:ascii="Times New Roman" w:hAnsi="Times New Roman" w:cs="Times New Roman"/>
                      <w:color w:val="auto"/>
                    </w:rPr>
                    <w:t>经皮吸收</w:t>
                  </w:r>
                </w:p>
              </w:tc>
            </w:tr>
            <w:tr w14:paraId="78E4F2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70D3C479">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1A9D6863">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禁用灭火剂</w:t>
                  </w:r>
                  <w:r>
                    <w:rPr>
                      <w:rFonts w:hint="eastAsia" w:ascii="Times New Roman" w:hAnsi="Times New Roman" w:cs="Times New Roman"/>
                      <w:color w:val="auto"/>
                    </w:rPr>
                    <w:t>：</w:t>
                  </w:r>
                  <w:r>
                    <w:rPr>
                      <w:rFonts w:hint="default" w:ascii="Times New Roman" w:hAnsi="Times New Roman" w:cs="Times New Roman"/>
                      <w:color w:val="auto"/>
                    </w:rPr>
                    <w:t>水</w:t>
                  </w:r>
                </w:p>
              </w:tc>
              <w:tc>
                <w:tcPr>
                  <w:tcW w:w="347" w:type="pct"/>
                  <w:vMerge w:val="continue"/>
                  <w:tcBorders>
                    <w:tl2br w:val="nil"/>
                    <w:tr2bl w:val="nil"/>
                  </w:tcBorders>
                  <w:noWrap w:val="0"/>
                  <w:vAlign w:val="center"/>
                </w:tcPr>
                <w:p w14:paraId="62EDF885">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vMerge w:val="restart"/>
                  <w:tcBorders>
                    <w:tl2br w:val="nil"/>
                    <w:tr2bl w:val="nil"/>
                  </w:tcBorders>
                  <w:noWrap w:val="0"/>
                  <w:vAlign w:val="center"/>
                </w:tcPr>
                <w:p w14:paraId="711968F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健康危害</w:t>
                  </w:r>
                  <w:r>
                    <w:rPr>
                      <w:rFonts w:hint="eastAsia" w:ascii="Times New Roman" w:hAnsi="Times New Roman" w:cs="Times New Roman"/>
                      <w:color w:val="auto"/>
                    </w:rPr>
                    <w:t>：</w:t>
                  </w:r>
                  <w:r>
                    <w:rPr>
                      <w:rFonts w:hint="default" w:ascii="Times New Roman" w:hAnsi="Times New Roman" w:cs="Times New Roman"/>
                      <w:color w:val="auto"/>
                    </w:rPr>
                    <w:t>皮肤接触</w:t>
                  </w:r>
                  <w:r>
                    <w:rPr>
                      <w:rFonts w:hint="eastAsia" w:ascii="Times New Roman" w:hAnsi="Times New Roman" w:cs="Times New Roman"/>
                      <w:color w:val="auto"/>
                      <w:lang w:eastAsia="zh-CN"/>
                    </w:rPr>
                    <w:t>柴油</w:t>
                  </w:r>
                  <w:r>
                    <w:rPr>
                      <w:rFonts w:hint="default" w:ascii="Times New Roman" w:hAnsi="Times New Roman" w:cs="Times New Roman"/>
                      <w:color w:val="auto"/>
                    </w:rPr>
                    <w:t>可引起接触性皮炎、油性痤疮，吸入可引起吸入性肺炎。能经胎盘进入胎儿血中。</w:t>
                  </w:r>
                  <w:r>
                    <w:rPr>
                      <w:rFonts w:hint="eastAsia" w:ascii="Times New Roman" w:hAnsi="Times New Roman" w:cs="Times New Roman"/>
                      <w:color w:val="auto"/>
                      <w:lang w:eastAsia="zh-CN"/>
                    </w:rPr>
                    <w:t>柴油</w:t>
                  </w:r>
                  <w:r>
                    <w:rPr>
                      <w:rFonts w:hint="default" w:ascii="Times New Roman" w:hAnsi="Times New Roman" w:cs="Times New Roman"/>
                      <w:color w:val="auto"/>
                    </w:rPr>
                    <w:t>废气可引起眼、鼻刺激症状，头晕及头痛。</w:t>
                  </w:r>
                </w:p>
              </w:tc>
            </w:tr>
            <w:tr w14:paraId="7B1A64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restart"/>
                  <w:tcBorders>
                    <w:tl2br w:val="nil"/>
                    <w:tr2bl w:val="nil"/>
                  </w:tcBorders>
                  <w:noWrap w:val="0"/>
                  <w:vAlign w:val="center"/>
                </w:tcPr>
                <w:p w14:paraId="6020E044">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急救措施</w:t>
                  </w:r>
                </w:p>
              </w:tc>
              <w:tc>
                <w:tcPr>
                  <w:tcW w:w="2102" w:type="pct"/>
                  <w:gridSpan w:val="4"/>
                  <w:tcBorders>
                    <w:tl2br w:val="nil"/>
                    <w:tr2bl w:val="nil"/>
                  </w:tcBorders>
                  <w:noWrap w:val="0"/>
                  <w:vAlign w:val="center"/>
                </w:tcPr>
                <w:p w14:paraId="4428699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皮肤接触</w:t>
                  </w:r>
                  <w:r>
                    <w:rPr>
                      <w:rFonts w:hint="eastAsia" w:ascii="Times New Roman" w:hAnsi="Times New Roman" w:cs="Times New Roman"/>
                      <w:color w:val="auto"/>
                    </w:rPr>
                    <w:t>：</w:t>
                  </w:r>
                  <w:r>
                    <w:rPr>
                      <w:rFonts w:hint="default" w:ascii="Times New Roman" w:hAnsi="Times New Roman" w:cs="Times New Roman"/>
                      <w:color w:val="auto"/>
                    </w:rPr>
                    <w:t>脱去污染的衣着，用肥皂和大量清水清洗污染皮肤。</w:t>
                  </w:r>
                </w:p>
              </w:tc>
              <w:tc>
                <w:tcPr>
                  <w:tcW w:w="347" w:type="pct"/>
                  <w:vMerge w:val="continue"/>
                  <w:tcBorders>
                    <w:tl2br w:val="nil"/>
                    <w:tr2bl w:val="nil"/>
                  </w:tcBorders>
                  <w:noWrap w:val="0"/>
                  <w:vAlign w:val="center"/>
                </w:tcPr>
                <w:p w14:paraId="046491C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vMerge w:val="continue"/>
                  <w:tcBorders>
                    <w:tl2br w:val="nil"/>
                    <w:tr2bl w:val="nil"/>
                  </w:tcBorders>
                  <w:noWrap w:val="0"/>
                  <w:vAlign w:val="center"/>
                </w:tcPr>
                <w:p w14:paraId="4BDB77B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r>
            <w:tr w14:paraId="409EE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2C51E8A2">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63EC7354">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眼睛接触：无资料</w:t>
                  </w:r>
                </w:p>
              </w:tc>
              <w:tc>
                <w:tcPr>
                  <w:tcW w:w="347" w:type="pct"/>
                  <w:vMerge w:val="continue"/>
                  <w:tcBorders>
                    <w:tl2br w:val="nil"/>
                    <w:tr2bl w:val="nil"/>
                  </w:tcBorders>
                  <w:noWrap w:val="0"/>
                  <w:vAlign w:val="center"/>
                </w:tcPr>
                <w:p w14:paraId="38F8BE60">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vMerge w:val="continue"/>
                  <w:tcBorders>
                    <w:tl2br w:val="nil"/>
                    <w:tr2bl w:val="nil"/>
                  </w:tcBorders>
                  <w:noWrap w:val="0"/>
                  <w:vAlign w:val="center"/>
                </w:tcPr>
                <w:p w14:paraId="68F6FAC2">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r>
            <w:tr w14:paraId="267F2C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47DD76C3">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6CF998D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吸入：无资料</w:t>
                  </w:r>
                </w:p>
              </w:tc>
              <w:tc>
                <w:tcPr>
                  <w:tcW w:w="347" w:type="pct"/>
                  <w:vMerge w:val="restart"/>
                  <w:tcBorders>
                    <w:tl2br w:val="nil"/>
                    <w:tr2bl w:val="nil"/>
                  </w:tcBorders>
                  <w:noWrap w:val="0"/>
                  <w:vAlign w:val="center"/>
                </w:tcPr>
                <w:p w14:paraId="772E9FE8">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泄漏处理</w:t>
                  </w:r>
                </w:p>
              </w:tc>
              <w:tc>
                <w:tcPr>
                  <w:tcW w:w="1961" w:type="pct"/>
                  <w:gridSpan w:val="4"/>
                  <w:vMerge w:val="restart"/>
                  <w:tcBorders>
                    <w:tl2br w:val="nil"/>
                    <w:tr2bl w:val="nil"/>
                  </w:tcBorders>
                  <w:noWrap w:val="0"/>
                  <w:vAlign w:val="center"/>
                </w:tcPr>
                <w:p w14:paraId="618BAB2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切断火源。应急处理人员戴好防毒面具，穿化学防护服。在确保安全情况下堵漏。用活性炭或其它惰性材料吸收，然后收集运到空旷处焚烧。如大量泄漏，利用围堤收容，然后收集、转移、回收或无害处理后废弃。</w:t>
                  </w:r>
                </w:p>
              </w:tc>
            </w:tr>
            <w:tr w14:paraId="6CD38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75F3CB6D">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6C7092B1">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食入：无资料</w:t>
                  </w:r>
                </w:p>
              </w:tc>
              <w:tc>
                <w:tcPr>
                  <w:tcW w:w="347" w:type="pct"/>
                  <w:vMerge w:val="continue"/>
                  <w:tcBorders>
                    <w:tl2br w:val="nil"/>
                    <w:tr2bl w:val="nil"/>
                  </w:tcBorders>
                  <w:noWrap w:val="0"/>
                  <w:vAlign w:val="center"/>
                </w:tcPr>
                <w:p w14:paraId="5C5BAF7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vMerge w:val="continue"/>
                  <w:tcBorders>
                    <w:tl2br w:val="nil"/>
                    <w:tr2bl w:val="nil"/>
                  </w:tcBorders>
                  <w:noWrap w:val="0"/>
                  <w:vAlign w:val="center"/>
                </w:tcPr>
                <w:p w14:paraId="47C34D17">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r>
            <w:tr w14:paraId="2267A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restart"/>
                  <w:tcBorders>
                    <w:tl2br w:val="nil"/>
                    <w:tr2bl w:val="nil"/>
                  </w:tcBorders>
                  <w:noWrap w:val="0"/>
                  <w:vAlign w:val="center"/>
                </w:tcPr>
                <w:p w14:paraId="437FDA68">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防护措施</w:t>
                  </w:r>
                </w:p>
              </w:tc>
              <w:tc>
                <w:tcPr>
                  <w:tcW w:w="2102" w:type="pct"/>
                  <w:gridSpan w:val="4"/>
                  <w:tcBorders>
                    <w:tl2br w:val="nil"/>
                    <w:tr2bl w:val="nil"/>
                  </w:tcBorders>
                  <w:noWrap w:val="0"/>
                  <w:vAlign w:val="center"/>
                </w:tcPr>
                <w:p w14:paraId="4180FCC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呼吸系统防护</w:t>
                  </w:r>
                  <w:r>
                    <w:rPr>
                      <w:rFonts w:hint="eastAsia" w:ascii="Times New Roman" w:hAnsi="Times New Roman" w:cs="Times New Roman"/>
                      <w:color w:val="auto"/>
                    </w:rPr>
                    <w:t>：</w:t>
                  </w:r>
                  <w:r>
                    <w:rPr>
                      <w:rFonts w:hint="default" w:ascii="Times New Roman" w:hAnsi="Times New Roman" w:cs="Times New Roman"/>
                      <w:color w:val="auto"/>
                    </w:rPr>
                    <w:t>一般不需特殊防护，但建议特殊情况下，</w:t>
                  </w:r>
                  <w:r>
                    <w:rPr>
                      <w:rFonts w:hint="eastAsia" w:ascii="Times New Roman" w:hAnsi="Times New Roman" w:cs="Times New Roman"/>
                      <w:color w:val="auto"/>
                      <w:lang w:eastAsia="zh-CN"/>
                    </w:rPr>
                    <w:t>佩戴</w:t>
                  </w:r>
                  <w:r>
                    <w:rPr>
                      <w:rFonts w:hint="default" w:ascii="Times New Roman" w:hAnsi="Times New Roman" w:cs="Times New Roman"/>
                      <w:color w:val="auto"/>
                    </w:rPr>
                    <w:t>供气式呼吸器。</w:t>
                  </w:r>
                </w:p>
              </w:tc>
              <w:tc>
                <w:tcPr>
                  <w:tcW w:w="347" w:type="pct"/>
                  <w:vMerge w:val="continue"/>
                  <w:tcBorders>
                    <w:tl2br w:val="nil"/>
                    <w:tr2bl w:val="nil"/>
                  </w:tcBorders>
                  <w:noWrap w:val="0"/>
                  <w:vAlign w:val="center"/>
                </w:tcPr>
                <w:p w14:paraId="0164A45E">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vMerge w:val="continue"/>
                  <w:tcBorders>
                    <w:tl2br w:val="nil"/>
                    <w:tr2bl w:val="nil"/>
                  </w:tcBorders>
                  <w:noWrap w:val="0"/>
                  <w:vAlign w:val="center"/>
                </w:tcPr>
                <w:p w14:paraId="6CE7F73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r>
            <w:tr w14:paraId="41C717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67C2BC58">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6B49243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眼睛防护</w:t>
                  </w:r>
                  <w:r>
                    <w:rPr>
                      <w:rFonts w:hint="eastAsia" w:ascii="Times New Roman" w:hAnsi="Times New Roman" w:cs="Times New Roman"/>
                      <w:color w:val="auto"/>
                    </w:rPr>
                    <w:t>：</w:t>
                  </w:r>
                  <w:r>
                    <w:rPr>
                      <w:rFonts w:hint="default" w:ascii="Times New Roman" w:hAnsi="Times New Roman" w:cs="Times New Roman"/>
                      <w:color w:val="auto"/>
                    </w:rPr>
                    <w:t>必要时戴安全防护眼镜。</w:t>
                  </w:r>
                </w:p>
              </w:tc>
              <w:tc>
                <w:tcPr>
                  <w:tcW w:w="347" w:type="pct"/>
                  <w:vMerge w:val="continue"/>
                  <w:tcBorders>
                    <w:tl2br w:val="nil"/>
                    <w:tr2bl w:val="nil"/>
                  </w:tcBorders>
                  <w:noWrap w:val="0"/>
                  <w:vAlign w:val="center"/>
                </w:tcPr>
                <w:p w14:paraId="7FEFAAD5">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vMerge w:val="continue"/>
                  <w:tcBorders>
                    <w:tl2br w:val="nil"/>
                    <w:tr2bl w:val="nil"/>
                  </w:tcBorders>
                  <w:noWrap w:val="0"/>
                  <w:vAlign w:val="center"/>
                </w:tcPr>
                <w:p w14:paraId="08951649">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r>
            <w:tr w14:paraId="352F2E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4E5D471F">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69EE863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手防护</w:t>
                  </w:r>
                  <w:r>
                    <w:rPr>
                      <w:rFonts w:hint="eastAsia" w:ascii="Times New Roman" w:hAnsi="Times New Roman" w:cs="Times New Roman"/>
                      <w:color w:val="auto"/>
                    </w:rPr>
                    <w:t>：</w:t>
                  </w:r>
                  <w:r>
                    <w:rPr>
                      <w:rFonts w:hint="default" w:ascii="Times New Roman" w:hAnsi="Times New Roman" w:cs="Times New Roman"/>
                      <w:color w:val="auto"/>
                    </w:rPr>
                    <w:t>必要时戴防护手套。</w:t>
                  </w:r>
                </w:p>
              </w:tc>
              <w:tc>
                <w:tcPr>
                  <w:tcW w:w="347" w:type="pct"/>
                  <w:vMerge w:val="restart"/>
                  <w:tcBorders>
                    <w:tl2br w:val="nil"/>
                    <w:tr2bl w:val="nil"/>
                  </w:tcBorders>
                  <w:noWrap w:val="0"/>
                  <w:vAlign w:val="center"/>
                </w:tcPr>
                <w:p w14:paraId="21F7533A">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包装</w:t>
                  </w:r>
                </w:p>
              </w:tc>
              <w:tc>
                <w:tcPr>
                  <w:tcW w:w="1961" w:type="pct"/>
                  <w:gridSpan w:val="4"/>
                  <w:tcBorders>
                    <w:tl2br w:val="nil"/>
                    <w:tr2bl w:val="nil"/>
                  </w:tcBorders>
                  <w:noWrap w:val="0"/>
                  <w:vAlign w:val="center"/>
                </w:tcPr>
                <w:p w14:paraId="7E81856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危险性类别：第3.3类中闪点易燃液体</w:t>
                  </w:r>
                </w:p>
              </w:tc>
            </w:tr>
            <w:tr w14:paraId="14965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vMerge w:val="continue"/>
                  <w:tcBorders>
                    <w:tl2br w:val="nil"/>
                    <w:tr2bl w:val="nil"/>
                  </w:tcBorders>
                  <w:noWrap w:val="0"/>
                  <w:vAlign w:val="center"/>
                </w:tcPr>
                <w:p w14:paraId="0115DB81">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02" w:type="pct"/>
                  <w:gridSpan w:val="4"/>
                  <w:tcBorders>
                    <w:tl2br w:val="nil"/>
                    <w:tr2bl w:val="nil"/>
                  </w:tcBorders>
                  <w:noWrap w:val="0"/>
                  <w:vAlign w:val="center"/>
                </w:tcPr>
                <w:p w14:paraId="412D376C">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身体防护</w:t>
                  </w:r>
                  <w:r>
                    <w:rPr>
                      <w:rFonts w:hint="eastAsia" w:ascii="Times New Roman" w:hAnsi="Times New Roman" w:cs="Times New Roman"/>
                      <w:color w:val="auto"/>
                    </w:rPr>
                    <w:t>：</w:t>
                  </w:r>
                  <w:r>
                    <w:rPr>
                      <w:rFonts w:hint="default" w:ascii="Times New Roman" w:hAnsi="Times New Roman" w:cs="Times New Roman"/>
                      <w:color w:val="auto"/>
                    </w:rPr>
                    <w:t>穿防静电工作服；必要时戴防护手套。</w:t>
                  </w:r>
                </w:p>
              </w:tc>
              <w:tc>
                <w:tcPr>
                  <w:tcW w:w="347" w:type="pct"/>
                  <w:vMerge w:val="continue"/>
                  <w:tcBorders>
                    <w:tl2br w:val="nil"/>
                    <w:tr2bl w:val="nil"/>
                  </w:tcBorders>
                  <w:noWrap w:val="0"/>
                  <w:vAlign w:val="center"/>
                </w:tcPr>
                <w:p w14:paraId="1A5B5F93">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961" w:type="pct"/>
                  <w:gridSpan w:val="4"/>
                  <w:tcBorders>
                    <w:tl2br w:val="nil"/>
                    <w:tr2bl w:val="nil"/>
                  </w:tcBorders>
                  <w:noWrap w:val="0"/>
                  <w:vAlign w:val="center"/>
                </w:tcPr>
                <w:p w14:paraId="35600D22">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危险货物包装标志：7</w:t>
                  </w:r>
                </w:p>
              </w:tc>
            </w:tr>
            <w:tr w14:paraId="5D272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0" w:type="pct"/>
                  <w:tcBorders>
                    <w:tl2br w:val="nil"/>
                    <w:tr2bl w:val="nil"/>
                  </w:tcBorders>
                  <w:noWrap w:val="0"/>
                  <w:vAlign w:val="center"/>
                </w:tcPr>
                <w:p w14:paraId="78889B7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储存</w:t>
                  </w:r>
                </w:p>
              </w:tc>
              <w:tc>
                <w:tcPr>
                  <w:tcW w:w="4410" w:type="pct"/>
                  <w:gridSpan w:val="9"/>
                  <w:tcBorders>
                    <w:tl2br w:val="nil"/>
                    <w:tr2bl w:val="nil"/>
                  </w:tcBorders>
                  <w:noWrap w:val="0"/>
                  <w:vAlign w:val="center"/>
                </w:tcPr>
                <w:p w14:paraId="5E910F8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储运注意事项：储存于阴凉、远离火种、热源。防止阳光直射。保持容器密封。应与氧化剂分开存放。罐储时要有防火防爆技术措施。禁止使用易产生火花的机械设备和工具。充装要控制流速，注意防止静电积聚。搬运时要轻装轻卸，防止包装及容器损坏。</w:t>
                  </w:r>
                </w:p>
              </w:tc>
            </w:tr>
          </w:tbl>
          <w:p w14:paraId="74F36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kern w:val="0"/>
                <w:sz w:val="21"/>
                <w:szCs w:val="20"/>
                <w:lang w:val="en-US" w:eastAsia="zh-CN" w:bidi="ar-SA"/>
              </w:rPr>
            </w:pPr>
            <w:r>
              <w:rPr>
                <w:rFonts w:hint="default" w:ascii="Times New Roman" w:hAnsi="Times New Roman" w:eastAsia="宋体" w:cs="Times New Roman"/>
                <w:b/>
                <w:color w:val="auto"/>
                <w:kern w:val="0"/>
                <w:sz w:val="21"/>
                <w:szCs w:val="20"/>
                <w:lang w:val="en-US" w:eastAsia="zh-CN" w:bidi="ar-SA"/>
              </w:rPr>
              <w:t>表</w:t>
            </w:r>
            <w:r>
              <w:rPr>
                <w:rFonts w:hint="eastAsia" w:ascii="Times New Roman" w:hAnsi="Times New Roman" w:eastAsia="宋体" w:cs="Times New Roman"/>
                <w:b/>
                <w:color w:val="auto"/>
                <w:kern w:val="0"/>
                <w:sz w:val="21"/>
                <w:szCs w:val="20"/>
                <w:lang w:val="en-US" w:eastAsia="zh-CN" w:bidi="ar-SA"/>
              </w:rPr>
              <w:t>5.6-4</w:t>
            </w:r>
            <w:r>
              <w:rPr>
                <w:rFonts w:hint="default" w:ascii="Times New Roman" w:hAnsi="Times New Roman" w:eastAsia="宋体" w:cs="Times New Roman"/>
                <w:b/>
                <w:color w:val="auto"/>
                <w:kern w:val="0"/>
                <w:sz w:val="21"/>
                <w:szCs w:val="20"/>
                <w:lang w:val="en-US" w:eastAsia="zh-CN" w:bidi="ar-SA"/>
              </w:rPr>
              <w:t xml:space="preserve">  </w:t>
            </w:r>
            <w:r>
              <w:rPr>
                <w:rFonts w:hint="eastAsia" w:ascii="Times New Roman" w:hAnsi="Times New Roman" w:eastAsia="宋体" w:cs="Times New Roman"/>
                <w:b/>
                <w:color w:val="auto"/>
                <w:kern w:val="0"/>
                <w:sz w:val="21"/>
                <w:szCs w:val="20"/>
                <w:lang w:val="en-US" w:eastAsia="zh-CN" w:bidi="ar-SA"/>
              </w:rPr>
              <w:t>废润滑油</w:t>
            </w:r>
            <w:r>
              <w:rPr>
                <w:rFonts w:hint="default" w:ascii="Times New Roman" w:hAnsi="Times New Roman" w:eastAsia="宋体" w:cs="Times New Roman"/>
                <w:b/>
                <w:color w:val="auto"/>
                <w:kern w:val="0"/>
                <w:sz w:val="21"/>
                <w:szCs w:val="20"/>
                <w:lang w:val="en-US" w:eastAsia="zh-CN" w:bidi="ar-SA"/>
              </w:rPr>
              <w:t>物理化学特性表</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035"/>
              <w:gridCol w:w="1124"/>
              <w:gridCol w:w="1301"/>
              <w:gridCol w:w="179"/>
              <w:gridCol w:w="668"/>
              <w:gridCol w:w="1983"/>
              <w:gridCol w:w="61"/>
              <w:gridCol w:w="95"/>
              <w:gridCol w:w="1908"/>
            </w:tblGrid>
            <w:tr w14:paraId="55E2E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restart"/>
                  <w:noWrap w:val="0"/>
                  <w:vAlign w:val="center"/>
                </w:tcPr>
                <w:p w14:paraId="117A8225">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标识</w:t>
                  </w:r>
                </w:p>
              </w:tc>
              <w:tc>
                <w:tcPr>
                  <w:tcW w:w="578" w:type="pct"/>
                  <w:noWrap w:val="0"/>
                  <w:vAlign w:val="center"/>
                </w:tcPr>
                <w:p w14:paraId="3363D32F">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中文名</w:t>
                  </w:r>
                </w:p>
              </w:tc>
              <w:tc>
                <w:tcPr>
                  <w:tcW w:w="1455" w:type="pct"/>
                  <w:gridSpan w:val="3"/>
                  <w:noWrap w:val="0"/>
                  <w:vAlign w:val="center"/>
                </w:tcPr>
                <w:p w14:paraId="345D13CD">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eastAsia" w:eastAsia="宋体"/>
                      <w:color w:val="auto"/>
                      <w:szCs w:val="21"/>
                      <w:lang w:eastAsia="zh-CN"/>
                    </w:rPr>
                  </w:pPr>
                  <w:r>
                    <w:rPr>
                      <w:rFonts w:hint="eastAsia"/>
                      <w:color w:val="auto"/>
                      <w:szCs w:val="21"/>
                      <w:lang w:eastAsia="zh-CN"/>
                    </w:rPr>
                    <w:t>废润滑油</w:t>
                  </w:r>
                </w:p>
              </w:tc>
              <w:tc>
                <w:tcPr>
                  <w:tcW w:w="1568" w:type="pct"/>
                  <w:gridSpan w:val="4"/>
                  <w:noWrap w:val="0"/>
                  <w:vAlign w:val="center"/>
                </w:tcPr>
                <w:p w14:paraId="3144C5FA">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危险货物编号</w:t>
                  </w:r>
                </w:p>
              </w:tc>
              <w:tc>
                <w:tcPr>
                  <w:tcW w:w="1067" w:type="pct"/>
                  <w:noWrap w:val="0"/>
                  <w:vAlign w:val="center"/>
                </w:tcPr>
                <w:p w14:paraId="587D8E15">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w:t>
                  </w:r>
                </w:p>
              </w:tc>
            </w:tr>
            <w:tr w14:paraId="15344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noWrap w:val="0"/>
                  <w:vAlign w:val="center"/>
                </w:tcPr>
                <w:p w14:paraId="2ADB587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p>
              </w:tc>
              <w:tc>
                <w:tcPr>
                  <w:tcW w:w="578" w:type="pct"/>
                  <w:noWrap w:val="0"/>
                  <w:vAlign w:val="center"/>
                </w:tcPr>
                <w:p w14:paraId="4B07C116">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英文名</w:t>
                  </w:r>
                </w:p>
              </w:tc>
              <w:tc>
                <w:tcPr>
                  <w:tcW w:w="1455" w:type="pct"/>
                  <w:gridSpan w:val="3"/>
                  <w:noWrap w:val="0"/>
                  <w:vAlign w:val="center"/>
                </w:tcPr>
                <w:p w14:paraId="70D0A162">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Lubricatingoil；Lubeoil</w:t>
                  </w:r>
                </w:p>
              </w:tc>
              <w:tc>
                <w:tcPr>
                  <w:tcW w:w="1568" w:type="pct"/>
                  <w:gridSpan w:val="4"/>
                  <w:noWrap w:val="0"/>
                  <w:vAlign w:val="center"/>
                </w:tcPr>
                <w:p w14:paraId="158D2E9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CAS编号</w:t>
                  </w:r>
                </w:p>
              </w:tc>
              <w:tc>
                <w:tcPr>
                  <w:tcW w:w="1067" w:type="pct"/>
                  <w:noWrap w:val="0"/>
                  <w:vAlign w:val="center"/>
                </w:tcPr>
                <w:p w14:paraId="7C7DA4FC">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eastAsia"/>
                      <w:color w:val="auto"/>
                      <w:lang w:val="en-US" w:eastAsia="zh-CN"/>
                    </w:rPr>
                    <w:t>8</w:t>
                  </w:r>
                  <w:r>
                    <w:rPr>
                      <w:rFonts w:hint="default"/>
                      <w:color w:val="auto"/>
                    </w:rPr>
                    <w:t>00</w:t>
                  </w:r>
                  <w:r>
                    <w:rPr>
                      <w:rFonts w:hint="eastAsia"/>
                      <w:color w:val="auto"/>
                      <w:lang w:val="en-US" w:eastAsia="zh-CN"/>
                    </w:rPr>
                    <w:t>2</w:t>
                  </w:r>
                  <w:r>
                    <w:rPr>
                      <w:rFonts w:hint="default"/>
                      <w:color w:val="auto"/>
                    </w:rPr>
                    <w:t>-</w:t>
                  </w:r>
                  <w:r>
                    <w:rPr>
                      <w:rFonts w:hint="eastAsia"/>
                      <w:color w:val="auto"/>
                      <w:lang w:val="en-US" w:eastAsia="zh-CN"/>
                    </w:rPr>
                    <w:t>05</w:t>
                  </w:r>
                  <w:r>
                    <w:rPr>
                      <w:rFonts w:hint="default"/>
                      <w:color w:val="auto"/>
                    </w:rPr>
                    <w:t>-</w:t>
                  </w:r>
                  <w:r>
                    <w:rPr>
                      <w:rFonts w:hint="eastAsia"/>
                      <w:color w:val="auto"/>
                      <w:lang w:val="en-US" w:eastAsia="zh-CN"/>
                    </w:rPr>
                    <w:t>9</w:t>
                  </w:r>
                </w:p>
              </w:tc>
            </w:tr>
            <w:tr w14:paraId="72267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restart"/>
                  <w:noWrap w:val="0"/>
                  <w:vAlign w:val="center"/>
                </w:tcPr>
                <w:p w14:paraId="797B7E8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理化性质</w:t>
                  </w:r>
                </w:p>
              </w:tc>
              <w:tc>
                <w:tcPr>
                  <w:tcW w:w="578" w:type="pct"/>
                  <w:noWrap w:val="0"/>
                  <w:vAlign w:val="center"/>
                </w:tcPr>
                <w:p w14:paraId="2856B348">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性状</w:t>
                  </w:r>
                </w:p>
              </w:tc>
              <w:tc>
                <w:tcPr>
                  <w:tcW w:w="4090" w:type="pct"/>
                  <w:gridSpan w:val="8"/>
                  <w:noWrap w:val="0"/>
                  <w:vAlign w:val="center"/>
                </w:tcPr>
                <w:p w14:paraId="59DA57AF">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有机酸、胶质和沥青状等物质</w:t>
                  </w:r>
                </w:p>
              </w:tc>
            </w:tr>
            <w:tr w14:paraId="2D3EE1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noWrap w:val="0"/>
                  <w:vAlign w:val="center"/>
                </w:tcPr>
                <w:p w14:paraId="70D0F67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p>
              </w:tc>
              <w:tc>
                <w:tcPr>
                  <w:tcW w:w="578" w:type="pct"/>
                  <w:noWrap w:val="0"/>
                  <w:vAlign w:val="center"/>
                </w:tcPr>
                <w:p w14:paraId="74EBB3E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溶解性</w:t>
                  </w:r>
                </w:p>
              </w:tc>
              <w:tc>
                <w:tcPr>
                  <w:tcW w:w="1355" w:type="pct"/>
                  <w:gridSpan w:val="2"/>
                  <w:noWrap w:val="0"/>
                  <w:vAlign w:val="center"/>
                </w:tcPr>
                <w:p w14:paraId="3B2F4463">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不溶于水</w:t>
                  </w:r>
                </w:p>
              </w:tc>
              <w:tc>
                <w:tcPr>
                  <w:tcW w:w="1581" w:type="pct"/>
                  <w:gridSpan w:val="3"/>
                  <w:noWrap w:val="0"/>
                  <w:vAlign w:val="center"/>
                </w:tcPr>
                <w:p w14:paraId="324CEB42">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相对密度（水=1）</w:t>
                  </w:r>
                </w:p>
              </w:tc>
              <w:tc>
                <w:tcPr>
                  <w:tcW w:w="1154" w:type="pct"/>
                  <w:gridSpan w:val="3"/>
                  <w:noWrap w:val="0"/>
                  <w:vAlign w:val="center"/>
                </w:tcPr>
                <w:p w14:paraId="737FB130">
                  <w:pPr>
                    <w:pStyle w:val="27"/>
                    <w:keepNext w:val="0"/>
                    <w:keepLines w:val="0"/>
                    <w:pageBreakBefore w:val="0"/>
                    <w:widowControl w:val="0"/>
                    <w:suppressLineNumbers w:val="0"/>
                    <w:tabs>
                      <w:tab w:val="left" w:pos="0"/>
                    </w:tabs>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1＜1</w:t>
                  </w:r>
                </w:p>
              </w:tc>
            </w:tr>
            <w:tr w14:paraId="753E83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33" w:type="pct"/>
                  <w:vMerge w:val="continue"/>
                  <w:noWrap w:val="0"/>
                  <w:vAlign w:val="center"/>
                </w:tcPr>
                <w:p w14:paraId="40D6FC06">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p>
              </w:tc>
              <w:tc>
                <w:tcPr>
                  <w:tcW w:w="4667" w:type="pct"/>
                  <w:gridSpan w:val="9"/>
                  <w:noWrap w:val="0"/>
                  <w:vAlign w:val="center"/>
                </w:tcPr>
                <w:p w14:paraId="2737C298">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主要是含碳原子数比较少的烃类物质，多数是不饱和烃。其主要成分是链长不等的碳氢化合物，性能稳定</w:t>
                  </w:r>
                </w:p>
              </w:tc>
            </w:tr>
            <w:tr w14:paraId="7712C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restart"/>
                  <w:noWrap w:val="0"/>
                  <w:vAlign w:val="center"/>
                </w:tcPr>
                <w:p w14:paraId="2B69ED29">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燃烧爆炸危险性</w:t>
                  </w:r>
                </w:p>
              </w:tc>
              <w:tc>
                <w:tcPr>
                  <w:tcW w:w="1206" w:type="pct"/>
                  <w:gridSpan w:val="2"/>
                  <w:noWrap w:val="0"/>
                  <w:vAlign w:val="center"/>
                </w:tcPr>
                <w:p w14:paraId="0A186281">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燃烧性</w:t>
                  </w:r>
                </w:p>
              </w:tc>
              <w:tc>
                <w:tcPr>
                  <w:tcW w:w="1200" w:type="pct"/>
                  <w:gridSpan w:val="3"/>
                  <w:noWrap w:val="0"/>
                  <w:vAlign w:val="center"/>
                </w:tcPr>
                <w:p w14:paraId="3965CA1C">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可燃</w:t>
                  </w:r>
                </w:p>
              </w:tc>
              <w:tc>
                <w:tcPr>
                  <w:tcW w:w="1142" w:type="pct"/>
                  <w:gridSpan w:val="2"/>
                  <w:noWrap w:val="0"/>
                  <w:vAlign w:val="center"/>
                </w:tcPr>
                <w:p w14:paraId="55343D21">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eastAsia"/>
                      <w:color w:val="auto"/>
                      <w:szCs w:val="21"/>
                      <w:lang w:val="en-US" w:eastAsia="zh-CN"/>
                    </w:rPr>
                    <w:t>闪</w:t>
                  </w:r>
                  <w:r>
                    <w:rPr>
                      <w:rFonts w:hint="default"/>
                      <w:color w:val="auto"/>
                      <w:szCs w:val="21"/>
                    </w:rPr>
                    <w:t>点（℃）</w:t>
                  </w:r>
                </w:p>
              </w:tc>
              <w:tc>
                <w:tcPr>
                  <w:tcW w:w="1120" w:type="pct"/>
                  <w:gridSpan w:val="2"/>
                  <w:noWrap w:val="0"/>
                  <w:vAlign w:val="center"/>
                </w:tcPr>
                <w:p w14:paraId="738AD690">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p>
              </w:tc>
            </w:tr>
            <w:tr w14:paraId="4B537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noWrap w:val="0"/>
                  <w:vAlign w:val="center"/>
                </w:tcPr>
                <w:p w14:paraId="79F8CC2E">
                  <w:pPr>
                    <w:pStyle w:val="27"/>
                    <w:keepNext w:val="0"/>
                    <w:keepLines w:val="0"/>
                    <w:pageBreakBefore w:val="0"/>
                    <w:widowControl w:val="0"/>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baseline"/>
                    <w:rPr>
                      <w:rFonts w:hint="default"/>
                      <w:color w:val="auto"/>
                      <w:szCs w:val="21"/>
                    </w:rPr>
                  </w:pPr>
                </w:p>
              </w:tc>
              <w:tc>
                <w:tcPr>
                  <w:tcW w:w="1206" w:type="pct"/>
                  <w:gridSpan w:val="2"/>
                  <w:noWrap w:val="0"/>
                  <w:vAlign w:val="center"/>
                </w:tcPr>
                <w:p w14:paraId="2295A2D5">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爆炸极限（%）</w:t>
                  </w:r>
                </w:p>
              </w:tc>
              <w:tc>
                <w:tcPr>
                  <w:tcW w:w="1200" w:type="pct"/>
                  <w:gridSpan w:val="3"/>
                  <w:noWrap w:val="0"/>
                  <w:vAlign w:val="center"/>
                </w:tcPr>
                <w:p w14:paraId="71DA49D6">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无资料</w:t>
                  </w:r>
                </w:p>
              </w:tc>
              <w:tc>
                <w:tcPr>
                  <w:tcW w:w="1142" w:type="pct"/>
                  <w:gridSpan w:val="2"/>
                  <w:noWrap w:val="0"/>
                  <w:vAlign w:val="center"/>
                </w:tcPr>
                <w:p w14:paraId="53E028C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最小点火能（MJ）</w:t>
                  </w:r>
                </w:p>
              </w:tc>
              <w:tc>
                <w:tcPr>
                  <w:tcW w:w="1120" w:type="pct"/>
                  <w:gridSpan w:val="2"/>
                  <w:noWrap w:val="0"/>
                  <w:vAlign w:val="center"/>
                </w:tcPr>
                <w:p w14:paraId="1912050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p>
              </w:tc>
            </w:tr>
            <w:tr w14:paraId="294A6B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noWrap w:val="0"/>
                  <w:vAlign w:val="center"/>
                </w:tcPr>
                <w:p w14:paraId="21E9A155">
                  <w:pPr>
                    <w:pStyle w:val="27"/>
                    <w:keepNext w:val="0"/>
                    <w:keepLines w:val="0"/>
                    <w:pageBreakBefore w:val="0"/>
                    <w:widowControl w:val="0"/>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baseline"/>
                    <w:rPr>
                      <w:rFonts w:hint="default"/>
                      <w:color w:val="auto"/>
                      <w:szCs w:val="21"/>
                    </w:rPr>
                  </w:pPr>
                </w:p>
              </w:tc>
              <w:tc>
                <w:tcPr>
                  <w:tcW w:w="1206" w:type="pct"/>
                  <w:gridSpan w:val="2"/>
                  <w:noWrap w:val="0"/>
                  <w:vAlign w:val="center"/>
                </w:tcPr>
                <w:p w14:paraId="4E31AF0A">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危险特性</w:t>
                  </w:r>
                </w:p>
              </w:tc>
              <w:tc>
                <w:tcPr>
                  <w:tcW w:w="3462" w:type="pct"/>
                  <w:gridSpan w:val="7"/>
                  <w:noWrap w:val="0"/>
                  <w:vAlign w:val="center"/>
                </w:tcPr>
                <w:p w14:paraId="64B0B5FD">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遇明火、高热可燃</w:t>
                  </w:r>
                </w:p>
              </w:tc>
            </w:tr>
            <w:tr w14:paraId="42BA54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333" w:type="pct"/>
                  <w:vMerge w:val="continue"/>
                  <w:noWrap w:val="0"/>
                  <w:vAlign w:val="center"/>
                </w:tcPr>
                <w:p w14:paraId="46333E20">
                  <w:pPr>
                    <w:pStyle w:val="27"/>
                    <w:keepNext w:val="0"/>
                    <w:keepLines w:val="0"/>
                    <w:pageBreakBefore w:val="0"/>
                    <w:widowControl w:val="0"/>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baseline"/>
                    <w:rPr>
                      <w:rFonts w:hint="default"/>
                      <w:color w:val="auto"/>
                      <w:szCs w:val="21"/>
                    </w:rPr>
                  </w:pPr>
                </w:p>
              </w:tc>
              <w:tc>
                <w:tcPr>
                  <w:tcW w:w="578" w:type="pct"/>
                  <w:noWrap w:val="0"/>
                  <w:vAlign w:val="center"/>
                </w:tcPr>
                <w:p w14:paraId="7DB4652A">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灭火方法</w:t>
                  </w:r>
                </w:p>
              </w:tc>
              <w:tc>
                <w:tcPr>
                  <w:tcW w:w="4090" w:type="pct"/>
                  <w:gridSpan w:val="8"/>
                  <w:noWrap w:val="0"/>
                  <w:vAlign w:val="center"/>
                </w:tcPr>
                <w:p w14:paraId="4F8C173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093693BD">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灭火剂</w:t>
                  </w:r>
                  <w:r>
                    <w:rPr>
                      <w:rFonts w:hint="eastAsia"/>
                      <w:color w:val="auto"/>
                      <w:szCs w:val="21"/>
                    </w:rPr>
                    <w:t>：</w:t>
                  </w:r>
                  <w:r>
                    <w:rPr>
                      <w:rFonts w:hint="default"/>
                      <w:color w:val="auto"/>
                      <w:szCs w:val="21"/>
                    </w:rPr>
                    <w:t>雾状水、泡沫、干粉、二氧化碳、砂土。</w:t>
                  </w:r>
                </w:p>
              </w:tc>
            </w:tr>
            <w:tr w14:paraId="187679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noWrap w:val="0"/>
                  <w:vAlign w:val="center"/>
                </w:tcPr>
                <w:p w14:paraId="6317EA63">
                  <w:pPr>
                    <w:pStyle w:val="27"/>
                    <w:keepNext w:val="0"/>
                    <w:keepLines w:val="0"/>
                    <w:pageBreakBefore w:val="0"/>
                    <w:widowControl w:val="0"/>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baseline"/>
                    <w:rPr>
                      <w:rFonts w:hint="default"/>
                      <w:color w:val="auto"/>
                      <w:szCs w:val="21"/>
                    </w:rPr>
                  </w:pPr>
                </w:p>
              </w:tc>
              <w:tc>
                <w:tcPr>
                  <w:tcW w:w="578" w:type="pct"/>
                  <w:noWrap w:val="0"/>
                  <w:vAlign w:val="center"/>
                </w:tcPr>
                <w:p w14:paraId="4BCF1590">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燃烧产物</w:t>
                  </w:r>
                </w:p>
              </w:tc>
              <w:tc>
                <w:tcPr>
                  <w:tcW w:w="1828" w:type="pct"/>
                  <w:gridSpan w:val="4"/>
                  <w:noWrap w:val="0"/>
                  <w:vAlign w:val="center"/>
                </w:tcPr>
                <w:p w14:paraId="79BEF56A">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一氧化碳、二氧化碳</w:t>
                  </w:r>
                </w:p>
              </w:tc>
              <w:tc>
                <w:tcPr>
                  <w:tcW w:w="1108" w:type="pct"/>
                  <w:noWrap w:val="0"/>
                  <w:vAlign w:val="center"/>
                </w:tcPr>
                <w:p w14:paraId="083AF890">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聚合危害</w:t>
                  </w:r>
                </w:p>
              </w:tc>
              <w:tc>
                <w:tcPr>
                  <w:tcW w:w="1154" w:type="pct"/>
                  <w:gridSpan w:val="3"/>
                  <w:noWrap w:val="0"/>
                  <w:vAlign w:val="center"/>
                </w:tcPr>
                <w:p w14:paraId="1FEFF860">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不聚合</w:t>
                  </w:r>
                </w:p>
              </w:tc>
            </w:tr>
            <w:tr w14:paraId="6AF2A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33" w:type="pct"/>
                  <w:vMerge w:val="restart"/>
                  <w:noWrap w:val="0"/>
                  <w:vAlign w:val="center"/>
                </w:tcPr>
                <w:p w14:paraId="0271B16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健康危害</w:t>
                  </w:r>
                </w:p>
              </w:tc>
              <w:tc>
                <w:tcPr>
                  <w:tcW w:w="578" w:type="pct"/>
                  <w:noWrap w:val="0"/>
                  <w:vAlign w:val="center"/>
                </w:tcPr>
                <w:p w14:paraId="78F1185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危险特性</w:t>
                  </w:r>
                </w:p>
              </w:tc>
              <w:tc>
                <w:tcPr>
                  <w:tcW w:w="4090" w:type="pct"/>
                  <w:gridSpan w:val="8"/>
                  <w:noWrap w:val="0"/>
                  <w:vAlign w:val="center"/>
                </w:tcPr>
                <w:p w14:paraId="0AEA8E61">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eastAsia" w:ascii="宋体" w:hAnsi="宋体" w:cs="宋体"/>
                      <w:color w:val="auto"/>
                      <w:szCs w:val="21"/>
                    </w:rPr>
                    <w:t>①</w:t>
                  </w:r>
                  <w:r>
                    <w:rPr>
                      <w:rFonts w:hint="default"/>
                      <w:color w:val="auto"/>
                      <w:szCs w:val="21"/>
                    </w:rPr>
                    <w:t>可通过呼吸道和皮肤进入</w:t>
                  </w:r>
                  <w:r>
                    <w:rPr>
                      <w:rFonts w:hint="eastAsia"/>
                      <w:color w:val="auto"/>
                      <w:szCs w:val="21"/>
                      <w:lang w:eastAsia="zh-CN"/>
                    </w:rPr>
                    <w:t>机体</w:t>
                  </w:r>
                  <w:r>
                    <w:rPr>
                      <w:rFonts w:hint="default"/>
                      <w:color w:val="auto"/>
                      <w:szCs w:val="21"/>
                    </w:rPr>
                    <w:t>，导致中毒及其他并发症</w:t>
                  </w:r>
                  <w:r>
                    <w:rPr>
                      <w:rFonts w:hint="eastAsia" w:ascii="宋体" w:hAnsi="宋体" w:cs="宋体"/>
                      <w:color w:val="auto"/>
                      <w:szCs w:val="21"/>
                    </w:rPr>
                    <w:t>②</w:t>
                  </w:r>
                  <w:r>
                    <w:rPr>
                      <w:rFonts w:hint="default"/>
                      <w:color w:val="auto"/>
                      <w:szCs w:val="21"/>
                    </w:rPr>
                    <w:t>易燃</w:t>
                  </w:r>
                </w:p>
              </w:tc>
            </w:tr>
            <w:tr w14:paraId="2F0F3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33" w:type="pct"/>
                  <w:vMerge w:val="continue"/>
                  <w:noWrap w:val="0"/>
                  <w:vAlign w:val="center"/>
                </w:tcPr>
                <w:p w14:paraId="23F7E505">
                  <w:pPr>
                    <w:pStyle w:val="27"/>
                    <w:keepNext w:val="0"/>
                    <w:keepLines w:val="0"/>
                    <w:pageBreakBefore w:val="0"/>
                    <w:widowControl w:val="0"/>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baseline"/>
                    <w:rPr>
                      <w:rFonts w:hint="default"/>
                      <w:color w:val="auto"/>
                      <w:szCs w:val="21"/>
                    </w:rPr>
                  </w:pPr>
                </w:p>
              </w:tc>
              <w:tc>
                <w:tcPr>
                  <w:tcW w:w="578" w:type="pct"/>
                  <w:noWrap w:val="0"/>
                  <w:vAlign w:val="center"/>
                </w:tcPr>
                <w:p w14:paraId="09E9207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健康危害</w:t>
                  </w:r>
                </w:p>
              </w:tc>
              <w:tc>
                <w:tcPr>
                  <w:tcW w:w="4090" w:type="pct"/>
                  <w:gridSpan w:val="8"/>
                  <w:noWrap w:val="0"/>
                  <w:vAlign w:val="center"/>
                </w:tcPr>
                <w:p w14:paraId="32FA79B4">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eastAsia" w:eastAsia="宋体"/>
                      <w:color w:val="auto"/>
                      <w:szCs w:val="21"/>
                      <w:lang w:eastAsia="zh-CN"/>
                    </w:rPr>
                  </w:pPr>
                  <w:r>
                    <w:rPr>
                      <w:rFonts w:hint="eastAsia" w:ascii="宋体" w:hAnsi="宋体" w:cs="宋体"/>
                      <w:color w:val="auto"/>
                      <w:szCs w:val="21"/>
                    </w:rPr>
                    <w:t>①</w:t>
                  </w:r>
                  <w:r>
                    <w:rPr>
                      <w:rFonts w:hint="default"/>
                      <w:color w:val="auto"/>
                      <w:szCs w:val="21"/>
                    </w:rPr>
                    <w:t>高浓度吸入</w:t>
                  </w:r>
                  <w:r>
                    <w:rPr>
                      <w:rFonts w:hint="eastAsia"/>
                      <w:color w:val="auto"/>
                      <w:szCs w:val="21"/>
                      <w:lang w:eastAsia="zh-CN"/>
                    </w:rPr>
                    <w:t>废润滑油</w:t>
                  </w:r>
                  <w:r>
                    <w:rPr>
                      <w:rFonts w:hint="default"/>
                      <w:color w:val="auto"/>
                      <w:szCs w:val="21"/>
                    </w:rPr>
                    <w:t>蒸气引起急性中毒，表现为中毒性脑病，出现精神症状、意识障碍。极高浓度吸入引起意识突然丧失、反射性呼吸停止。误将</w:t>
                  </w:r>
                  <w:r>
                    <w:rPr>
                      <w:rFonts w:hint="eastAsia"/>
                      <w:color w:val="auto"/>
                      <w:szCs w:val="21"/>
                      <w:lang w:eastAsia="zh-CN"/>
                    </w:rPr>
                    <w:t>废润滑油</w:t>
                  </w:r>
                  <w:r>
                    <w:rPr>
                      <w:rFonts w:hint="default"/>
                      <w:color w:val="auto"/>
                      <w:szCs w:val="21"/>
                    </w:rPr>
                    <w:t>吸入呼吸道可引起吸入性肺炎。</w:t>
                  </w:r>
                  <w:r>
                    <w:rPr>
                      <w:rFonts w:hint="eastAsia" w:ascii="宋体" w:hAnsi="宋体" w:cs="宋体"/>
                      <w:color w:val="auto"/>
                      <w:szCs w:val="21"/>
                    </w:rPr>
                    <w:t>②</w:t>
                  </w:r>
                  <w:r>
                    <w:rPr>
                      <w:rFonts w:hint="default"/>
                      <w:color w:val="auto"/>
                      <w:szCs w:val="21"/>
                    </w:rPr>
                    <w:t>皮肤较长时间接触引起灼伤，个别发生急性皮炎。</w:t>
                  </w:r>
                  <w:r>
                    <w:rPr>
                      <w:rFonts w:hint="eastAsia" w:ascii="宋体" w:hAnsi="宋体" w:cs="宋体"/>
                      <w:color w:val="auto"/>
                      <w:szCs w:val="21"/>
                    </w:rPr>
                    <w:t>③</w:t>
                  </w:r>
                  <w:r>
                    <w:rPr>
                      <w:rFonts w:hint="default"/>
                      <w:color w:val="auto"/>
                      <w:szCs w:val="21"/>
                    </w:rPr>
                    <w:t>慢性中毒可引起周围神经病、中毒性脑病、肾脏损害</w:t>
                  </w:r>
                  <w:r>
                    <w:rPr>
                      <w:rFonts w:hint="eastAsia"/>
                      <w:color w:val="auto"/>
                      <w:szCs w:val="21"/>
                      <w:lang w:eastAsia="zh-CN"/>
                    </w:rPr>
                    <w:t>，</w:t>
                  </w:r>
                  <w:r>
                    <w:rPr>
                      <w:rFonts w:hint="default"/>
                      <w:color w:val="auto"/>
                      <w:szCs w:val="21"/>
                    </w:rPr>
                    <w:t>可致皮肤</w:t>
                  </w:r>
                  <w:r>
                    <w:rPr>
                      <w:rFonts w:hint="eastAsia"/>
                      <w:color w:val="auto"/>
                      <w:szCs w:val="21"/>
                      <w:lang w:eastAsia="zh-CN"/>
                    </w:rPr>
                    <w:t>损害。</w:t>
                  </w:r>
                </w:p>
              </w:tc>
            </w:tr>
            <w:tr w14:paraId="011CB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333" w:type="pct"/>
                  <w:noWrap w:val="0"/>
                  <w:vAlign w:val="center"/>
                </w:tcPr>
                <w:p w14:paraId="665F09F1">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对周围环境影响</w:t>
                  </w:r>
                </w:p>
              </w:tc>
              <w:tc>
                <w:tcPr>
                  <w:tcW w:w="4667" w:type="pct"/>
                  <w:gridSpan w:val="9"/>
                  <w:noWrap w:val="0"/>
                  <w:vAlign w:val="center"/>
                </w:tcPr>
                <w:p w14:paraId="0C57DFE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在很低的浓度下就能对水生生物造成危害；在土壤中具有极强的迁移性</w:t>
                  </w:r>
                  <w:r>
                    <w:rPr>
                      <w:rFonts w:hint="eastAsia"/>
                      <w:color w:val="auto"/>
                      <w:szCs w:val="21"/>
                      <w:lang w:eastAsia="zh-CN"/>
                    </w:rPr>
                    <w:t>；有</w:t>
                  </w:r>
                  <w:r>
                    <w:rPr>
                      <w:rFonts w:hint="default"/>
                      <w:color w:val="auto"/>
                      <w:szCs w:val="21"/>
                    </w:rPr>
                    <w:t>一定的生物富集性；在低浓度时能生物降解；在高浓度时，可使微生物中毒，不易生物降解。</w:t>
                  </w:r>
                </w:p>
              </w:tc>
            </w:tr>
            <w:tr w14:paraId="67B3D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333" w:type="pct"/>
                  <w:noWrap w:val="0"/>
                  <w:vAlign w:val="center"/>
                </w:tcPr>
                <w:p w14:paraId="2ADDDA42">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急救</w:t>
                  </w:r>
                </w:p>
              </w:tc>
              <w:tc>
                <w:tcPr>
                  <w:tcW w:w="4667" w:type="pct"/>
                  <w:gridSpan w:val="9"/>
                  <w:noWrap w:val="0"/>
                  <w:vAlign w:val="center"/>
                </w:tcPr>
                <w:p w14:paraId="4838626D">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皮肤接触：立即脱去被污染的衣着，用大量清水冲洗；眼睛接触</w:t>
                  </w:r>
                  <w:r>
                    <w:rPr>
                      <w:rFonts w:hint="eastAsia"/>
                      <w:color w:val="auto"/>
                      <w:szCs w:val="21"/>
                    </w:rPr>
                    <w:t>：</w:t>
                  </w:r>
                  <w:r>
                    <w:rPr>
                      <w:rFonts w:hint="default"/>
                      <w:color w:val="auto"/>
                      <w:szCs w:val="21"/>
                    </w:rPr>
                    <w:t>立即提起眼睑，用大量流动清水或生理盐水冲洗，就医：吸入；迅速脱离现场至空气新鲜处，保持呼吸道通畅，如呼吸困难，给输氧</w:t>
                  </w:r>
                  <w:r>
                    <w:rPr>
                      <w:rFonts w:hint="eastAsia"/>
                      <w:color w:val="auto"/>
                      <w:szCs w:val="21"/>
                    </w:rPr>
                    <w:t>；</w:t>
                  </w:r>
                  <w:r>
                    <w:rPr>
                      <w:rFonts w:hint="default"/>
                      <w:color w:val="auto"/>
                      <w:szCs w:val="21"/>
                    </w:rPr>
                    <w:t>如呼吸停止，立即进行人工呼吸，就医；食入</w:t>
                  </w:r>
                  <w:r>
                    <w:rPr>
                      <w:rFonts w:hint="eastAsia"/>
                      <w:color w:val="auto"/>
                      <w:szCs w:val="21"/>
                    </w:rPr>
                    <w:t>：</w:t>
                  </w:r>
                  <w:r>
                    <w:rPr>
                      <w:rFonts w:hint="default"/>
                      <w:color w:val="auto"/>
                      <w:szCs w:val="21"/>
                    </w:rPr>
                    <w:t>饮足量温水，催吐，就医。</w:t>
                  </w:r>
                </w:p>
              </w:tc>
            </w:tr>
            <w:tr w14:paraId="09363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333" w:type="pct"/>
                  <w:noWrap w:val="0"/>
                  <w:vAlign w:val="center"/>
                </w:tcPr>
                <w:p w14:paraId="234AAF4B">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防护</w:t>
                  </w:r>
                </w:p>
              </w:tc>
              <w:tc>
                <w:tcPr>
                  <w:tcW w:w="4667" w:type="pct"/>
                  <w:gridSpan w:val="9"/>
                  <w:noWrap w:val="0"/>
                  <w:vAlign w:val="center"/>
                </w:tcPr>
                <w:p w14:paraId="0C5FDA4F">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工程控制：密闭操作，注意通风；呼吸系统防护：空气中浓度超标时，建议佩戴自吸过滤式防毒面具</w:t>
                  </w:r>
                  <w:r>
                    <w:rPr>
                      <w:rFonts w:hint="eastAsia"/>
                      <w:color w:val="auto"/>
                      <w:szCs w:val="21"/>
                      <w:lang w:eastAsia="zh-CN"/>
                    </w:rPr>
                    <w:t>（</w:t>
                  </w:r>
                  <w:r>
                    <w:rPr>
                      <w:rFonts w:hint="default"/>
                      <w:color w:val="auto"/>
                      <w:szCs w:val="21"/>
                    </w:rPr>
                    <w:t>半面罩</w:t>
                  </w:r>
                  <w:r>
                    <w:rPr>
                      <w:rFonts w:hint="eastAsia"/>
                      <w:color w:val="auto"/>
                      <w:szCs w:val="21"/>
                      <w:lang w:eastAsia="zh-CN"/>
                    </w:rPr>
                    <w:t>）</w:t>
                  </w:r>
                  <w:r>
                    <w:rPr>
                      <w:rFonts w:hint="default"/>
                      <w:color w:val="auto"/>
                      <w:szCs w:val="21"/>
                    </w:rPr>
                    <w:t>。紧急事态抢救或撤离时，应该佩戴空气呼吸器。眼睛防护</w:t>
                  </w:r>
                  <w:r>
                    <w:rPr>
                      <w:rFonts w:hint="eastAsia"/>
                      <w:color w:val="auto"/>
                      <w:szCs w:val="21"/>
                      <w:lang w:eastAsia="zh-CN"/>
                    </w:rPr>
                    <w:t>：</w:t>
                  </w:r>
                  <w:r>
                    <w:rPr>
                      <w:rFonts w:hint="default"/>
                      <w:color w:val="auto"/>
                      <w:szCs w:val="21"/>
                    </w:rPr>
                    <w:t>戴化学安全防护眼镜。身体防护</w:t>
                  </w:r>
                  <w:r>
                    <w:rPr>
                      <w:rFonts w:hint="eastAsia"/>
                      <w:color w:val="auto"/>
                      <w:szCs w:val="21"/>
                    </w:rPr>
                    <w:t>：</w:t>
                  </w:r>
                  <w:r>
                    <w:rPr>
                      <w:rFonts w:hint="default"/>
                      <w:color w:val="auto"/>
                      <w:szCs w:val="21"/>
                    </w:rPr>
                    <w:t>穿防毒物渗透工作服；手防护：戴橡胶耐油手套；其他：工作现场严禁吸烟。避免长期反复接触。</w:t>
                  </w:r>
                </w:p>
              </w:tc>
            </w:tr>
            <w:tr w14:paraId="56EFF2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333" w:type="pct"/>
                  <w:noWrap w:val="0"/>
                  <w:vAlign w:val="center"/>
                </w:tcPr>
                <w:p w14:paraId="75B3D864">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泄漏处理</w:t>
                  </w:r>
                </w:p>
              </w:tc>
              <w:tc>
                <w:tcPr>
                  <w:tcW w:w="4667" w:type="pct"/>
                  <w:gridSpan w:val="9"/>
                  <w:noWrap w:val="0"/>
                  <w:vAlign w:val="center"/>
                </w:tcPr>
                <w:p w14:paraId="19E7BCC0">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迅速撤离泄漏污染区人员至安全区，并进行隔离，严格限制出入。切断火源。建议应急处理人员戴自给正压式呼吸器，穿防毒服。尽可能切断泄漏源。防止流入下水道、排洪沟等限制性空间。小量泄漏：用砂土或其它不燃材料吸附或吸收。大量泄漏</w:t>
                  </w:r>
                  <w:r>
                    <w:rPr>
                      <w:rFonts w:hint="eastAsia"/>
                      <w:color w:val="auto"/>
                      <w:szCs w:val="21"/>
                      <w:lang w:eastAsia="zh-CN"/>
                    </w:rPr>
                    <w:t>：</w:t>
                  </w:r>
                  <w:r>
                    <w:rPr>
                      <w:rFonts w:hint="default"/>
                      <w:color w:val="auto"/>
                      <w:szCs w:val="21"/>
                    </w:rPr>
                    <w:t>构筑围堤或挖坑收容。用泵转移至槽车或专用收集器内，回收或运至废物处理场所处置。</w:t>
                  </w:r>
                </w:p>
              </w:tc>
            </w:tr>
            <w:tr w14:paraId="069E27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333" w:type="pct"/>
                  <w:noWrap w:val="0"/>
                  <w:vAlign w:val="center"/>
                </w:tcPr>
                <w:p w14:paraId="7D39C557">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储运</w:t>
                  </w:r>
                </w:p>
              </w:tc>
              <w:tc>
                <w:tcPr>
                  <w:tcW w:w="4667" w:type="pct"/>
                  <w:gridSpan w:val="9"/>
                  <w:noWrap w:val="0"/>
                  <w:vAlign w:val="center"/>
                </w:tcPr>
                <w:p w14:paraId="3B5AE468">
                  <w:pPr>
                    <w:pStyle w:val="27"/>
                    <w:keepNext w:val="0"/>
                    <w:keepLines w:val="0"/>
                    <w:pageBreakBefore w:val="0"/>
                    <w:widowControl w:val="0"/>
                    <w:suppressLineNumbers w:val="0"/>
                    <w:wordWrap/>
                    <w:overflowPunct/>
                    <w:topLinePunct w:val="0"/>
                    <w:bidi w:val="0"/>
                    <w:spacing w:before="0" w:beforeAutospacing="0" w:after="0" w:afterAutospacing="0" w:line="240" w:lineRule="auto"/>
                    <w:ind w:left="0" w:leftChars="0" w:right="0" w:firstLine="0" w:firstLineChars="0"/>
                    <w:jc w:val="center"/>
                    <w:rPr>
                      <w:rFonts w:hint="default"/>
                      <w:color w:val="auto"/>
                      <w:szCs w:val="21"/>
                    </w:rPr>
                  </w:pPr>
                  <w:r>
                    <w:rPr>
                      <w:rFonts w:hint="default"/>
                      <w:color w:val="auto"/>
                      <w:szCs w:val="21"/>
                    </w:rPr>
                    <w:t>储存于阴凉、通风的库房。远离火种、热源。应与氧化剂分开存放，切忌混储。配备相应品种和数量的消防器材。储区应备有泄漏应急处理设备和合适的收容材料。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公路运输时要按规定路线行驶。</w:t>
                  </w:r>
                </w:p>
              </w:tc>
            </w:tr>
          </w:tbl>
          <w:p w14:paraId="4E1EF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rPr>
              <w:t>2</w:t>
            </w:r>
            <w:r>
              <w:rPr>
                <w:rFonts w:hint="eastAsia" w:ascii="Times New Roman" w:hAnsi="Times New Roman" w:cs="Times New Roman"/>
                <w:color w:val="auto"/>
                <w:lang w:eastAsia="zh-CN"/>
              </w:rPr>
              <w:t>）</w:t>
            </w:r>
            <w:r>
              <w:rPr>
                <w:rFonts w:hint="default" w:ascii="Times New Roman" w:hAnsi="Times New Roman" w:cs="Times New Roman"/>
                <w:color w:val="auto"/>
              </w:rPr>
              <w:t>生产</w:t>
            </w:r>
            <w:r>
              <w:rPr>
                <w:rFonts w:hint="eastAsia" w:ascii="Times New Roman" w:hAnsi="Times New Roman" w:cs="Times New Roman"/>
                <w:color w:val="auto"/>
              </w:rPr>
              <w:t>系统危险性识别</w:t>
            </w:r>
            <w:bookmarkEnd w:id="15"/>
          </w:p>
          <w:p w14:paraId="0B1B1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Times New Roman" w:hAnsi="Times New Roman" w:cs="Times New Roman"/>
                <w:color w:val="auto"/>
              </w:rPr>
              <w:t>项目生产系统危险因素见表</w:t>
            </w:r>
            <w:r>
              <w:rPr>
                <w:rFonts w:hint="eastAsia" w:ascii="Times New Roman" w:hAnsi="Times New Roman" w:cs="Times New Roman"/>
                <w:color w:val="auto"/>
                <w:lang w:val="en-US" w:eastAsia="zh-CN"/>
              </w:rPr>
              <w:t>5.6-</w:t>
            </w:r>
            <w:r>
              <w:rPr>
                <w:rFonts w:hint="eastAsia" w:cs="Times New Roman"/>
                <w:color w:val="auto"/>
                <w:lang w:val="en-US" w:eastAsia="zh-CN"/>
              </w:rPr>
              <w:t>5</w:t>
            </w:r>
            <w:r>
              <w:rPr>
                <w:rFonts w:hint="eastAsia" w:ascii="Times New Roman" w:hAnsi="Times New Roman" w:cs="Times New Roman"/>
                <w:color w:val="auto"/>
              </w:rPr>
              <w:t>。</w:t>
            </w:r>
          </w:p>
          <w:p w14:paraId="16A5DBCA">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cs="Times New Roman"/>
                <w:color w:val="auto"/>
              </w:rPr>
            </w:pPr>
            <w:r>
              <w:rPr>
                <w:rFonts w:hint="default" w:cs="Times New Roman"/>
                <w:color w:val="auto"/>
              </w:rPr>
              <w:t>表</w:t>
            </w:r>
            <w:r>
              <w:rPr>
                <w:rFonts w:hint="eastAsia" w:cs="Times New Roman"/>
                <w:color w:val="auto"/>
                <w:lang w:val="en-US" w:eastAsia="zh-CN"/>
              </w:rPr>
              <w:t xml:space="preserve">5.6-5 </w:t>
            </w:r>
            <w:r>
              <w:rPr>
                <w:rFonts w:hint="default" w:cs="Times New Roman"/>
                <w:color w:val="auto"/>
              </w:rPr>
              <w:t xml:space="preserve">  项目生产过程危害因素分析汇总一览表</w:t>
            </w:r>
          </w:p>
          <w:tbl>
            <w:tblPr>
              <w:tblStyle w:val="28"/>
              <w:tblW w:w="8959" w:type="dxa"/>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417"/>
              <w:gridCol w:w="1134"/>
              <w:gridCol w:w="1134"/>
              <w:gridCol w:w="1560"/>
              <w:gridCol w:w="2977"/>
            </w:tblGrid>
            <w:tr w14:paraId="73A28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37" w:type="dxa"/>
                  <w:tcBorders>
                    <w:tl2br w:val="nil"/>
                    <w:tr2bl w:val="nil"/>
                  </w:tcBorders>
                  <w:noWrap w:val="0"/>
                  <w:vAlign w:val="center"/>
                </w:tcPr>
                <w:p w14:paraId="0CB22200">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序号</w:t>
                  </w:r>
                </w:p>
              </w:tc>
              <w:tc>
                <w:tcPr>
                  <w:tcW w:w="1417" w:type="dxa"/>
                  <w:tcBorders>
                    <w:tl2br w:val="nil"/>
                    <w:tr2bl w:val="nil"/>
                  </w:tcBorders>
                  <w:noWrap w:val="0"/>
                  <w:vAlign w:val="center"/>
                </w:tcPr>
                <w:p w14:paraId="5F70157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装置名称</w:t>
                  </w:r>
                </w:p>
              </w:tc>
              <w:tc>
                <w:tcPr>
                  <w:tcW w:w="1134" w:type="dxa"/>
                  <w:tcBorders>
                    <w:tl2br w:val="nil"/>
                    <w:tr2bl w:val="nil"/>
                  </w:tcBorders>
                  <w:noWrap w:val="0"/>
                  <w:vAlign w:val="center"/>
                </w:tcPr>
                <w:p w14:paraId="5F08CC2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作业特点</w:t>
                  </w:r>
                </w:p>
              </w:tc>
              <w:tc>
                <w:tcPr>
                  <w:tcW w:w="1134" w:type="dxa"/>
                  <w:tcBorders>
                    <w:tl2br w:val="nil"/>
                    <w:tr2bl w:val="nil"/>
                  </w:tcBorders>
                  <w:noWrap w:val="0"/>
                  <w:vAlign w:val="center"/>
                </w:tcPr>
                <w:p w14:paraId="3E7FE324">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物料名称</w:t>
                  </w:r>
                </w:p>
              </w:tc>
              <w:tc>
                <w:tcPr>
                  <w:tcW w:w="1560" w:type="dxa"/>
                  <w:tcBorders>
                    <w:tl2br w:val="nil"/>
                    <w:tr2bl w:val="nil"/>
                  </w:tcBorders>
                  <w:noWrap w:val="0"/>
                  <w:vAlign w:val="center"/>
                </w:tcPr>
                <w:p w14:paraId="152BCE63">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危险因素</w:t>
                  </w:r>
                </w:p>
              </w:tc>
              <w:tc>
                <w:tcPr>
                  <w:tcW w:w="2977" w:type="dxa"/>
                  <w:tcBorders>
                    <w:tl2br w:val="nil"/>
                    <w:tr2bl w:val="nil"/>
                  </w:tcBorders>
                  <w:noWrap w:val="0"/>
                  <w:vAlign w:val="center"/>
                </w:tcPr>
                <w:p w14:paraId="5757B14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后果</w:t>
                  </w:r>
                </w:p>
              </w:tc>
            </w:tr>
            <w:tr w14:paraId="2D1E9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7" w:type="dxa"/>
                  <w:tcBorders>
                    <w:tl2br w:val="nil"/>
                    <w:tr2bl w:val="nil"/>
                  </w:tcBorders>
                  <w:noWrap w:val="0"/>
                  <w:vAlign w:val="center"/>
                </w:tcPr>
                <w:p w14:paraId="39EB22D7">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1</w:t>
                  </w:r>
                </w:p>
              </w:tc>
              <w:tc>
                <w:tcPr>
                  <w:tcW w:w="1417" w:type="dxa"/>
                  <w:tcBorders>
                    <w:tl2br w:val="nil"/>
                    <w:tr2bl w:val="nil"/>
                  </w:tcBorders>
                  <w:noWrap w:val="0"/>
                  <w:vAlign w:val="center"/>
                </w:tcPr>
                <w:p w14:paraId="4D0768BF">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lang w:val="en-US" w:eastAsia="zh-CN"/>
                    </w:rPr>
                  </w:pPr>
                  <w:r>
                    <w:rPr>
                      <w:rFonts w:hint="eastAsia"/>
                      <w:color w:val="auto"/>
                      <w:lang w:val="en-US" w:eastAsia="zh-CN"/>
                    </w:rPr>
                    <w:t>柴油、</w:t>
                  </w:r>
                  <w:r>
                    <w:rPr>
                      <w:rFonts w:hint="eastAsia" w:ascii="Times New Roman" w:hAnsi="Times New Roman" w:cs="Times New Roman"/>
                      <w:color w:val="auto"/>
                      <w:highlight w:val="none"/>
                      <w:shd w:val="clear" w:color="auto" w:fill="FFFFFF"/>
                      <w:lang w:val="en-US" w:eastAsia="zh-CN"/>
                    </w:rPr>
                    <w:t>废润滑油</w:t>
                  </w:r>
                </w:p>
              </w:tc>
              <w:tc>
                <w:tcPr>
                  <w:tcW w:w="1134" w:type="dxa"/>
                  <w:tcBorders>
                    <w:tl2br w:val="nil"/>
                    <w:tr2bl w:val="nil"/>
                  </w:tcBorders>
                  <w:noWrap w:val="0"/>
                  <w:vAlign w:val="center"/>
                </w:tcPr>
                <w:p w14:paraId="0AD0F7D4">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r>
                    <w:rPr>
                      <w:rFonts w:hint="default"/>
                      <w:color w:val="auto"/>
                    </w:rPr>
                    <w:t>泄漏</w:t>
                  </w:r>
                </w:p>
              </w:tc>
              <w:tc>
                <w:tcPr>
                  <w:tcW w:w="1134" w:type="dxa"/>
                  <w:tcBorders>
                    <w:tl2br w:val="nil"/>
                    <w:tr2bl w:val="nil"/>
                  </w:tcBorders>
                  <w:noWrap w:val="0"/>
                  <w:vAlign w:val="center"/>
                </w:tcPr>
                <w:p w14:paraId="4AFA338D">
                  <w:pPr>
                    <w:pStyle w:val="6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lang w:val="en-US" w:eastAsia="zh-CN"/>
                    </w:rPr>
                  </w:pPr>
                  <w:r>
                    <w:rPr>
                      <w:rFonts w:hint="eastAsia"/>
                      <w:color w:val="auto"/>
                      <w:lang w:val="en-US" w:eastAsia="zh-CN"/>
                    </w:rPr>
                    <w:t>柴油、</w:t>
                  </w:r>
                  <w:r>
                    <w:rPr>
                      <w:rFonts w:hint="eastAsia" w:ascii="Times New Roman" w:hAnsi="Times New Roman" w:cs="Times New Roman"/>
                      <w:color w:val="auto"/>
                      <w:highlight w:val="none"/>
                      <w:shd w:val="clear" w:color="auto" w:fill="FFFFFF"/>
                      <w:lang w:val="en-US" w:eastAsia="zh-CN"/>
                    </w:rPr>
                    <w:t>废润滑油</w:t>
                  </w:r>
                </w:p>
              </w:tc>
              <w:tc>
                <w:tcPr>
                  <w:tcW w:w="1560" w:type="dxa"/>
                  <w:tcBorders>
                    <w:tl2br w:val="nil"/>
                    <w:tr2bl w:val="nil"/>
                  </w:tcBorders>
                  <w:noWrap w:val="0"/>
                  <w:vAlign w:val="center"/>
                </w:tcPr>
                <w:p w14:paraId="4EFAA927">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r>
                    <w:rPr>
                      <w:rFonts w:hint="default"/>
                      <w:color w:val="auto"/>
                    </w:rPr>
                    <w:t>火灾、爆炸、泄漏</w:t>
                  </w:r>
                </w:p>
              </w:tc>
              <w:tc>
                <w:tcPr>
                  <w:tcW w:w="2977" w:type="dxa"/>
                  <w:tcBorders>
                    <w:tl2br w:val="nil"/>
                    <w:tr2bl w:val="nil"/>
                  </w:tcBorders>
                  <w:noWrap w:val="0"/>
                  <w:vAlign w:val="center"/>
                </w:tcPr>
                <w:p w14:paraId="1A73ECB1">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r>
                    <w:rPr>
                      <w:rFonts w:hint="default"/>
                      <w:color w:val="auto"/>
                    </w:rPr>
                    <w:t>火灾、泄漏、污染土壤</w:t>
                  </w:r>
                  <w:r>
                    <w:rPr>
                      <w:rFonts w:hint="eastAsia"/>
                      <w:color w:val="auto"/>
                    </w:rPr>
                    <w:t>、地下水</w:t>
                  </w:r>
                  <w:r>
                    <w:rPr>
                      <w:rFonts w:hint="default"/>
                      <w:color w:val="auto"/>
                    </w:rPr>
                    <w:t>或大气</w:t>
                  </w:r>
                </w:p>
              </w:tc>
            </w:tr>
          </w:tbl>
          <w:p w14:paraId="7E9F33F5">
            <w:pPr>
              <w:keepNext w:val="0"/>
              <w:keepLines w:val="0"/>
              <w:suppressLineNumbers w:val="0"/>
              <w:spacing w:before="0" w:beforeAutospacing="0" w:after="0" w:afterAutospacing="0"/>
              <w:ind w:left="0" w:right="0" w:firstLine="480"/>
              <w:rPr>
                <w:rFonts w:hint="default" w:ascii="Times New Roman" w:hAnsi="Times New Roman" w:cs="Times New Roman"/>
                <w:color w:val="auto"/>
              </w:rPr>
            </w:pPr>
            <w:bookmarkStart w:id="16" w:name="_Toc2247564"/>
            <w:bookmarkStart w:id="17" w:name="_Toc22748"/>
            <w:r>
              <w:rPr>
                <w:rFonts w:hint="eastAsia" w:ascii="Times New Roman" w:hAnsi="Times New Roman" w:cs="Times New Roman"/>
                <w:color w:val="auto"/>
                <w:lang w:eastAsia="zh-CN"/>
              </w:rPr>
              <w:t>（</w:t>
            </w:r>
            <w:r>
              <w:rPr>
                <w:rFonts w:hint="eastAsia" w:ascii="Times New Roman" w:hAnsi="Times New Roman" w:cs="Times New Roman"/>
                <w:color w:val="auto"/>
              </w:rPr>
              <w:t>3</w:t>
            </w:r>
            <w:r>
              <w:rPr>
                <w:rFonts w:hint="eastAsia" w:ascii="Times New Roman" w:hAnsi="Times New Roman" w:cs="Times New Roman"/>
                <w:color w:val="auto"/>
                <w:lang w:eastAsia="zh-CN"/>
              </w:rPr>
              <w:t>）</w:t>
            </w:r>
            <w:r>
              <w:rPr>
                <w:rFonts w:hint="eastAsia" w:ascii="Times New Roman" w:hAnsi="Times New Roman" w:cs="Times New Roman"/>
                <w:color w:val="auto"/>
              </w:rPr>
              <w:t>环境风险类型及危害分析</w:t>
            </w:r>
            <w:bookmarkEnd w:id="16"/>
            <w:bookmarkEnd w:id="17"/>
          </w:p>
          <w:p w14:paraId="17060C4F">
            <w:pPr>
              <w:keepNext w:val="0"/>
              <w:keepLines w:val="0"/>
              <w:suppressLineNumbers w:val="0"/>
              <w:spacing w:before="0" w:beforeAutospacing="0" w:after="0" w:afterAutospacing="0"/>
              <w:ind w:left="0" w:right="0" w:firstLine="480"/>
              <w:rPr>
                <w:rFonts w:hint="eastAsia" w:ascii="Times New Roman" w:hAnsi="Times New Roman" w:eastAsia="宋体" w:cs="Times New Roman"/>
                <w:color w:val="auto"/>
                <w:lang w:eastAsia="zh-CN"/>
              </w:rPr>
            </w:pPr>
            <w:r>
              <w:rPr>
                <w:rFonts w:hint="eastAsia" w:ascii="Times New Roman" w:hAnsi="Times New Roman" w:cs="Times New Roman"/>
                <w:color w:val="auto"/>
              </w:rPr>
              <w:t>根据对项目的物质和生产系统危险性的识别，项目可能发生的突发环境风险事件类型及危害分析见表</w:t>
            </w:r>
            <w:r>
              <w:rPr>
                <w:rFonts w:hint="eastAsia" w:ascii="Times New Roman" w:hAnsi="Times New Roman" w:cs="Times New Roman"/>
                <w:color w:val="auto"/>
                <w:lang w:val="en-US" w:eastAsia="zh-CN"/>
              </w:rPr>
              <w:t>5.6-</w:t>
            </w:r>
            <w:r>
              <w:rPr>
                <w:rFonts w:hint="eastAsia" w:cs="Times New Roman"/>
                <w:color w:val="auto"/>
                <w:lang w:val="en-US" w:eastAsia="zh-CN"/>
              </w:rPr>
              <w:t>6</w:t>
            </w:r>
            <w:r>
              <w:rPr>
                <w:rFonts w:hint="eastAsia" w:ascii="Times New Roman" w:hAnsi="Times New Roman" w:cs="Times New Roman"/>
                <w:color w:val="auto"/>
                <w:lang w:val="en-US" w:eastAsia="zh-CN"/>
              </w:rPr>
              <w:t>。</w:t>
            </w:r>
          </w:p>
          <w:p w14:paraId="473B488B">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cs="Times New Roman"/>
                <w:color w:val="auto"/>
              </w:rPr>
            </w:pPr>
            <w:r>
              <w:rPr>
                <w:rFonts w:hint="default" w:cs="Times New Roman"/>
                <w:color w:val="auto"/>
              </w:rPr>
              <w:t>表</w:t>
            </w:r>
            <w:r>
              <w:rPr>
                <w:rFonts w:hint="eastAsia" w:cs="Times New Roman"/>
                <w:color w:val="auto"/>
                <w:lang w:val="en-US" w:eastAsia="zh-CN"/>
              </w:rPr>
              <w:t>5.6-6</w:t>
            </w:r>
            <w:r>
              <w:rPr>
                <w:rFonts w:hint="default" w:cs="Times New Roman"/>
                <w:color w:val="auto"/>
              </w:rPr>
              <w:t xml:space="preserve">   项目</w:t>
            </w:r>
            <w:r>
              <w:rPr>
                <w:rFonts w:hint="eastAsia" w:cs="Times New Roman"/>
                <w:color w:val="auto"/>
              </w:rPr>
              <w:t>环境风险类型及危害分析</w:t>
            </w:r>
            <w:r>
              <w:rPr>
                <w:rFonts w:hint="default" w:cs="Times New Roman"/>
                <w:color w:val="auto"/>
              </w:rPr>
              <w:t>一览表</w:t>
            </w:r>
          </w:p>
          <w:tbl>
            <w:tblPr>
              <w:tblStyle w:val="28"/>
              <w:tblW w:w="5000"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837"/>
              <w:gridCol w:w="1450"/>
              <w:gridCol w:w="1432"/>
              <w:gridCol w:w="2944"/>
            </w:tblGrid>
            <w:tr w14:paraId="32BDB8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23" w:type="pct"/>
                  <w:tcBorders>
                    <w:tl2br w:val="nil"/>
                    <w:tr2bl w:val="nil"/>
                  </w:tcBorders>
                  <w:noWrap w:val="0"/>
                  <w:vAlign w:val="center"/>
                </w:tcPr>
                <w:p w14:paraId="72EEF09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风险单元</w:t>
                  </w:r>
                </w:p>
              </w:tc>
              <w:tc>
                <w:tcPr>
                  <w:tcW w:w="1025" w:type="pct"/>
                  <w:tcBorders>
                    <w:tl2br w:val="nil"/>
                    <w:tr2bl w:val="nil"/>
                  </w:tcBorders>
                  <w:noWrap w:val="0"/>
                  <w:vAlign w:val="center"/>
                </w:tcPr>
                <w:p w14:paraId="57459CF8">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危险设备</w:t>
                  </w:r>
                </w:p>
              </w:tc>
              <w:tc>
                <w:tcPr>
                  <w:tcW w:w="809" w:type="pct"/>
                  <w:tcBorders>
                    <w:tl2br w:val="nil"/>
                    <w:tr2bl w:val="nil"/>
                  </w:tcBorders>
                  <w:noWrap w:val="0"/>
                  <w:vAlign w:val="center"/>
                </w:tcPr>
                <w:p w14:paraId="00F7BA1C">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事故种类</w:t>
                  </w:r>
                </w:p>
              </w:tc>
              <w:tc>
                <w:tcPr>
                  <w:tcW w:w="799" w:type="pct"/>
                  <w:tcBorders>
                    <w:tl2br w:val="nil"/>
                    <w:tr2bl w:val="nil"/>
                  </w:tcBorders>
                  <w:noWrap w:val="0"/>
                  <w:vAlign w:val="center"/>
                </w:tcPr>
                <w:p w14:paraId="45B1CDA8">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产生原因</w:t>
                  </w:r>
                </w:p>
              </w:tc>
              <w:tc>
                <w:tcPr>
                  <w:tcW w:w="1642" w:type="pct"/>
                  <w:tcBorders>
                    <w:tl2br w:val="nil"/>
                    <w:tr2bl w:val="nil"/>
                  </w:tcBorders>
                  <w:noWrap w:val="0"/>
                  <w:vAlign w:val="center"/>
                </w:tcPr>
                <w:p w14:paraId="05BF8C9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危害后果分析</w:t>
                  </w:r>
                </w:p>
              </w:tc>
            </w:tr>
            <w:tr w14:paraId="41B6B1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23" w:type="pct"/>
                  <w:tcBorders>
                    <w:tl2br w:val="nil"/>
                    <w:tr2bl w:val="nil"/>
                  </w:tcBorders>
                  <w:noWrap w:val="0"/>
                  <w:vAlign w:val="center"/>
                </w:tcPr>
                <w:p w14:paraId="3F22CF58">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危险化学品</w:t>
                  </w:r>
                </w:p>
              </w:tc>
              <w:tc>
                <w:tcPr>
                  <w:tcW w:w="1025" w:type="pct"/>
                  <w:tcBorders>
                    <w:tl2br w:val="nil"/>
                    <w:tr2bl w:val="nil"/>
                  </w:tcBorders>
                  <w:noWrap w:val="0"/>
                  <w:vAlign w:val="center"/>
                </w:tcPr>
                <w:p w14:paraId="6D759C7C">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sz w:val="21"/>
                      <w:szCs w:val="21"/>
                      <w:highlight w:val="none"/>
                    </w:rPr>
                    <w:t>运油车</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危废贮存库</w:t>
                  </w:r>
                </w:p>
              </w:tc>
              <w:tc>
                <w:tcPr>
                  <w:tcW w:w="809" w:type="pct"/>
                  <w:tcBorders>
                    <w:tl2br w:val="nil"/>
                    <w:tr2bl w:val="nil"/>
                  </w:tcBorders>
                  <w:noWrap w:val="0"/>
                  <w:vAlign w:val="center"/>
                </w:tcPr>
                <w:p w14:paraId="44E98315">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泄漏</w:t>
                  </w:r>
                </w:p>
              </w:tc>
              <w:tc>
                <w:tcPr>
                  <w:tcW w:w="799" w:type="pct"/>
                  <w:tcBorders>
                    <w:tl2br w:val="nil"/>
                    <w:tr2bl w:val="nil"/>
                  </w:tcBorders>
                  <w:noWrap w:val="0"/>
                  <w:vAlign w:val="center"/>
                </w:tcPr>
                <w:p w14:paraId="345AF60D">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容器破损</w:t>
                  </w:r>
                </w:p>
              </w:tc>
              <w:tc>
                <w:tcPr>
                  <w:tcW w:w="1642" w:type="pct"/>
                  <w:tcBorders>
                    <w:tl2br w:val="nil"/>
                    <w:tr2bl w:val="nil"/>
                  </w:tcBorders>
                  <w:noWrap w:val="0"/>
                  <w:vAlign w:val="center"/>
                </w:tcPr>
                <w:p w14:paraId="3B78D85E">
                  <w:pPr>
                    <w:pStyle w:val="68"/>
                    <w:keepNext w:val="0"/>
                    <w:keepLines w:val="0"/>
                    <w:suppressLineNumbers w:val="0"/>
                    <w:spacing w:before="0" w:beforeAutospacing="0" w:after="0" w:afterAutospacing="0"/>
                    <w:ind w:left="0" w:leftChars="0" w:right="0" w:firstLine="0" w:firstLineChars="0"/>
                    <w:rPr>
                      <w:rFonts w:hint="eastAsia" w:ascii="Times New Roman" w:hAnsi="Times New Roman" w:eastAsia="宋体" w:cs="Times New Roman"/>
                      <w:color w:val="auto"/>
                      <w:lang w:eastAsia="zh-CN"/>
                    </w:rPr>
                  </w:pPr>
                  <w:r>
                    <w:rPr>
                      <w:rFonts w:hint="eastAsia"/>
                      <w:color w:val="auto"/>
                    </w:rPr>
                    <w:t>泄漏的</w:t>
                  </w:r>
                  <w:r>
                    <w:rPr>
                      <w:rFonts w:hint="eastAsia"/>
                      <w:color w:val="auto"/>
                      <w:lang w:eastAsia="zh-CN"/>
                    </w:rPr>
                    <w:t>柴油、</w:t>
                  </w:r>
                  <w:r>
                    <w:rPr>
                      <w:rFonts w:hint="eastAsia"/>
                      <w:color w:val="auto"/>
                      <w:lang w:val="en-US" w:eastAsia="zh-CN"/>
                    </w:rPr>
                    <w:t>废润滑油</w:t>
                  </w:r>
                  <w:r>
                    <w:rPr>
                      <w:rFonts w:hint="eastAsia"/>
                      <w:color w:val="auto"/>
                    </w:rPr>
                    <w:t>渗入地下，对土壤、地下水环境产生影响</w:t>
                  </w:r>
                </w:p>
              </w:tc>
            </w:tr>
          </w:tbl>
          <w:p w14:paraId="79CAE78E">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default"/>
                <w:color w:val="auto"/>
              </w:rPr>
            </w:pPr>
            <w:bookmarkStart w:id="18" w:name="_Toc9935"/>
            <w:bookmarkStart w:id="19" w:name="_Toc2247565"/>
            <w:r>
              <w:rPr>
                <w:rFonts w:hint="eastAsia"/>
                <w:color w:val="auto"/>
                <w:lang w:val="en-US" w:eastAsia="zh-CN"/>
              </w:rPr>
              <w:t>5.6.4</w:t>
            </w:r>
            <w:r>
              <w:rPr>
                <w:rFonts w:hint="eastAsia"/>
                <w:color w:val="auto"/>
              </w:rPr>
              <w:t>环境风险分析</w:t>
            </w:r>
            <w:bookmarkEnd w:id="18"/>
            <w:bookmarkEnd w:id="19"/>
          </w:p>
          <w:p w14:paraId="3D8DE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rPr>
              <w:t>1</w:t>
            </w:r>
            <w:r>
              <w:rPr>
                <w:rFonts w:hint="eastAsia" w:ascii="Times New Roman" w:hAnsi="Times New Roman" w:cs="Times New Roman"/>
                <w:color w:val="auto"/>
                <w:lang w:eastAsia="zh-CN"/>
              </w:rPr>
              <w:t>）</w:t>
            </w:r>
            <w:r>
              <w:rPr>
                <w:rFonts w:hint="eastAsia" w:ascii="Times New Roman" w:hAnsi="Times New Roman" w:cs="Times New Roman"/>
                <w:color w:val="auto"/>
              </w:rPr>
              <w:t>事故对外环境的影响分析</w:t>
            </w:r>
          </w:p>
          <w:p w14:paraId="1F2E7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A</w:t>
            </w:r>
            <w:r>
              <w:rPr>
                <w:rFonts w:hint="eastAsia" w:ascii="Times New Roman" w:hAnsi="Times New Roman" w:cs="Times New Roman"/>
                <w:color w:val="auto"/>
                <w:lang w:eastAsia="zh-CN"/>
              </w:rPr>
              <w:t>.</w:t>
            </w:r>
            <w:r>
              <w:rPr>
                <w:rFonts w:hint="eastAsia" w:ascii="Times New Roman" w:hAnsi="Times New Roman" w:cs="Times New Roman"/>
                <w:color w:val="auto"/>
              </w:rPr>
              <w:t>环境空气</w:t>
            </w:r>
          </w:p>
          <w:p w14:paraId="1B9CEB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color w:val="auto"/>
              </w:rPr>
            </w:pPr>
            <w:r>
              <w:rPr>
                <w:rFonts w:hint="eastAsia"/>
                <w:color w:val="auto"/>
              </w:rPr>
              <w:t>项目</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、柴油</w:t>
            </w:r>
            <w:r>
              <w:rPr>
                <w:rFonts w:hint="eastAsia"/>
                <w:color w:val="auto"/>
              </w:rPr>
              <w:t>泄漏后，会挥发油气，污染空气；遇到明火可能引起火灾，燃烧产物主要为CO</w:t>
            </w:r>
            <w:r>
              <w:rPr>
                <w:rFonts w:hint="eastAsia"/>
                <w:color w:val="auto"/>
                <w:vertAlign w:val="subscript"/>
              </w:rPr>
              <w:t>2</w:t>
            </w:r>
            <w:r>
              <w:rPr>
                <w:rFonts w:hint="eastAsia"/>
                <w:color w:val="auto"/>
              </w:rPr>
              <w:t>和</w:t>
            </w:r>
            <w:r>
              <w:rPr>
                <w:rFonts w:hint="eastAsia"/>
                <w:color w:val="auto"/>
                <w:lang w:eastAsia="zh-CN"/>
              </w:rPr>
              <w:t>水蒸气</w:t>
            </w:r>
            <w:r>
              <w:rPr>
                <w:rFonts w:hint="eastAsia"/>
                <w:color w:val="auto"/>
              </w:rPr>
              <w:t>，但不完全燃烧的产物中会含有一氧化碳等气体，同时伴随浓烟，挥发至空气中，会造成大气污染，会对人的健康造成危害；局部的燃烧还会进一步引发爆炸，进而扩大事故的危害。由于CO有毒性，当达到一定的浓度时，会影响人的造血功能及神经系统功能。所以发生火灾时，要注意防范对人群的危害。</w:t>
            </w:r>
          </w:p>
          <w:p w14:paraId="5BDFF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color w:val="auto"/>
              </w:rPr>
              <w:t>项目为防止油品泄漏或溢出事故的发生</w:t>
            </w:r>
            <w:r>
              <w:rPr>
                <w:rFonts w:hint="eastAsia"/>
                <w:color w:val="auto"/>
                <w:lang w:eastAsia="zh-CN"/>
              </w:rPr>
              <w:t>，在</w:t>
            </w:r>
            <w:r>
              <w:rPr>
                <w:rFonts w:hint="eastAsia"/>
                <w:color w:val="auto"/>
                <w:lang w:val="en-US" w:eastAsia="zh-CN"/>
              </w:rPr>
              <w:t>车辆拉运过程中做好处理</w:t>
            </w:r>
            <w:r>
              <w:rPr>
                <w:rFonts w:hint="eastAsia"/>
                <w:color w:val="auto"/>
              </w:rPr>
              <w:t>。一般情况下，本项目</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、柴油桶</w:t>
            </w:r>
            <w:r>
              <w:rPr>
                <w:rFonts w:hint="eastAsia"/>
                <w:color w:val="auto"/>
              </w:rPr>
              <w:t>不会发生泄漏风险事故。且</w:t>
            </w:r>
            <w:r>
              <w:rPr>
                <w:rFonts w:hint="eastAsia"/>
                <w:color w:val="auto"/>
                <w:lang w:val="en-US" w:eastAsia="zh-CN"/>
              </w:rPr>
              <w:t>柴油桶</w:t>
            </w:r>
            <w:r>
              <w:rPr>
                <w:rFonts w:hint="eastAsia"/>
                <w:color w:val="auto"/>
              </w:rPr>
              <w:t>位于矿山，周边居民较少，发生泄漏对周边环境产生影响较小。</w:t>
            </w:r>
          </w:p>
          <w:p w14:paraId="3AB7F6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B</w:t>
            </w:r>
            <w:r>
              <w:rPr>
                <w:rFonts w:hint="eastAsia" w:ascii="Times New Roman" w:hAnsi="Times New Roman" w:cs="Times New Roman"/>
                <w:color w:val="auto"/>
                <w:lang w:eastAsia="zh-CN"/>
              </w:rPr>
              <w:t>.</w:t>
            </w:r>
            <w:r>
              <w:rPr>
                <w:rFonts w:hint="eastAsia" w:ascii="Times New Roman" w:hAnsi="Times New Roman" w:cs="Times New Roman"/>
                <w:color w:val="auto"/>
              </w:rPr>
              <w:t>地表水</w:t>
            </w:r>
          </w:p>
          <w:p w14:paraId="68C91C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color w:val="auto"/>
              </w:rPr>
            </w:pPr>
            <w:r>
              <w:rPr>
                <w:rFonts w:hint="eastAsia"/>
                <w:color w:val="auto"/>
              </w:rPr>
              <w:t>泄漏或渗漏的成品油一旦进入地表河流，将造成地表河流的污染，影响范围小到几公里大到几十公里。污染首先将造成地表河流的景观破坏，产生严重的刺鼻气味；其次，由于有机烃类物质难溶于水，大部分上浮在水层表面，形成一层油膜使空气与水隔离，造成水中溶解氧浓度降低，逐渐形成死水，致使水中生物死亡；再次，成品油的主要成分是C</w:t>
            </w:r>
            <w:r>
              <w:rPr>
                <w:rFonts w:hint="eastAsia"/>
                <w:color w:val="auto"/>
                <w:vertAlign w:val="subscript"/>
              </w:rPr>
              <w:t>4</w:t>
            </w:r>
            <w:r>
              <w:rPr>
                <w:rFonts w:hint="eastAsia"/>
                <w:color w:val="auto"/>
              </w:rPr>
              <w:t>～C</w:t>
            </w:r>
            <w:r>
              <w:rPr>
                <w:rFonts w:hint="eastAsia"/>
                <w:color w:val="auto"/>
                <w:vertAlign w:val="subscript"/>
              </w:rPr>
              <w:t>9</w:t>
            </w:r>
            <w:r>
              <w:rPr>
                <w:rFonts w:hint="eastAsia"/>
                <w:color w:val="auto"/>
              </w:rPr>
              <w:t>的烃类、芳烃类、醇酮类以及卤代烃类有机物，一旦进入水环境，由于可生化性较差，造成被污染水体长时间得不到净化，完全恢复则需十几年</w:t>
            </w:r>
            <w:r>
              <w:rPr>
                <w:rFonts w:hint="eastAsia"/>
                <w:color w:val="auto"/>
                <w:lang w:eastAsia="zh-CN"/>
              </w:rPr>
              <w:t>，</w:t>
            </w:r>
            <w:r>
              <w:rPr>
                <w:rFonts w:hint="eastAsia"/>
                <w:color w:val="auto"/>
              </w:rPr>
              <w:t>甚至几十年的时间。</w:t>
            </w:r>
          </w:p>
          <w:p w14:paraId="0EB1F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color w:val="auto"/>
              </w:rPr>
              <w:t>本项目不会对地表水环境产生影响。</w:t>
            </w:r>
          </w:p>
          <w:p w14:paraId="5B895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C</w:t>
            </w:r>
            <w:r>
              <w:rPr>
                <w:rFonts w:hint="eastAsia" w:ascii="Times New Roman" w:hAnsi="Times New Roman" w:cs="Times New Roman"/>
                <w:color w:val="auto"/>
                <w:lang w:eastAsia="zh-CN"/>
              </w:rPr>
              <w:t>.</w:t>
            </w:r>
            <w:r>
              <w:rPr>
                <w:rFonts w:hint="eastAsia" w:ascii="Times New Roman" w:hAnsi="Times New Roman" w:cs="Times New Roman"/>
                <w:color w:val="auto"/>
              </w:rPr>
              <w:t>地下水和土壤</w:t>
            </w:r>
          </w:p>
          <w:p w14:paraId="412BA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泄漏油品流入土壤孔隙，可降低土壤的通透性，抑制土壤中酶活性，使土壤生物减少。油品洒落地区形成土壤的局部污染，一般而言，油品集中于土壤表层0~20cm范围内，这便使得根系分布于此深度的植物不能生长。</w:t>
            </w:r>
          </w:p>
          <w:p w14:paraId="77FC2B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油品</w:t>
            </w:r>
            <w:r>
              <w:rPr>
                <w:rFonts w:hint="eastAsia" w:ascii="Times New Roman" w:hAnsi="Times New Roman" w:cs="Times New Roman"/>
                <w:color w:val="auto"/>
                <w:lang w:eastAsia="zh-CN"/>
              </w:rPr>
              <w:t>泄漏</w:t>
            </w:r>
            <w:r>
              <w:rPr>
                <w:rFonts w:hint="eastAsia" w:ascii="Times New Roman" w:hAnsi="Times New Roman" w:cs="Times New Roman"/>
                <w:color w:val="auto"/>
              </w:rPr>
              <w:t>将通过包气带下渗进入潜水含水层，可能会使地下水受到污染。在大量油品泄漏、短时间内</w:t>
            </w:r>
            <w:r>
              <w:rPr>
                <w:rFonts w:hint="eastAsia" w:ascii="Times New Roman" w:hAnsi="Times New Roman" w:cs="Times New Roman"/>
                <w:color w:val="auto"/>
                <w:lang w:eastAsia="zh-CN"/>
              </w:rPr>
              <w:t>未</w:t>
            </w:r>
            <w:r>
              <w:rPr>
                <w:rFonts w:hint="eastAsia" w:ascii="Times New Roman" w:hAnsi="Times New Roman" w:cs="Times New Roman"/>
                <w:color w:val="auto"/>
              </w:rPr>
              <w:t>回收的情况下，含油污水</w:t>
            </w:r>
            <w:r>
              <w:rPr>
                <w:rFonts w:hint="eastAsia" w:ascii="Times New Roman" w:hAnsi="Times New Roman" w:cs="Times New Roman"/>
                <w:color w:val="auto"/>
                <w:lang w:eastAsia="zh-CN"/>
              </w:rPr>
              <w:t>才能</w:t>
            </w:r>
            <w:r>
              <w:rPr>
                <w:rFonts w:hint="eastAsia" w:ascii="Times New Roman" w:hAnsi="Times New Roman" w:cs="Times New Roman"/>
                <w:color w:val="auto"/>
              </w:rPr>
              <w:t>通过在土壤中的渗透，污染地下水。因此需要加强生产管理和监督，采取有效的防范措施，防止和减轻</w:t>
            </w:r>
            <w:r>
              <w:rPr>
                <w:rFonts w:hint="eastAsia" w:ascii="Times New Roman" w:hAnsi="Times New Roman" w:cs="Times New Roman"/>
                <w:color w:val="auto"/>
                <w:lang w:eastAsia="zh-CN"/>
              </w:rPr>
              <w:t>柴油</w:t>
            </w:r>
            <w:r>
              <w:rPr>
                <w:rFonts w:hint="eastAsia" w:cs="Times New Roman"/>
                <w:color w:val="auto"/>
                <w:lang w:val="en-US" w:eastAsia="zh-CN"/>
              </w:rPr>
              <w:t>和废润滑油</w:t>
            </w:r>
            <w:r>
              <w:rPr>
                <w:rFonts w:hint="eastAsia" w:ascii="Times New Roman" w:hAnsi="Times New Roman" w:cs="Times New Roman"/>
                <w:color w:val="auto"/>
              </w:rPr>
              <w:t>泄漏造成的污染。</w:t>
            </w:r>
          </w:p>
          <w:p w14:paraId="6E1BD9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综上所述，项目</w:t>
            </w:r>
            <w:r>
              <w:rPr>
                <w:rFonts w:hint="eastAsia" w:ascii="Times New Roman" w:hAnsi="Times New Roman" w:cs="Times New Roman"/>
                <w:color w:val="auto"/>
                <w:lang w:val="en-US" w:eastAsia="zh-CN"/>
              </w:rPr>
              <w:t>柴油</w:t>
            </w:r>
            <w:r>
              <w:rPr>
                <w:rFonts w:hint="eastAsia" w:cs="Times New Roman"/>
                <w:color w:val="auto"/>
                <w:lang w:val="en-US" w:eastAsia="zh-CN"/>
              </w:rPr>
              <w:t>和废润滑油</w:t>
            </w:r>
            <w:r>
              <w:rPr>
                <w:rFonts w:hint="eastAsia" w:ascii="Times New Roman" w:hAnsi="Times New Roman" w:cs="Times New Roman"/>
                <w:color w:val="auto"/>
              </w:rPr>
              <w:t>对大气、地表水、地下水环境影响较小。</w:t>
            </w:r>
          </w:p>
          <w:p w14:paraId="34B63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rPr>
              <w:t>2</w:t>
            </w:r>
            <w:r>
              <w:rPr>
                <w:rFonts w:hint="eastAsia" w:ascii="Times New Roman" w:hAnsi="Times New Roman" w:cs="Times New Roman"/>
                <w:color w:val="auto"/>
                <w:lang w:eastAsia="zh-CN"/>
              </w:rPr>
              <w:t>）</w:t>
            </w:r>
            <w:r>
              <w:rPr>
                <w:rFonts w:hint="eastAsia" w:ascii="Times New Roman" w:hAnsi="Times New Roman" w:cs="Times New Roman"/>
                <w:color w:val="auto"/>
              </w:rPr>
              <w:t>火灾爆炸对环境危害性分析</w:t>
            </w:r>
          </w:p>
          <w:p w14:paraId="4F832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若要发生火灾及爆炸，必须具备下列条件：</w:t>
            </w:r>
          </w:p>
          <w:p w14:paraId="290D57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a</w:t>
            </w:r>
            <w:r>
              <w:rPr>
                <w:rFonts w:hint="eastAsia" w:ascii="Times New Roman" w:hAnsi="Times New Roman" w:cs="Times New Roman"/>
                <w:color w:val="auto"/>
                <w:lang w:eastAsia="zh-CN"/>
              </w:rPr>
              <w:t>.</w:t>
            </w:r>
            <w:r>
              <w:rPr>
                <w:rFonts w:hint="eastAsia" w:ascii="Times New Roman" w:hAnsi="Times New Roman" w:cs="Times New Roman"/>
                <w:color w:val="auto"/>
              </w:rPr>
              <w:t>油类泄漏或油气蒸发；</w:t>
            </w:r>
          </w:p>
          <w:p w14:paraId="0837D3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b</w:t>
            </w:r>
            <w:r>
              <w:rPr>
                <w:rFonts w:hint="eastAsia" w:ascii="Times New Roman" w:hAnsi="Times New Roman" w:cs="Times New Roman"/>
                <w:color w:val="auto"/>
                <w:lang w:eastAsia="zh-CN"/>
              </w:rPr>
              <w:t>.</w:t>
            </w:r>
            <w:r>
              <w:rPr>
                <w:rFonts w:hint="eastAsia" w:ascii="Times New Roman" w:hAnsi="Times New Roman" w:cs="Times New Roman"/>
                <w:color w:val="auto"/>
              </w:rPr>
              <w:t>有足够的空气助燃；</w:t>
            </w:r>
          </w:p>
          <w:p w14:paraId="2F3E6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c</w:t>
            </w:r>
            <w:r>
              <w:rPr>
                <w:rFonts w:hint="eastAsia" w:ascii="Times New Roman" w:hAnsi="Times New Roman" w:cs="Times New Roman"/>
                <w:color w:val="auto"/>
                <w:lang w:eastAsia="zh-CN"/>
              </w:rPr>
              <w:t>.</w:t>
            </w:r>
            <w:r>
              <w:rPr>
                <w:rFonts w:hint="eastAsia" w:ascii="Times New Roman" w:hAnsi="Times New Roman" w:cs="Times New Roman"/>
                <w:color w:val="auto"/>
              </w:rPr>
              <w:t>油气必须与空气</w:t>
            </w:r>
            <w:r>
              <w:rPr>
                <w:rFonts w:hint="eastAsia" w:ascii="Times New Roman" w:hAnsi="Times New Roman" w:cs="Times New Roman"/>
                <w:color w:val="auto"/>
                <w:lang w:eastAsia="zh-CN"/>
              </w:rPr>
              <w:t>混合</w:t>
            </w:r>
            <w:r>
              <w:rPr>
                <w:rFonts w:hint="eastAsia" w:ascii="Times New Roman" w:hAnsi="Times New Roman" w:cs="Times New Roman"/>
                <w:color w:val="auto"/>
              </w:rPr>
              <w:t>，并达到一定的浓度；</w:t>
            </w:r>
          </w:p>
          <w:p w14:paraId="347198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d</w:t>
            </w:r>
            <w:r>
              <w:rPr>
                <w:rFonts w:hint="eastAsia" w:ascii="Times New Roman" w:hAnsi="Times New Roman" w:cs="Times New Roman"/>
                <w:color w:val="auto"/>
                <w:lang w:eastAsia="zh-CN"/>
              </w:rPr>
              <w:t>.</w:t>
            </w:r>
            <w:r>
              <w:rPr>
                <w:rFonts w:hint="eastAsia" w:ascii="Times New Roman" w:hAnsi="Times New Roman" w:cs="Times New Roman"/>
                <w:color w:val="auto"/>
              </w:rPr>
              <w:t>现场有明火。</w:t>
            </w:r>
          </w:p>
          <w:p w14:paraId="12F78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eastAsia="宋体" w:cs="Times New Roman"/>
                <w:color w:val="auto"/>
                <w:lang w:eastAsia="zh-CN"/>
              </w:rPr>
            </w:pPr>
            <w:r>
              <w:rPr>
                <w:rFonts w:hint="eastAsia" w:ascii="Times New Roman" w:hAnsi="Times New Roman" w:cs="Times New Roman"/>
                <w:color w:val="auto"/>
              </w:rPr>
              <w:t>只有以上四个条件同时具备时，才可能发生火灾和爆炸。燃烧或爆炸造成的后果往往是灾难性的，不但会造成人员伤亡和财产损失，并且还会造成生态环境的破坏。</w:t>
            </w:r>
          </w:p>
          <w:p w14:paraId="6F2B422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5.6.5</w:t>
            </w:r>
            <w:r>
              <w:rPr>
                <w:rFonts w:hint="eastAsia"/>
                <w:color w:val="auto"/>
              </w:rPr>
              <w:t>风险防范措施</w:t>
            </w:r>
          </w:p>
          <w:p w14:paraId="5E7D8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本项目</w:t>
            </w:r>
            <w:r>
              <w:rPr>
                <w:rFonts w:hint="eastAsia" w:cs="Times New Roman"/>
                <w:color w:val="auto"/>
                <w:lang w:val="en-US" w:eastAsia="zh-CN"/>
              </w:rPr>
              <w:t>勘查</w:t>
            </w:r>
            <w:r>
              <w:rPr>
                <w:rFonts w:hint="eastAsia" w:ascii="Times New Roman" w:hAnsi="Times New Roman" w:cs="Times New Roman"/>
                <w:color w:val="auto"/>
              </w:rPr>
              <w:t>区加强</w:t>
            </w:r>
            <w:r>
              <w:rPr>
                <w:rFonts w:hint="eastAsia" w:ascii="Times New Roman" w:hAnsi="Times New Roman" w:cs="Times New Roman"/>
                <w:color w:val="auto"/>
                <w:lang w:val="en-US" w:eastAsia="zh-CN"/>
              </w:rPr>
              <w:t>对柴油</w:t>
            </w:r>
            <w:r>
              <w:rPr>
                <w:rFonts w:hint="eastAsia" w:cs="Times New Roman"/>
                <w:color w:val="auto"/>
                <w:lang w:val="en-US" w:eastAsia="zh-CN"/>
              </w:rPr>
              <w:t>和废润滑油</w:t>
            </w:r>
            <w:r>
              <w:rPr>
                <w:rFonts w:hint="eastAsia" w:ascii="Times New Roman" w:hAnsi="Times New Roman" w:cs="Times New Roman"/>
                <w:color w:val="auto"/>
              </w:rPr>
              <w:t>泄漏</w:t>
            </w:r>
            <w:r>
              <w:rPr>
                <w:rFonts w:hint="eastAsia" w:ascii="Times New Roman" w:hAnsi="Times New Roman" w:cs="Times New Roman"/>
                <w:color w:val="auto"/>
                <w:lang w:val="en-US" w:eastAsia="zh-CN"/>
              </w:rPr>
              <w:t>的</w:t>
            </w:r>
            <w:r>
              <w:rPr>
                <w:rFonts w:hint="eastAsia" w:ascii="Times New Roman" w:hAnsi="Times New Roman" w:cs="Times New Roman"/>
                <w:color w:val="auto"/>
              </w:rPr>
              <w:t>巡查，加强劳动安全管理，制定完备、有效的安全防范措施，尽可能降低项目环境风险事故发生的概率。</w:t>
            </w:r>
          </w:p>
          <w:p w14:paraId="35E14E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val="en-US" w:eastAsia="zh-CN"/>
              </w:rPr>
              <w:t>1</w:t>
            </w:r>
            <w:r>
              <w:rPr>
                <w:rFonts w:hint="eastAsia" w:ascii="Times New Roman" w:hAnsi="Times New Roman" w:cs="Times New Roman"/>
                <w:color w:val="auto"/>
                <w:lang w:eastAsia="zh-CN"/>
              </w:rPr>
              <w:t>）</w:t>
            </w:r>
            <w:r>
              <w:rPr>
                <w:rFonts w:hint="eastAsia" w:ascii="Times New Roman" w:hAnsi="Times New Roman" w:cs="Times New Roman"/>
                <w:color w:val="auto"/>
              </w:rPr>
              <w:t>存储容器密封性应良好，在不影响生产的情况下，尽可能减少储存量；在储存期内应定期检查，发现其品质变化、泄漏等情况，应及时清理处置。</w:t>
            </w:r>
          </w:p>
          <w:p w14:paraId="2DE34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val="en-US" w:eastAsia="zh-CN"/>
              </w:rPr>
              <w:t>2</w:t>
            </w:r>
            <w:r>
              <w:rPr>
                <w:rFonts w:hint="eastAsia" w:ascii="Times New Roman" w:hAnsi="Times New Roman" w:cs="Times New Roman"/>
                <w:color w:val="auto"/>
                <w:lang w:eastAsia="zh-CN"/>
              </w:rPr>
              <w:t>）</w:t>
            </w:r>
            <w:r>
              <w:rPr>
                <w:rFonts w:hint="eastAsia" w:ascii="Times New Roman" w:hAnsi="Times New Roman" w:cs="Times New Roman"/>
                <w:color w:val="auto"/>
              </w:rPr>
              <w:t>搬运、装卸时应按照有关规定进行，做到轻装、轻卸。严禁摔、碰、撞、击、拖拉、倾斜和滚动。</w:t>
            </w:r>
          </w:p>
          <w:p w14:paraId="125E96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val="en-US" w:eastAsia="zh-CN"/>
              </w:rPr>
              <w:t>3</w:t>
            </w:r>
            <w:r>
              <w:rPr>
                <w:rFonts w:hint="eastAsia" w:ascii="Times New Roman" w:hAnsi="Times New Roman" w:cs="Times New Roman"/>
                <w:color w:val="auto"/>
                <w:lang w:eastAsia="zh-CN"/>
              </w:rPr>
              <w:t>）</w:t>
            </w:r>
            <w:r>
              <w:rPr>
                <w:rFonts w:hint="eastAsia" w:ascii="Times New Roman" w:hAnsi="Times New Roman" w:cs="Times New Roman"/>
                <w:color w:val="auto"/>
              </w:rPr>
              <w:t>定期检查，确保没有泄漏迹象。同时也要经常检查防漏设施的有效性。对员工进行环境保护意识的培训，教育他们如何正确操作设备，以及在发生泄漏时应采取的紧急措施。</w:t>
            </w:r>
          </w:p>
          <w:p w14:paraId="0B04DD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储存区配备防泄漏工具（如吸油毡、堵漏器材）。</w:t>
            </w:r>
          </w:p>
          <w:p w14:paraId="5B607137">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outlineLvl w:val="9"/>
              <w:rPr>
                <w:rFonts w:hint="eastAsia"/>
                <w:color w:val="auto"/>
              </w:rPr>
            </w:pPr>
            <w:r>
              <w:rPr>
                <w:rFonts w:hint="eastAsia"/>
                <w:color w:val="auto"/>
                <w:lang w:val="en-US" w:eastAsia="zh-CN"/>
              </w:rPr>
              <w:t>5.6.6</w:t>
            </w:r>
            <w:r>
              <w:rPr>
                <w:rFonts w:hint="eastAsia"/>
                <w:color w:val="auto"/>
              </w:rPr>
              <w:t>环境风险评价结论与建议</w:t>
            </w:r>
          </w:p>
          <w:p w14:paraId="4544C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本项目的主要危险物质为</w:t>
            </w:r>
            <w:r>
              <w:rPr>
                <w:rFonts w:hint="eastAsia" w:ascii="Times New Roman" w:hAnsi="Times New Roman" w:cs="Times New Roman"/>
                <w:color w:val="auto"/>
                <w:lang w:val="en-US" w:eastAsia="zh-CN"/>
              </w:rPr>
              <w:t>柴油</w:t>
            </w:r>
            <w:r>
              <w:rPr>
                <w:rFonts w:hint="eastAsia" w:cs="Times New Roman"/>
                <w:color w:val="auto"/>
                <w:lang w:val="en-US" w:eastAsia="zh-CN"/>
              </w:rPr>
              <w:t>和废润滑油</w:t>
            </w:r>
            <w:r>
              <w:rPr>
                <w:rFonts w:hint="eastAsia" w:ascii="Times New Roman" w:hAnsi="Times New Roman" w:cs="Times New Roman"/>
                <w:color w:val="auto"/>
              </w:rPr>
              <w:t>，一旦发生事故，将对大气环境、土壤环境和地下水环境产生影响。项目位于</w:t>
            </w:r>
            <w:r>
              <w:rPr>
                <w:rFonts w:hint="eastAsia" w:ascii="Times New Roman" w:hAnsi="Times New Roman" w:cs="Times New Roman"/>
                <w:color w:val="auto"/>
                <w:lang w:val="en-US" w:eastAsia="zh-CN"/>
              </w:rPr>
              <w:t>和静</w:t>
            </w:r>
            <w:r>
              <w:rPr>
                <w:rFonts w:hint="eastAsia" w:ascii="Times New Roman" w:hAnsi="Times New Roman" w:cs="Times New Roman"/>
                <w:color w:val="auto"/>
              </w:rPr>
              <w:t>县境内，周边多以山体为主，项目产生的</w:t>
            </w: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r>
              <w:rPr>
                <w:rFonts w:hint="eastAsia" w:ascii="Times New Roman" w:hAnsi="Times New Roman" w:cs="Times New Roman"/>
                <w:color w:val="auto"/>
              </w:rPr>
              <w:t>。在正常运行过程中，加强对风险物质的管理，规范员工的操作规程，对各项设施和风险防控措施进行管理和维护。</w:t>
            </w:r>
          </w:p>
          <w:p w14:paraId="2A3DB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rPr>
              <w:t>综上所述，本项目在认真落实环评提出的环境风险防范措施后，可以在最大程度上降低事故的发生率。项目的环境风险在可接受范围之内。</w:t>
            </w:r>
          </w:p>
        </w:tc>
      </w:tr>
      <w:tr w14:paraId="4D68D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2" w:hRule="atLeast"/>
        </w:trPr>
        <w:tc>
          <w:tcPr>
            <w:tcW w:w="746" w:type="dxa"/>
            <w:noWrap w:val="0"/>
            <w:tcMar>
              <w:left w:w="28" w:type="dxa"/>
              <w:right w:w="28" w:type="dxa"/>
            </w:tcMar>
            <w:vAlign w:val="center"/>
          </w:tcPr>
          <w:p w14:paraId="6959D720">
            <w:pPr>
              <w:keepNext w:val="0"/>
              <w:keepLines w:val="0"/>
              <w:suppressLineNumbers w:val="0"/>
              <w:adjustRightInd w:val="0"/>
              <w:snapToGrid w:val="0"/>
              <w:spacing w:before="0" w:beforeAutospacing="0" w:after="0" w:afterAutospacing="0"/>
              <w:ind w:left="0" w:leftChars="0" w:right="0" w:firstLine="0" w:firstLineChars="0"/>
              <w:jc w:val="both"/>
              <w:rPr>
                <w:rFonts w:hint="default" w:ascii="宋体" w:hAnsi="宋体" w:cs="宋体"/>
                <w:bCs/>
                <w:color w:val="auto"/>
                <w:szCs w:val="21"/>
              </w:rPr>
            </w:pPr>
            <w:r>
              <w:rPr>
                <w:rFonts w:hint="eastAsia" w:ascii="Times New Roman" w:hAnsi="Times New Roman" w:cs="宋体"/>
                <w:color w:val="auto"/>
                <w:sz w:val="24"/>
                <w:szCs w:val="24"/>
              </w:rPr>
              <w:t>运营期生态环境保护措施</w:t>
            </w:r>
          </w:p>
        </w:tc>
        <w:tc>
          <w:tcPr>
            <w:tcW w:w="8354" w:type="dxa"/>
            <w:noWrap w:val="0"/>
            <w:vAlign w:val="center"/>
          </w:tcPr>
          <w:p w14:paraId="542F8FF0">
            <w:pPr>
              <w:keepNext w:val="0"/>
              <w:keepLines w:val="0"/>
              <w:suppressLineNumbers w:val="0"/>
              <w:spacing w:before="0" w:beforeAutospacing="0" w:after="0" w:afterAutospacing="0"/>
              <w:ind w:left="0" w:right="0" w:firstLine="480"/>
              <w:rPr>
                <w:rFonts w:hint="eastAsia" w:ascii="Times New Roman" w:hAnsi="Times New Roman" w:cs="Times New Roman"/>
                <w:color w:val="auto"/>
              </w:rPr>
            </w:pPr>
            <w:r>
              <w:rPr>
                <w:rFonts w:hint="eastAsia" w:ascii="Times New Roman" w:hAnsi="Times New Roman" w:cs="Times New Roman"/>
                <w:color w:val="auto"/>
              </w:rPr>
              <w:t>本项目仅涉及</w:t>
            </w:r>
            <w:r>
              <w:rPr>
                <w:rFonts w:hint="eastAsia" w:ascii="Times New Roman" w:hAnsi="Times New Roman" w:cs="Times New Roman"/>
                <w:color w:val="auto"/>
                <w:lang w:val="en-US" w:eastAsia="zh-CN"/>
              </w:rPr>
              <w:t>矿山</w:t>
            </w:r>
            <w:r>
              <w:rPr>
                <w:rFonts w:hint="eastAsia" w:cs="Times New Roman"/>
                <w:color w:val="auto"/>
                <w:lang w:val="en-US" w:eastAsia="zh-CN"/>
              </w:rPr>
              <w:t>勘查</w:t>
            </w:r>
            <w:r>
              <w:rPr>
                <w:rFonts w:hint="eastAsia" w:ascii="Times New Roman" w:hAnsi="Times New Roman" w:cs="Times New Roman"/>
                <w:color w:val="auto"/>
              </w:rPr>
              <w:t>，不涉及采矿，</w:t>
            </w:r>
            <w:r>
              <w:rPr>
                <w:rFonts w:hint="eastAsia" w:ascii="Times New Roman" w:hAnsi="Times New Roman" w:cs="Times New Roman"/>
                <w:color w:val="auto"/>
                <w:lang w:val="en-US" w:eastAsia="zh-CN"/>
              </w:rPr>
              <w:t>无</w:t>
            </w:r>
            <w:r>
              <w:rPr>
                <w:rFonts w:hint="eastAsia" w:ascii="Times New Roman" w:hAnsi="Times New Roman" w:cs="Times New Roman"/>
                <w:color w:val="auto"/>
              </w:rPr>
              <w:t>运营期。</w:t>
            </w:r>
          </w:p>
        </w:tc>
      </w:tr>
      <w:tr w14:paraId="212E6D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6" w:type="dxa"/>
            <w:noWrap w:val="0"/>
            <w:tcMar>
              <w:left w:w="28" w:type="dxa"/>
              <w:right w:w="28" w:type="dxa"/>
            </w:tcMar>
            <w:vAlign w:val="center"/>
          </w:tcPr>
          <w:p w14:paraId="2071929F">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sz w:val="24"/>
                <w:szCs w:val="24"/>
              </w:rPr>
              <w:t>其他</w:t>
            </w:r>
          </w:p>
        </w:tc>
        <w:tc>
          <w:tcPr>
            <w:tcW w:w="8354" w:type="dxa"/>
            <w:noWrap w:val="0"/>
            <w:vAlign w:val="center"/>
          </w:tcPr>
          <w:p w14:paraId="3D977CDD">
            <w:pPr>
              <w:pStyle w:val="24"/>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jc w:val="both"/>
              <w:textAlignment w:val="auto"/>
              <w:outlineLvl w:val="9"/>
              <w:rPr>
                <w:rFonts w:hint="default"/>
                <w:color w:val="auto"/>
              </w:rPr>
            </w:pPr>
            <w:r>
              <w:rPr>
                <w:rFonts w:hint="eastAsia"/>
                <w:color w:val="auto"/>
                <w:lang w:val="en-US" w:eastAsia="zh-CN"/>
              </w:rPr>
              <w:t>5.7</w:t>
            </w:r>
            <w:r>
              <w:rPr>
                <w:rFonts w:hint="default"/>
                <w:color w:val="auto"/>
              </w:rPr>
              <w:t>环境管理建议</w:t>
            </w:r>
          </w:p>
          <w:p w14:paraId="05D29D9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eastAsia"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rPr>
              <w:t>1</w:t>
            </w:r>
            <w:r>
              <w:rPr>
                <w:rFonts w:hint="eastAsia" w:ascii="Times New Roman" w:hAnsi="Times New Roman" w:cs="Times New Roman"/>
                <w:color w:val="auto"/>
                <w:lang w:eastAsia="zh-CN"/>
              </w:rPr>
              <w:t>）</w:t>
            </w:r>
            <w:r>
              <w:rPr>
                <w:rFonts w:hint="eastAsia" w:ascii="Times New Roman" w:hAnsi="Times New Roman" w:cs="Times New Roman"/>
                <w:color w:val="auto"/>
              </w:rPr>
              <w:t>施工期环境保护管理计划</w:t>
            </w:r>
          </w:p>
          <w:p w14:paraId="1E6DFE7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施工期环保管理的中心工作是：在抓好工程施工建设的同时，防止和控制施工活动对环境可能造成的污染或破坏，具体内容是：</w:t>
            </w:r>
          </w:p>
          <w:p w14:paraId="2D0C5C9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eastAsia" w:ascii="Times New Roman" w:hAnsi="Times New Roman" w:cs="Times New Roman"/>
                <w:color w:val="auto"/>
                <w:lang w:eastAsia="zh-CN"/>
              </w:rPr>
              <w:t>）</w:t>
            </w:r>
            <w:r>
              <w:rPr>
                <w:rFonts w:hint="default" w:ascii="Times New Roman" w:hAnsi="Times New Roman" w:cs="Times New Roman"/>
                <w:color w:val="auto"/>
              </w:rPr>
              <w:t>制定工程建设过程中的污染防治措施、环保管理措施和实施办法，负责施工过程中的环保工作，督促和检查施工过程中环保措施的执行情况，发现问题，及时解决。</w:t>
            </w:r>
          </w:p>
          <w:p w14:paraId="069F6D3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eastAsia" w:ascii="Times New Roman" w:hAnsi="Times New Roman" w:cs="Times New Roman"/>
                <w:color w:val="auto"/>
                <w:lang w:eastAsia="zh-CN"/>
              </w:rPr>
              <w:t>）</w:t>
            </w:r>
            <w:r>
              <w:rPr>
                <w:rFonts w:hint="default" w:ascii="Times New Roman" w:hAnsi="Times New Roman" w:cs="Times New Roman"/>
                <w:color w:val="auto"/>
              </w:rPr>
              <w:t>负责对施工过程中的污染源管理，合理安排施工机械的运行及施工作业时间，最大限度地减少施工作业产生的噪声、扬尘对环境的影响。</w:t>
            </w:r>
          </w:p>
          <w:p w14:paraId="34E4E2C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r>
              <w:rPr>
                <w:rFonts w:hint="eastAsia" w:ascii="Times New Roman" w:hAnsi="Times New Roman" w:cs="Times New Roman"/>
                <w:color w:val="auto"/>
                <w:lang w:eastAsia="zh-CN"/>
              </w:rPr>
              <w:t>）</w:t>
            </w:r>
            <w:r>
              <w:rPr>
                <w:rFonts w:hint="eastAsia" w:ascii="Times New Roman" w:hAnsi="Times New Roman" w:cs="Times New Roman"/>
                <w:color w:val="auto"/>
              </w:rPr>
              <w:t>落实源头分类。产废单位应按固废类别进行分类贮存，禁止将一般工业固体废物投放到生活垃圾收集设施。</w:t>
            </w:r>
            <w:r>
              <w:rPr>
                <w:rFonts w:hint="default" w:ascii="Times New Roman" w:hAnsi="Times New Roman" w:cs="Times New Roman"/>
                <w:color w:val="auto"/>
              </w:rPr>
              <w:t>对施工过程中产生的废料、生活垃圾及生活污水等进行集中统一处置，防止对环境造成不利影响。</w:t>
            </w:r>
          </w:p>
          <w:p w14:paraId="30ED173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48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w:t>
            </w:r>
            <w:r>
              <w:rPr>
                <w:rFonts w:hint="eastAsia" w:ascii="Times New Roman" w:hAnsi="Times New Roman" w:cs="Times New Roman"/>
                <w:color w:val="auto"/>
                <w:lang w:eastAsia="zh-CN"/>
              </w:rPr>
              <w:t>）</w:t>
            </w:r>
            <w:r>
              <w:rPr>
                <w:rFonts w:hint="default" w:ascii="Times New Roman" w:hAnsi="Times New Roman" w:cs="Times New Roman"/>
                <w:color w:val="auto"/>
              </w:rPr>
              <w:t>参与施工作业管理及计划安排，防止施工造成长时间的交通中断、交通堵塞，以及公共服务设施如水、电、气、</w:t>
            </w:r>
            <w:r>
              <w:rPr>
                <w:rFonts w:hint="eastAsia" w:ascii="Times New Roman" w:hAnsi="Times New Roman" w:cs="Times New Roman"/>
                <w:color w:val="auto"/>
                <w:lang w:eastAsia="zh-CN"/>
              </w:rPr>
              <w:t>通信等</w:t>
            </w:r>
            <w:r>
              <w:rPr>
                <w:rFonts w:hint="default" w:ascii="Times New Roman" w:hAnsi="Times New Roman" w:cs="Times New Roman"/>
                <w:color w:val="auto"/>
              </w:rPr>
              <w:t>的中断。</w:t>
            </w:r>
          </w:p>
          <w:p w14:paraId="0A2FE17A">
            <w:pPr>
              <w:pStyle w:val="1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rPr>
              <w:t>5</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kern w:val="2"/>
                <w:sz w:val="24"/>
                <w:szCs w:val="24"/>
                <w:lang w:val="en-US" w:eastAsia="zh-CN" w:bidi="ar-SA"/>
              </w:rPr>
              <w:t>勘查责任主体应</w:t>
            </w:r>
            <w:r>
              <w:rPr>
                <w:rFonts w:hint="eastAsia" w:ascii="宋体" w:hAnsi="宋体" w:eastAsia="宋体" w:cs="宋体"/>
                <w:b w:val="0"/>
                <w:bCs w:val="0"/>
                <w:color w:val="auto"/>
                <w:kern w:val="2"/>
                <w:sz w:val="24"/>
                <w:szCs w:val="24"/>
                <w:lang w:val="en-US" w:eastAsia="zh-CN" w:bidi="ar-SA"/>
              </w:rPr>
              <w:t>建立绿色勘查监管制度，由绿色勘查监督管理机构或责任部门，对涉及本标准内容的设计、施工和成果进行审查、检查监督及验收评价。勘查过程中，责任主体应及时对绿色勘查工作进行动态监管，督促勘查施工单位认真执行绿色勘查设计要求及规范标准。绿色勘查工作中，施工单位应及时做好相关施工技术及管理工</w:t>
            </w:r>
            <w:r>
              <w:rPr>
                <w:rFonts w:hint="default" w:ascii="Times New Roman" w:hAnsi="Times New Roman" w:eastAsia="宋体" w:cs="Times New Roman"/>
                <w:b w:val="0"/>
                <w:bCs w:val="0"/>
                <w:color w:val="auto"/>
                <w:kern w:val="2"/>
                <w:sz w:val="24"/>
                <w:szCs w:val="24"/>
                <w:lang w:val="en-US" w:eastAsia="zh-CN" w:bidi="ar-SA"/>
              </w:rPr>
              <w:t>作资料的记录、收集、整理及编制归档工作，并做到真实、齐全、规范。对阶段性工作及竣工成果，应按照规定</w:t>
            </w:r>
            <w:r>
              <w:rPr>
                <w:rFonts w:hint="eastAsia" w:ascii="Times New Roman" w:hAnsi="Times New Roman" w:eastAsia="宋体" w:cs="Times New Roman"/>
                <w:b w:val="0"/>
                <w:bCs w:val="0"/>
                <w:color w:val="auto"/>
                <w:kern w:val="2"/>
                <w:sz w:val="24"/>
                <w:szCs w:val="24"/>
                <w:lang w:val="en-US" w:eastAsia="zh-CN" w:bidi="ar-SA"/>
              </w:rPr>
              <w:t>作出</w:t>
            </w:r>
            <w:r>
              <w:rPr>
                <w:rFonts w:hint="default" w:ascii="Times New Roman" w:hAnsi="Times New Roman" w:eastAsia="宋体" w:cs="Times New Roman"/>
                <w:b w:val="0"/>
                <w:bCs w:val="0"/>
                <w:color w:val="auto"/>
                <w:kern w:val="2"/>
                <w:sz w:val="24"/>
                <w:szCs w:val="24"/>
                <w:lang w:val="en-US" w:eastAsia="zh-CN" w:bidi="ar-SA"/>
              </w:rPr>
              <w:t>检验评价。</w:t>
            </w:r>
          </w:p>
          <w:p w14:paraId="1BBBFA7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6）工程施工</w:t>
            </w:r>
            <w:r>
              <w:rPr>
                <w:rFonts w:hint="eastAsia" w:ascii="Times New Roman" w:hAnsi="Times New Roman" w:eastAsia="宋体" w:cs="Times New Roman"/>
                <w:b w:val="0"/>
                <w:bCs w:val="0"/>
                <w:color w:val="auto"/>
                <w:kern w:val="2"/>
                <w:sz w:val="24"/>
                <w:szCs w:val="24"/>
                <w:lang w:val="en-US" w:eastAsia="zh-CN" w:bidi="ar-SA"/>
              </w:rPr>
              <w:t>期间</w:t>
            </w:r>
            <w:r>
              <w:rPr>
                <w:rFonts w:hint="default" w:ascii="Times New Roman" w:hAnsi="Times New Roman" w:eastAsia="宋体" w:cs="Times New Roman"/>
                <w:b w:val="0"/>
                <w:bCs w:val="0"/>
                <w:color w:val="auto"/>
                <w:kern w:val="2"/>
                <w:sz w:val="24"/>
                <w:szCs w:val="24"/>
                <w:lang w:val="en-US" w:eastAsia="zh-CN" w:bidi="ar-SA"/>
              </w:rPr>
              <w:t>应首先计划安排好挖方量和填方量，及时进行回填，铺平压实，并</w:t>
            </w:r>
            <w:r>
              <w:rPr>
                <w:rFonts w:hint="eastAsia" w:ascii="Times New Roman" w:hAnsi="Times New Roman" w:eastAsia="宋体" w:cs="Times New Roman"/>
                <w:b w:val="0"/>
                <w:bCs w:val="0"/>
                <w:color w:val="auto"/>
                <w:kern w:val="2"/>
                <w:sz w:val="24"/>
                <w:szCs w:val="24"/>
                <w:lang w:val="en-US" w:eastAsia="zh-CN" w:bidi="ar-SA"/>
              </w:rPr>
              <w:t>撒播</w:t>
            </w:r>
            <w:r>
              <w:rPr>
                <w:rFonts w:hint="default" w:ascii="Times New Roman" w:hAnsi="Times New Roman" w:eastAsia="宋体" w:cs="Times New Roman"/>
                <w:b w:val="0"/>
                <w:bCs w:val="0"/>
                <w:color w:val="auto"/>
                <w:kern w:val="2"/>
                <w:sz w:val="24"/>
                <w:szCs w:val="24"/>
                <w:lang w:val="en-US" w:eastAsia="zh-CN" w:bidi="ar-SA"/>
              </w:rPr>
              <w:t>草籽、长草护坡，以免发生风蚀、水蚀。</w:t>
            </w:r>
          </w:p>
          <w:p w14:paraId="4EFF900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7）</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按照《中华人民共和国草原法》的相关规定，项目开展勘探作业前向</w:t>
            </w:r>
            <w:r>
              <w:rPr>
                <w:rFonts w:hint="eastAsia" w:cs="Times New Roman"/>
                <w:b w:val="0"/>
                <w:bCs w:val="0"/>
                <w:color w:val="000000" w:themeColor="text1"/>
                <w:sz w:val="24"/>
                <w:szCs w:val="24"/>
                <w:highlight w:val="none"/>
                <w:lang w:val="en-US" w:eastAsia="zh-CN"/>
                <w14:textFill>
                  <w14:solidFill>
                    <w14:schemeClr w14:val="tx1"/>
                  </w14:solidFill>
                </w14:textFill>
              </w:rPr>
              <w:t>和静</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县草原行政主管部门报备勘探作业行驶区域和行驶路线，作业期间严禁擅自变更既定行驶路线</w:t>
            </w:r>
            <w:r>
              <w:rPr>
                <w:rFonts w:hint="default" w:ascii="Times New Roman" w:hAnsi="Times New Roman" w:eastAsia="宋体" w:cs="Times New Roman"/>
                <w:b w:val="0"/>
                <w:bCs w:val="0"/>
                <w:color w:val="auto"/>
                <w:kern w:val="2"/>
                <w:sz w:val="24"/>
                <w:szCs w:val="24"/>
                <w:highlight w:val="none"/>
                <w:lang w:val="en-US" w:eastAsia="zh-CN" w:bidi="ar-SA"/>
              </w:rPr>
              <w:t>。</w:t>
            </w:r>
          </w:p>
          <w:p w14:paraId="48670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8）</w:t>
            </w:r>
            <w:r>
              <w:rPr>
                <w:rFonts w:hint="default" w:ascii="Times New Roman" w:hAnsi="Times New Roman" w:eastAsia="宋体" w:cs="Times New Roman"/>
                <w:b w:val="0"/>
                <w:bCs w:val="0"/>
                <w:color w:val="auto"/>
                <w:kern w:val="2"/>
                <w:sz w:val="24"/>
                <w:szCs w:val="24"/>
                <w:highlight w:val="none"/>
                <w:lang w:val="en-US" w:eastAsia="zh-CN" w:bidi="ar-SA"/>
              </w:rPr>
              <w:t>在满足地质勘查</w:t>
            </w:r>
            <w:r>
              <w:rPr>
                <w:rFonts w:hint="eastAsia" w:ascii="Times New Roman" w:hAnsi="Times New Roman" w:eastAsia="宋体" w:cs="Times New Roman"/>
                <w:b w:val="0"/>
                <w:bCs w:val="0"/>
                <w:color w:val="auto"/>
                <w:kern w:val="2"/>
                <w:sz w:val="24"/>
                <w:szCs w:val="24"/>
                <w:highlight w:val="none"/>
                <w:lang w:val="en-US" w:eastAsia="zh-CN" w:bidi="ar-SA"/>
              </w:rPr>
              <w:t>目标</w:t>
            </w:r>
            <w:r>
              <w:rPr>
                <w:rFonts w:hint="default" w:ascii="Times New Roman" w:hAnsi="Times New Roman" w:eastAsia="宋体" w:cs="Times New Roman"/>
                <w:b w:val="0"/>
                <w:bCs w:val="0"/>
                <w:color w:val="auto"/>
                <w:kern w:val="2"/>
                <w:sz w:val="24"/>
                <w:szCs w:val="24"/>
                <w:highlight w:val="none"/>
                <w:lang w:val="en-US" w:eastAsia="zh-CN" w:bidi="ar-SA"/>
              </w:rPr>
              <w:t>的前提下，应控制施工规格，减少对土壤和植被的扰动。</w:t>
            </w:r>
          </w:p>
          <w:p w14:paraId="6D1EC8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eastAsia="宋体" w:cs="Times New Roman"/>
                <w:b w:val="0"/>
                <w:bCs w:val="0"/>
                <w:color w:val="auto"/>
                <w:sz w:val="28"/>
                <w:szCs w:val="28"/>
                <w:lang w:val="en-US" w:eastAsia="zh-CN"/>
              </w:rPr>
            </w:pPr>
            <w:r>
              <w:rPr>
                <w:rFonts w:hint="default" w:ascii="Times New Roman" w:hAnsi="Times New Roman" w:eastAsia="宋体" w:cs="Times New Roman"/>
                <w:b w:val="0"/>
                <w:bCs w:val="0"/>
                <w:color w:val="auto"/>
                <w:kern w:val="2"/>
                <w:sz w:val="24"/>
                <w:szCs w:val="24"/>
                <w:lang w:val="en-US" w:eastAsia="zh-CN" w:bidi="ar-SA"/>
              </w:rPr>
              <w:t>9）槽探施工可采用机械和人工施工两种方式。交通方便，不需新修施工运输道路的地段，可采用机械化施工；交通不便、植被茂密的地段，宜采用人工开挖施工，以避免修路及机械施工造成土地、植被景观的破坏。</w:t>
            </w:r>
          </w:p>
          <w:p w14:paraId="7C026A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2</w:t>
            </w:r>
            <w:r>
              <w:rPr>
                <w:rFonts w:hint="default" w:ascii="Times New Roman" w:hAnsi="Times New Roman" w:cs="Times New Roman"/>
                <w:color w:val="auto"/>
                <w:lang w:eastAsia="zh-CN"/>
              </w:rPr>
              <w:t>）</w:t>
            </w:r>
            <w:r>
              <w:rPr>
                <w:rFonts w:hint="default" w:ascii="Times New Roman" w:hAnsi="Times New Roman" w:cs="Times New Roman"/>
                <w:color w:val="auto"/>
              </w:rPr>
              <w:t>环境管理任务</w:t>
            </w:r>
          </w:p>
          <w:p w14:paraId="449B8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w:t>
            </w:r>
            <w:r>
              <w:rPr>
                <w:rFonts w:hint="default" w:ascii="Times New Roman" w:hAnsi="Times New Roman" w:cs="Times New Roman"/>
                <w:color w:val="auto"/>
              </w:rPr>
              <w:t>施工筹建期</w:t>
            </w:r>
          </w:p>
          <w:p w14:paraId="738D98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t>①审核工程环境影响评价成果，保证环境影响报告中有关环境保护的措施列入工程最终设计文件。</w:t>
            </w:r>
          </w:p>
          <w:p w14:paraId="4E8DD9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宋体" w:hAnsi="宋体" w:cs="宋体"/>
                <w:color w:val="auto"/>
              </w:rPr>
              <w:t>②</w:t>
            </w:r>
            <w:r>
              <w:rPr>
                <w:rFonts w:hint="default" w:ascii="Times New Roman" w:hAnsi="Times New Roman" w:cs="Times New Roman"/>
                <w:color w:val="auto"/>
              </w:rPr>
              <w:t>根据环境影响报告和环境保护设计报告，负责工程招投标文件及合同文件中相关环境保护条款的编制。</w:t>
            </w:r>
          </w:p>
          <w:p w14:paraId="5DA2F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 3 \* GB3 \* MERGEFORMAT </w:instrText>
            </w:r>
            <w:r>
              <w:rPr>
                <w:rFonts w:hint="default" w:ascii="Times New Roman" w:hAnsi="Times New Roman" w:cs="Times New Roman"/>
                <w:color w:val="auto"/>
              </w:rPr>
              <w:fldChar w:fldCharType="separate"/>
            </w:r>
            <w:r>
              <w:rPr>
                <w:rFonts w:hint="eastAsia" w:ascii="宋体" w:hAnsi="宋体" w:cs="宋体"/>
                <w:color w:val="auto"/>
              </w:rPr>
              <w:t>③</w:t>
            </w:r>
            <w:r>
              <w:rPr>
                <w:rFonts w:hint="default" w:ascii="Times New Roman" w:hAnsi="Times New Roman" w:cs="Times New Roman"/>
                <w:color w:val="auto"/>
              </w:rPr>
              <w:fldChar w:fldCharType="end"/>
            </w:r>
            <w:r>
              <w:rPr>
                <w:rFonts w:hint="default" w:ascii="Times New Roman" w:hAnsi="Times New Roman" w:cs="Times New Roman"/>
                <w:color w:val="auto"/>
              </w:rPr>
              <w:t>筹建环境管理机构，进行环境管理人员培训。</w:t>
            </w:r>
          </w:p>
          <w:p w14:paraId="797A6C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eastAsia" w:ascii="Times New Roman" w:hAnsi="Times New Roman" w:cs="Times New Roman"/>
                <w:color w:val="auto"/>
              </w:rPr>
            </w:pPr>
            <w:r>
              <w:rPr>
                <w:rFonts w:hint="eastAsia" w:ascii="Times New Roman" w:hAnsi="Times New Roman" w:cs="Times New Roman"/>
                <w:color w:val="auto"/>
              </w:rPr>
              <w:t>2</w:t>
            </w:r>
            <w:r>
              <w:rPr>
                <w:rFonts w:hint="eastAsia" w:ascii="Times New Roman" w:hAnsi="Times New Roman" w:cs="Times New Roman"/>
                <w:color w:val="auto"/>
                <w:lang w:eastAsia="zh-CN"/>
              </w:rPr>
              <w:t>）</w:t>
            </w:r>
            <w:r>
              <w:rPr>
                <w:rFonts w:hint="eastAsia" w:ascii="Times New Roman" w:hAnsi="Times New Roman" w:cs="Times New Roman"/>
                <w:color w:val="auto"/>
              </w:rPr>
              <w:t>施工工区环境管理</w:t>
            </w:r>
          </w:p>
          <w:p w14:paraId="78CBCF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宋体" w:hAnsi="宋体" w:cs="宋体"/>
                <w:color w:val="auto"/>
              </w:rPr>
              <w:t>①</w:t>
            </w:r>
            <w:r>
              <w:rPr>
                <w:rFonts w:hint="default" w:ascii="Times New Roman" w:hAnsi="Times New Roman" w:cs="Times New Roman"/>
                <w:color w:val="auto"/>
              </w:rPr>
              <w:t>贯彻执行国家有关环境保护方针、政策及法规条例，制订工程环境保护管理具体规定与管理办法。</w:t>
            </w:r>
          </w:p>
          <w:p w14:paraId="22859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宋体" w:hAnsi="宋体" w:cs="宋体"/>
                <w:color w:val="auto"/>
              </w:rPr>
              <w:t>②</w:t>
            </w:r>
            <w:r>
              <w:rPr>
                <w:rFonts w:hint="default" w:ascii="Times New Roman" w:hAnsi="Times New Roman" w:cs="Times New Roman"/>
                <w:color w:val="auto"/>
              </w:rPr>
              <w:t>按照国家有关环境保护法规和工程的环境保护规定，统一管理施工工区环境保护工作。</w:t>
            </w:r>
          </w:p>
          <w:p w14:paraId="213FF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 3 \* GB3 \* MERGEFORMAT </w:instrText>
            </w:r>
            <w:r>
              <w:rPr>
                <w:rFonts w:hint="default" w:ascii="Times New Roman" w:hAnsi="Times New Roman" w:cs="Times New Roman"/>
                <w:color w:val="auto"/>
              </w:rPr>
              <w:fldChar w:fldCharType="separate"/>
            </w:r>
            <w:r>
              <w:rPr>
                <w:rFonts w:hint="eastAsia" w:ascii="宋体" w:hAnsi="宋体" w:cs="宋体"/>
                <w:color w:val="auto"/>
              </w:rPr>
              <w:t>③</w:t>
            </w:r>
            <w:r>
              <w:rPr>
                <w:rFonts w:hint="default" w:ascii="Times New Roman" w:hAnsi="Times New Roman" w:cs="Times New Roman"/>
                <w:color w:val="auto"/>
              </w:rPr>
              <w:fldChar w:fldCharType="end"/>
            </w:r>
            <w:r>
              <w:rPr>
                <w:rFonts w:hint="default" w:ascii="Times New Roman" w:hAnsi="Times New Roman" w:cs="Times New Roman"/>
                <w:color w:val="auto"/>
              </w:rPr>
              <w:t>编制环境管理工作计划，整编监测资料，建立工程的生态与环境信息库，编制工程年度环境质量报告，并报上级主管部门和地方</w:t>
            </w:r>
            <w:r>
              <w:rPr>
                <w:rFonts w:hint="eastAsia" w:ascii="Times New Roman" w:hAnsi="Times New Roman" w:cs="Times New Roman"/>
                <w:color w:val="auto"/>
                <w:lang w:val="en-US" w:eastAsia="zh-CN"/>
              </w:rPr>
              <w:t>生态环境</w:t>
            </w:r>
            <w:r>
              <w:rPr>
                <w:rFonts w:hint="default" w:ascii="Times New Roman" w:hAnsi="Times New Roman" w:cs="Times New Roman"/>
                <w:color w:val="auto"/>
              </w:rPr>
              <w:t>部门。</w:t>
            </w:r>
          </w:p>
          <w:p w14:paraId="6AAA3F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 4 \* GB3 \* MERGEFORMAT </w:instrText>
            </w:r>
            <w:r>
              <w:rPr>
                <w:rFonts w:hint="default" w:ascii="Times New Roman" w:hAnsi="Times New Roman" w:cs="Times New Roman"/>
                <w:color w:val="auto"/>
              </w:rPr>
              <w:fldChar w:fldCharType="separate"/>
            </w:r>
            <w:r>
              <w:rPr>
                <w:rFonts w:hint="eastAsia" w:ascii="宋体" w:hAnsi="宋体" w:cs="宋体"/>
                <w:color w:val="auto"/>
              </w:rPr>
              <w:t>④</w:t>
            </w:r>
            <w:r>
              <w:rPr>
                <w:rFonts w:hint="default" w:ascii="Times New Roman" w:hAnsi="Times New Roman" w:cs="Times New Roman"/>
                <w:color w:val="auto"/>
              </w:rPr>
              <w:fldChar w:fldCharType="end"/>
            </w:r>
            <w:r>
              <w:rPr>
                <w:rFonts w:hint="default" w:ascii="Times New Roman" w:hAnsi="Times New Roman" w:cs="Times New Roman"/>
                <w:color w:val="auto"/>
              </w:rPr>
              <w:t>加强环境监测管理，制订环境监测计划，委托有相应资质等级的环境、卫生监测等专业部门开展环境监测工作。</w:t>
            </w:r>
          </w:p>
          <w:p w14:paraId="4A222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Times New Roman" w:hAnsi="Times New Roman" w:cs="Times New Roman"/>
                <w:color w:val="auto"/>
                <w:lang w:val="en-US" w:eastAsia="zh-CN"/>
              </w:rPr>
              <w:t>⑤</w:t>
            </w:r>
            <w:r>
              <w:rPr>
                <w:rFonts w:hint="default" w:ascii="Times New Roman" w:hAnsi="Times New Roman" w:cs="Times New Roman"/>
                <w:color w:val="auto"/>
              </w:rPr>
              <w:t>会同地方</w:t>
            </w:r>
            <w:r>
              <w:rPr>
                <w:rFonts w:hint="eastAsia" w:ascii="Times New Roman" w:hAnsi="Times New Roman" w:cs="Times New Roman"/>
                <w:color w:val="auto"/>
                <w:lang w:val="en-US" w:eastAsia="zh-CN"/>
              </w:rPr>
              <w:t>生态环境</w:t>
            </w:r>
            <w:r>
              <w:rPr>
                <w:rFonts w:hint="default" w:ascii="Times New Roman" w:hAnsi="Times New Roman" w:cs="Times New Roman"/>
                <w:color w:val="auto"/>
              </w:rPr>
              <w:t>部门检查、监督工程承包商执行环境保护条款的情况。</w:t>
            </w:r>
          </w:p>
          <w:p w14:paraId="79502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Times New Roman" w:hAnsi="Times New Roman" w:cs="Times New Roman"/>
                <w:color w:val="auto"/>
                <w:lang w:val="en-US" w:eastAsia="zh-CN"/>
              </w:rPr>
              <w:t>⑥</w:t>
            </w:r>
            <w:r>
              <w:rPr>
                <w:rFonts w:hint="default" w:ascii="Times New Roman" w:hAnsi="Times New Roman" w:cs="Times New Roman"/>
                <w:color w:val="auto"/>
              </w:rPr>
              <w:t>负责协调处理工程引起的环境纠纷和环境污染事故。</w:t>
            </w:r>
          </w:p>
          <w:p w14:paraId="6FA69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Times New Roman" w:hAnsi="Times New Roman" w:cs="Times New Roman"/>
                <w:color w:val="auto"/>
                <w:lang w:val="en-US" w:eastAsia="zh-CN"/>
              </w:rPr>
              <w:t>⑦</w:t>
            </w:r>
            <w:r>
              <w:rPr>
                <w:rFonts w:hint="default" w:ascii="Times New Roman" w:hAnsi="Times New Roman" w:cs="Times New Roman"/>
                <w:color w:val="auto"/>
              </w:rPr>
              <w:t>加强环境保护的宣传教育，负责组织实施环境管理培训工作，提高工程环境管理人员的技术水平。</w:t>
            </w:r>
          </w:p>
          <w:p w14:paraId="4AFC5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ascii="Times New Roman" w:hAnsi="Times New Roman" w:cs="Times New Roman"/>
                <w:color w:val="auto"/>
              </w:rPr>
              <w:t>3</w:t>
            </w:r>
            <w:r>
              <w:rPr>
                <w:rFonts w:hint="eastAsia" w:ascii="Times New Roman" w:hAnsi="Times New Roman" w:cs="Times New Roman"/>
                <w:color w:val="auto"/>
                <w:lang w:eastAsia="zh-CN"/>
              </w:rPr>
              <w:t>）</w:t>
            </w:r>
            <w:r>
              <w:rPr>
                <w:rFonts w:hint="eastAsia" w:cs="Times New Roman"/>
                <w:color w:val="auto"/>
                <w:lang w:val="en-US" w:eastAsia="zh-CN"/>
              </w:rPr>
              <w:t>勘查</w:t>
            </w:r>
            <w:r>
              <w:rPr>
                <w:rFonts w:hint="eastAsia" w:ascii="Times New Roman" w:hAnsi="Times New Roman" w:cs="Times New Roman"/>
                <w:color w:val="auto"/>
              </w:rPr>
              <w:t>期结束后环境管理</w:t>
            </w:r>
          </w:p>
          <w:p w14:paraId="016FA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textAlignment w:val="auto"/>
              <w:rPr>
                <w:rFonts w:hint="default" w:ascii="Times New Roman" w:hAnsi="Times New Roman" w:cs="Times New Roman"/>
                <w:color w:val="auto"/>
              </w:rPr>
            </w:pPr>
            <w:r>
              <w:rPr>
                <w:rFonts w:hint="eastAsia" w:cs="Times New Roman"/>
                <w:color w:val="auto"/>
                <w:lang w:val="en-US" w:eastAsia="zh-CN"/>
              </w:rPr>
              <w:t>勘查</w:t>
            </w:r>
            <w:r>
              <w:rPr>
                <w:rFonts w:hint="eastAsia" w:ascii="Times New Roman" w:hAnsi="Times New Roman" w:cs="Times New Roman"/>
                <w:color w:val="auto"/>
              </w:rPr>
              <w:t>期结束后，各产污设备将停止运行，</w:t>
            </w:r>
            <w:r>
              <w:rPr>
                <w:rFonts w:hint="eastAsia" w:ascii="Times New Roman" w:hAnsi="Times New Roman" w:cs="Times New Roman"/>
                <w:color w:val="auto"/>
                <w:lang w:eastAsia="zh-CN"/>
              </w:rPr>
              <w:t>“</w:t>
            </w:r>
            <w:r>
              <w:rPr>
                <w:rFonts w:hint="eastAsia" w:ascii="Times New Roman" w:hAnsi="Times New Roman" w:cs="Times New Roman"/>
                <w:color w:val="auto"/>
              </w:rPr>
              <w:t>三废</w:t>
            </w:r>
            <w:r>
              <w:rPr>
                <w:rFonts w:hint="eastAsia" w:ascii="Times New Roman" w:hAnsi="Times New Roman" w:cs="Times New Roman"/>
                <w:color w:val="auto"/>
                <w:lang w:eastAsia="zh-CN"/>
              </w:rPr>
              <w:t>”</w:t>
            </w:r>
            <w:r>
              <w:rPr>
                <w:rFonts w:hint="eastAsia" w:ascii="Times New Roman" w:hAnsi="Times New Roman" w:cs="Times New Roman"/>
                <w:color w:val="auto"/>
              </w:rPr>
              <w:t>等排放也将停止，基本不存在</w:t>
            </w:r>
            <w:r>
              <w:rPr>
                <w:rFonts w:hint="eastAsia" w:ascii="Times New Roman" w:hAnsi="Times New Roman" w:cs="Times New Roman"/>
                <w:color w:val="auto"/>
                <w:lang w:eastAsia="zh-CN"/>
              </w:rPr>
              <w:t>“</w:t>
            </w:r>
            <w:r>
              <w:rPr>
                <w:rFonts w:hint="eastAsia" w:ascii="Times New Roman" w:hAnsi="Times New Roman" w:cs="Times New Roman"/>
                <w:color w:val="auto"/>
              </w:rPr>
              <w:t>三废</w:t>
            </w:r>
            <w:r>
              <w:rPr>
                <w:rFonts w:hint="eastAsia" w:ascii="Times New Roman" w:hAnsi="Times New Roman" w:cs="Times New Roman"/>
                <w:color w:val="auto"/>
                <w:lang w:eastAsia="zh-CN"/>
              </w:rPr>
              <w:t>”</w:t>
            </w:r>
            <w:r>
              <w:rPr>
                <w:rFonts w:hint="eastAsia" w:ascii="Times New Roman" w:hAnsi="Times New Roman" w:cs="Times New Roman"/>
                <w:color w:val="auto"/>
              </w:rPr>
              <w:t>等污染问题。主要环境问题为探矿造成的生态环境影响。</w:t>
            </w:r>
            <w:r>
              <w:rPr>
                <w:rFonts w:hint="default" w:ascii="Times New Roman" w:hAnsi="Times New Roman" w:cs="Times New Roman"/>
                <w:color w:val="auto"/>
              </w:rPr>
              <w:t>服务期满后环境管理具体要求见表</w:t>
            </w:r>
            <w:r>
              <w:rPr>
                <w:rFonts w:hint="eastAsia" w:ascii="Times New Roman" w:hAnsi="Times New Roman" w:cs="Times New Roman"/>
                <w:color w:val="auto"/>
                <w:lang w:val="en-US" w:eastAsia="zh-CN"/>
              </w:rPr>
              <w:t>5.7-1</w:t>
            </w:r>
            <w:r>
              <w:rPr>
                <w:rFonts w:hint="default" w:ascii="Times New Roman" w:hAnsi="Times New Roman" w:cs="Times New Roman"/>
                <w:color w:val="auto"/>
              </w:rPr>
              <w:t>。</w:t>
            </w:r>
          </w:p>
          <w:p w14:paraId="0EF3CA39">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eastAsia" w:cs="Times New Roman"/>
                <w:color w:val="auto"/>
              </w:rPr>
            </w:pPr>
            <w:r>
              <w:rPr>
                <w:rFonts w:hint="eastAsia" w:cs="Times New Roman"/>
                <w:color w:val="auto"/>
              </w:rPr>
              <w:t>表</w:t>
            </w:r>
            <w:r>
              <w:rPr>
                <w:rFonts w:hint="eastAsia" w:cs="Times New Roman"/>
                <w:color w:val="auto"/>
                <w:lang w:val="en-US" w:eastAsia="zh-CN"/>
              </w:rPr>
              <w:t>5.7-1</w:t>
            </w:r>
            <w:r>
              <w:rPr>
                <w:rFonts w:hint="default" w:cs="Times New Roman"/>
                <w:color w:val="auto"/>
              </w:rPr>
              <w:t xml:space="preserve">   </w:t>
            </w:r>
            <w:r>
              <w:rPr>
                <w:rFonts w:hint="eastAsia" w:cs="Times New Roman"/>
                <w:color w:val="auto"/>
                <w:lang w:val="en-US" w:eastAsia="zh-CN"/>
              </w:rPr>
              <w:t>勘查</w:t>
            </w:r>
            <w:r>
              <w:rPr>
                <w:rFonts w:hint="eastAsia" w:cs="Times New Roman"/>
                <w:color w:val="auto"/>
              </w:rPr>
              <w:t>期结束后环境管理要求</w:t>
            </w:r>
          </w:p>
          <w:tbl>
            <w:tblPr>
              <w:tblStyle w:val="28"/>
              <w:tblW w:w="5000"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7746"/>
            </w:tblGrid>
            <w:tr w14:paraId="4FDF4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tcBorders>
                    <w:tl2br w:val="nil"/>
                    <w:tr2bl w:val="nil"/>
                  </w:tcBorders>
                  <w:noWrap w:val="0"/>
                  <w:vAlign w:val="center"/>
                </w:tcPr>
                <w:p w14:paraId="065DEEB5">
                  <w:pPr>
                    <w:pStyle w:val="68"/>
                    <w:keepNext w:val="0"/>
                    <w:keepLines w:val="0"/>
                    <w:suppressLineNumbers w:val="0"/>
                    <w:spacing w:before="0" w:beforeAutospacing="0" w:after="0" w:afterAutospacing="0"/>
                    <w:ind w:right="0" w:firstLine="480"/>
                    <w:rPr>
                      <w:rFonts w:hint="default" w:ascii="Times New Roman" w:hAnsi="Times New Roman" w:cs="Times New Roman"/>
                      <w:color w:val="auto"/>
                    </w:rPr>
                  </w:pPr>
                  <w:r>
                    <w:rPr>
                      <w:rFonts w:hint="default" w:ascii="Times New Roman" w:hAnsi="Times New Roman" w:cs="Times New Roman"/>
                      <w:color w:val="auto"/>
                    </w:rPr>
                    <w:t>环境影响</w:t>
                  </w:r>
                </w:p>
              </w:tc>
              <w:tc>
                <w:tcPr>
                  <w:tcW w:w="0" w:type="auto"/>
                  <w:tcBorders>
                    <w:tl2br w:val="nil"/>
                    <w:tr2bl w:val="nil"/>
                  </w:tcBorders>
                  <w:noWrap w:val="0"/>
                  <w:vAlign w:val="center"/>
                </w:tcPr>
                <w:p w14:paraId="6AF6AF29">
                  <w:pPr>
                    <w:pStyle w:val="68"/>
                    <w:keepNext w:val="0"/>
                    <w:keepLines w:val="0"/>
                    <w:suppressLineNumbers w:val="0"/>
                    <w:spacing w:before="0" w:beforeAutospacing="0" w:after="0" w:afterAutospacing="0"/>
                    <w:ind w:right="0" w:firstLine="480"/>
                    <w:rPr>
                      <w:rFonts w:hint="default" w:ascii="Times New Roman" w:hAnsi="Times New Roman" w:cs="Times New Roman"/>
                      <w:color w:val="auto"/>
                    </w:rPr>
                  </w:pPr>
                  <w:r>
                    <w:rPr>
                      <w:rFonts w:hint="default" w:ascii="Times New Roman" w:hAnsi="Times New Roman" w:cs="Times New Roman"/>
                      <w:color w:val="auto"/>
                    </w:rPr>
                    <w:t>环境管理具体要求</w:t>
                  </w:r>
                </w:p>
              </w:tc>
            </w:tr>
            <w:tr w14:paraId="0582C0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tcBorders>
                    <w:tl2br w:val="nil"/>
                    <w:tr2bl w:val="nil"/>
                  </w:tcBorders>
                  <w:noWrap w:val="0"/>
                  <w:vAlign w:val="center"/>
                </w:tcPr>
                <w:p w14:paraId="4E7604B6">
                  <w:pPr>
                    <w:pStyle w:val="68"/>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eastAsia" w:ascii="Times New Roman" w:hAnsi="Times New Roman" w:cs="Times New Roman"/>
                      <w:color w:val="auto"/>
                    </w:rPr>
                    <w:t>废水、废气、噪声、固废</w:t>
                  </w:r>
                </w:p>
              </w:tc>
              <w:tc>
                <w:tcPr>
                  <w:tcW w:w="0" w:type="auto"/>
                  <w:tcBorders>
                    <w:tl2br w:val="nil"/>
                    <w:tr2bl w:val="nil"/>
                  </w:tcBorders>
                  <w:noWrap w:val="0"/>
                  <w:vAlign w:val="center"/>
                </w:tcPr>
                <w:p w14:paraId="2E246600">
                  <w:pPr>
                    <w:pStyle w:val="68"/>
                    <w:keepNext w:val="0"/>
                    <w:keepLines w:val="0"/>
                    <w:suppressLineNumbers w:val="0"/>
                    <w:spacing w:before="0" w:beforeAutospacing="0" w:after="0" w:afterAutospacing="0"/>
                    <w:ind w:right="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（1）对场内临时工程的拆除、清理及场地平整情况进行监督管理，做到工完场清，无遗留建筑垃圾与生活垃圾；</w:t>
                  </w:r>
                </w:p>
                <w:p w14:paraId="52A0A2F1">
                  <w:pPr>
                    <w:pStyle w:val="68"/>
                    <w:keepNext w:val="0"/>
                    <w:keepLines w:val="0"/>
                    <w:suppressLineNumbers w:val="0"/>
                    <w:spacing w:before="0" w:beforeAutospacing="0" w:after="0" w:afterAutospacing="0"/>
                    <w:ind w:right="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eastAsia" w:cs="Times New Roman"/>
                      <w:color w:val="auto"/>
                      <w:highlight w:val="none"/>
                      <w:lang w:val="en-US" w:eastAsia="zh-CN"/>
                    </w:rPr>
                    <w:t>2</w:t>
                  </w:r>
                  <w:r>
                    <w:rPr>
                      <w:rFonts w:hint="default" w:ascii="Times New Roman" w:hAnsi="Times New Roman" w:cs="Times New Roman"/>
                      <w:color w:val="auto"/>
                      <w:highlight w:val="none"/>
                    </w:rPr>
                    <w:t>）对勘查</w:t>
                  </w:r>
                  <w:r>
                    <w:rPr>
                      <w:rFonts w:hint="eastAsia" w:cs="Times New Roman"/>
                      <w:color w:val="auto"/>
                      <w:highlight w:val="none"/>
                      <w:lang w:eastAsia="zh-CN"/>
                    </w:rPr>
                    <w:t>期间</w:t>
                  </w:r>
                  <w:r>
                    <w:rPr>
                      <w:rFonts w:hint="default" w:ascii="Times New Roman" w:hAnsi="Times New Roman" w:cs="Times New Roman"/>
                      <w:color w:val="auto"/>
                      <w:highlight w:val="none"/>
                    </w:rPr>
                    <w:t>产生的各类固体废物的清运、处置情况进行监督管理，确保全部按规范要求处置到位，无随意丢弃、堆存现象；</w:t>
                  </w:r>
                </w:p>
                <w:p w14:paraId="5BAA79A2">
                  <w:pPr>
                    <w:pStyle w:val="68"/>
                    <w:keepNext w:val="0"/>
                    <w:keepLines w:val="0"/>
                    <w:suppressLineNumbers w:val="0"/>
                    <w:spacing w:before="0" w:beforeAutospacing="0" w:after="0" w:afterAutospacing="0"/>
                    <w:ind w:right="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eastAsia" w:cs="Times New Roman"/>
                      <w:color w:val="auto"/>
                      <w:highlight w:val="none"/>
                      <w:lang w:val="en-US" w:eastAsia="zh-CN"/>
                    </w:rPr>
                    <w:t>3</w:t>
                  </w:r>
                  <w:r>
                    <w:rPr>
                      <w:rFonts w:hint="default" w:ascii="Times New Roman" w:hAnsi="Times New Roman" w:cs="Times New Roman"/>
                      <w:color w:val="auto"/>
                      <w:highlight w:val="none"/>
                    </w:rPr>
                    <w:t>）对生活污水的处理、排放情况进行监督管理，确保废水经处理达标后排放，无未经处理直接外排现象；</w:t>
                  </w:r>
                </w:p>
                <w:p w14:paraId="442DA975">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highlight w:val="none"/>
                    </w:rPr>
                    <w:t>（</w:t>
                  </w:r>
                  <w:r>
                    <w:rPr>
                      <w:rFonts w:hint="eastAsia" w:cs="Times New Roman"/>
                      <w:color w:val="auto"/>
                      <w:highlight w:val="none"/>
                      <w:lang w:val="en-US" w:eastAsia="zh-CN"/>
                    </w:rPr>
                    <w:t>4</w:t>
                  </w:r>
                  <w:r>
                    <w:rPr>
                      <w:rFonts w:hint="default" w:ascii="Times New Roman" w:hAnsi="Times New Roman" w:cs="Times New Roman"/>
                      <w:color w:val="auto"/>
                      <w:highlight w:val="none"/>
                    </w:rPr>
                    <w:t>）对勘查期废气、噪声排放的管控措施落实情况进行核查，确保无遗留废气、噪声污染问题，周边环境不受影响。</w:t>
                  </w:r>
                </w:p>
              </w:tc>
            </w:tr>
            <w:tr w14:paraId="5A24F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tcBorders>
                    <w:tl2br w:val="nil"/>
                    <w:tr2bl w:val="nil"/>
                  </w:tcBorders>
                  <w:noWrap w:val="0"/>
                  <w:vAlign w:val="center"/>
                </w:tcPr>
                <w:p w14:paraId="2A030FB1">
                  <w:pPr>
                    <w:pStyle w:val="68"/>
                    <w:keepNext w:val="0"/>
                    <w:keepLines w:val="0"/>
                    <w:suppressLineNumbers w:val="0"/>
                    <w:spacing w:before="0" w:beforeAutospacing="0" w:after="0" w:afterAutospacing="0"/>
                    <w:ind w:right="0"/>
                    <w:jc w:val="center"/>
                    <w:rPr>
                      <w:rFonts w:hint="eastAsia" w:ascii="Times New Roman" w:hAnsi="Times New Roman" w:cs="Times New Roman"/>
                      <w:color w:val="auto"/>
                    </w:rPr>
                  </w:pPr>
                  <w:r>
                    <w:rPr>
                      <w:rFonts w:hint="eastAsia" w:ascii="Times New Roman" w:hAnsi="Times New Roman" w:cs="Times New Roman"/>
                      <w:color w:val="auto"/>
                    </w:rPr>
                    <w:t>生态环境影响</w:t>
                  </w:r>
                </w:p>
              </w:tc>
              <w:tc>
                <w:tcPr>
                  <w:tcW w:w="0" w:type="auto"/>
                  <w:tcBorders>
                    <w:tl2br w:val="nil"/>
                    <w:tr2bl w:val="nil"/>
                  </w:tcBorders>
                  <w:noWrap w:val="0"/>
                  <w:vAlign w:val="center"/>
                </w:tcPr>
                <w:p w14:paraId="10349C86">
                  <w:pPr>
                    <w:pStyle w:val="68"/>
                    <w:keepNext w:val="0"/>
                    <w:keepLines w:val="0"/>
                    <w:suppressLineNumbers w:val="0"/>
                    <w:spacing w:before="0" w:beforeAutospacing="0" w:after="0" w:afterAutospacing="0"/>
                    <w:ind w:right="0"/>
                    <w:jc w:val="both"/>
                    <w:rPr>
                      <w:rFonts w:hint="default"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对场地生态恢复措施落实情况进行监督管理；</w:t>
                  </w:r>
                </w:p>
                <w:p w14:paraId="01A13938">
                  <w:pPr>
                    <w:pStyle w:val="68"/>
                    <w:keepNext w:val="0"/>
                    <w:keepLines w:val="0"/>
                    <w:suppressLineNumbers w:val="0"/>
                    <w:spacing w:before="0" w:beforeAutospacing="0" w:after="0" w:afterAutospacing="0"/>
                    <w:ind w:right="0"/>
                    <w:jc w:val="both"/>
                    <w:rPr>
                      <w:rFonts w:hint="eastAsia"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2</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在</w:t>
                  </w:r>
                  <w:r>
                    <w:rPr>
                      <w:rFonts w:hint="eastAsia" w:cs="Times New Roman"/>
                      <w:color w:val="auto"/>
                      <w:highlight w:val="none"/>
                      <w:lang w:val="en-US" w:eastAsia="zh-CN"/>
                    </w:rPr>
                    <w:t>勘查</w:t>
                  </w:r>
                  <w:r>
                    <w:rPr>
                      <w:rFonts w:hint="eastAsia" w:ascii="Times New Roman" w:hAnsi="Times New Roman" w:cs="Times New Roman"/>
                      <w:color w:val="auto"/>
                      <w:highlight w:val="none"/>
                    </w:rPr>
                    <w:t>期满前落实闭坑计划的编制情况；</w:t>
                  </w:r>
                </w:p>
                <w:p w14:paraId="7D0F4DB1">
                  <w:pPr>
                    <w:pStyle w:val="68"/>
                    <w:keepNext w:val="0"/>
                    <w:keepLines w:val="0"/>
                    <w:suppressLineNumbers w:val="0"/>
                    <w:spacing w:before="0" w:beforeAutospacing="0" w:after="0" w:afterAutospacing="0"/>
                    <w:ind w:right="0"/>
                    <w:jc w:val="both"/>
                    <w:rPr>
                      <w:rFonts w:hint="eastAsia"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3</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严格按照土地复垦要求，对探矿区复垦情况进行监督管理；</w:t>
                  </w:r>
                </w:p>
                <w:p w14:paraId="571F5E44">
                  <w:pPr>
                    <w:pStyle w:val="68"/>
                    <w:keepNext w:val="0"/>
                    <w:keepLines w:val="0"/>
                    <w:suppressLineNumbers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勘查施工全部结束、迹地生态修复工程完工后，建设单位需编制完整《生态恢复专项验收台账》，台账内同步完整留存覆土厚度检测记录、植被覆盖度现场核查影像照片、土壤有机质第三方检测报告三类专项佐证材料，全部资料严格匹配本项目环评量化验收指标、《绿色地质勘查工作规范》（DZ/T0374—2021）及矿山生态修复验收管理要求。</w:t>
                  </w:r>
                </w:p>
              </w:tc>
            </w:tr>
          </w:tbl>
          <w:p w14:paraId="3F6FF169">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宋体" w:hAnsi="宋体" w:eastAsia="宋体" w:cs="Times New Roman"/>
                <w:b w:val="0"/>
                <w:bCs w:val="0"/>
                <w:color w:val="auto"/>
                <w:kern w:val="0"/>
                <w:sz w:val="24"/>
                <w:szCs w:val="24"/>
                <w:lang w:val="en-US" w:eastAsia="zh-CN" w:bidi="ar-SA"/>
              </w:rPr>
            </w:pPr>
            <w:r>
              <w:rPr>
                <w:rFonts w:hint="eastAsia" w:ascii="宋体" w:hAnsi="宋体" w:eastAsia="宋体" w:cs="Times New Roman"/>
                <w:b w:val="0"/>
                <w:bCs w:val="0"/>
                <w:color w:val="auto"/>
                <w:kern w:val="0"/>
                <w:sz w:val="24"/>
                <w:szCs w:val="24"/>
                <w:lang w:val="en-US" w:eastAsia="zh-CN" w:bidi="ar-SA"/>
              </w:rPr>
              <w:t>①</w:t>
            </w:r>
            <w:r>
              <w:rPr>
                <w:rFonts w:hint="default" w:ascii="宋体" w:hAnsi="宋体" w:eastAsia="宋体" w:cs="Times New Roman"/>
                <w:b w:val="0"/>
                <w:bCs w:val="0"/>
                <w:color w:val="auto"/>
                <w:kern w:val="0"/>
                <w:sz w:val="24"/>
                <w:szCs w:val="24"/>
                <w:lang w:val="en-US" w:eastAsia="zh-CN" w:bidi="ar-SA"/>
              </w:rPr>
              <w:t>场地清理</w:t>
            </w:r>
          </w:p>
          <w:p w14:paraId="454BD6A6">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宋体" w:hAnsi="宋体" w:eastAsia="宋体" w:cs="Times New Roman"/>
                <w:b w:val="0"/>
                <w:bCs w:val="0"/>
                <w:color w:val="auto"/>
                <w:kern w:val="0"/>
                <w:sz w:val="24"/>
                <w:szCs w:val="24"/>
                <w:lang w:val="en-US" w:eastAsia="zh-CN" w:bidi="ar-SA"/>
              </w:rPr>
            </w:pPr>
            <w:r>
              <w:rPr>
                <w:rFonts w:hint="default" w:ascii="宋体" w:hAnsi="宋体" w:eastAsia="宋体" w:cs="Times New Roman"/>
                <w:b w:val="0"/>
                <w:bCs w:val="0"/>
                <w:color w:val="auto"/>
                <w:kern w:val="0"/>
                <w:sz w:val="24"/>
                <w:szCs w:val="24"/>
                <w:lang w:val="en-US" w:eastAsia="zh-CN" w:bidi="ar-SA"/>
              </w:rPr>
              <w:t>勘查施工区</w:t>
            </w:r>
            <w:r>
              <w:rPr>
                <w:rFonts w:hint="eastAsia" w:ascii="宋体" w:hAnsi="宋体" w:eastAsia="宋体" w:cs="Times New Roman"/>
                <w:b w:val="0"/>
                <w:bCs w:val="0"/>
                <w:color w:val="auto"/>
                <w:kern w:val="0"/>
                <w:sz w:val="24"/>
                <w:szCs w:val="24"/>
                <w:lang w:val="en-US" w:eastAsia="zh-CN" w:bidi="ar-SA"/>
              </w:rPr>
              <w:t>（</w:t>
            </w:r>
            <w:r>
              <w:rPr>
                <w:rFonts w:hint="default" w:ascii="宋体" w:hAnsi="宋体" w:eastAsia="宋体" w:cs="Times New Roman"/>
                <w:b w:val="0"/>
                <w:bCs w:val="0"/>
                <w:color w:val="auto"/>
                <w:kern w:val="0"/>
                <w:sz w:val="24"/>
                <w:szCs w:val="24"/>
                <w:lang w:val="en-US" w:eastAsia="zh-CN" w:bidi="ar-SA"/>
              </w:rPr>
              <w:t>点</w:t>
            </w:r>
            <w:r>
              <w:rPr>
                <w:rFonts w:hint="eastAsia" w:ascii="宋体" w:hAnsi="宋体" w:eastAsia="宋体" w:cs="Times New Roman"/>
                <w:b w:val="0"/>
                <w:bCs w:val="0"/>
                <w:color w:val="auto"/>
                <w:kern w:val="0"/>
                <w:sz w:val="24"/>
                <w:szCs w:val="24"/>
                <w:lang w:val="en-US" w:eastAsia="zh-CN" w:bidi="ar-SA"/>
              </w:rPr>
              <w:t>）</w:t>
            </w:r>
            <w:r>
              <w:rPr>
                <w:rFonts w:hint="default" w:ascii="宋体" w:hAnsi="宋体" w:eastAsia="宋体" w:cs="Times New Roman"/>
                <w:b w:val="0"/>
                <w:bCs w:val="0"/>
                <w:color w:val="auto"/>
                <w:kern w:val="0"/>
                <w:sz w:val="24"/>
                <w:szCs w:val="24"/>
                <w:lang w:val="en-US" w:eastAsia="zh-CN" w:bidi="ar-SA"/>
              </w:rPr>
              <w:t>工作结束后，应及时拆除现场施工设备、物资和临时设施，清除现场各类杂物、垃圾及污染物。</w:t>
            </w:r>
          </w:p>
          <w:p w14:paraId="6369BFE1">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宋体" w:hAnsi="宋体" w:eastAsia="宋体" w:cs="Times New Roman"/>
                <w:b w:val="0"/>
                <w:bCs w:val="0"/>
                <w:color w:val="auto"/>
                <w:kern w:val="0"/>
                <w:sz w:val="24"/>
                <w:szCs w:val="24"/>
                <w:lang w:val="en-US" w:eastAsia="zh-CN" w:bidi="ar-SA"/>
              </w:rPr>
            </w:pPr>
            <w:r>
              <w:rPr>
                <w:rFonts w:hint="eastAsia" w:ascii="宋体" w:hAnsi="宋体" w:eastAsia="宋体" w:cs="Times New Roman"/>
                <w:b w:val="0"/>
                <w:bCs w:val="0"/>
                <w:color w:val="auto"/>
                <w:kern w:val="0"/>
                <w:sz w:val="24"/>
                <w:szCs w:val="24"/>
                <w:lang w:val="en-US" w:eastAsia="zh-CN" w:bidi="ar-SA"/>
              </w:rPr>
              <w:t>②</w:t>
            </w:r>
            <w:r>
              <w:rPr>
                <w:rFonts w:hint="default" w:ascii="宋体" w:hAnsi="宋体" w:eastAsia="宋体" w:cs="Times New Roman"/>
                <w:b w:val="0"/>
                <w:bCs w:val="0"/>
                <w:color w:val="auto"/>
                <w:kern w:val="0"/>
                <w:sz w:val="24"/>
                <w:szCs w:val="24"/>
                <w:lang w:val="en-US" w:eastAsia="zh-CN" w:bidi="ar-SA"/>
              </w:rPr>
              <w:t>场地恢复平整</w:t>
            </w:r>
          </w:p>
          <w:p w14:paraId="63FF98A2">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宋体" w:hAnsi="宋体" w:eastAsia="宋体" w:cs="Times New Roman"/>
                <w:b w:val="0"/>
                <w:bCs w:val="0"/>
                <w:color w:val="auto"/>
                <w:kern w:val="0"/>
                <w:sz w:val="24"/>
                <w:szCs w:val="24"/>
                <w:lang w:val="en-US" w:eastAsia="zh-CN" w:bidi="ar-SA"/>
              </w:rPr>
            </w:pPr>
            <w:r>
              <w:rPr>
                <w:rFonts w:hint="default" w:ascii="宋体" w:hAnsi="宋体" w:eastAsia="宋体" w:cs="Times New Roman"/>
                <w:b w:val="0"/>
                <w:bCs w:val="0"/>
                <w:color w:val="auto"/>
                <w:kern w:val="0"/>
                <w:sz w:val="24"/>
                <w:szCs w:val="24"/>
                <w:lang w:val="en-US" w:eastAsia="zh-CN" w:bidi="ar-SA"/>
              </w:rPr>
              <w:t>场地恢复平整应根据恢复治理设计要求，结合现场情况，尽可能按原始地形地貌平整。难以复原的地段，应按恢复治理设计场地平整标高进行平整，尽可能与自然环境相协调。</w:t>
            </w:r>
          </w:p>
          <w:p w14:paraId="45C9D2C8">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宋体" w:hAnsi="宋体" w:eastAsia="宋体" w:cs="Times New Roman"/>
                <w:b w:val="0"/>
                <w:bCs w:val="0"/>
                <w:color w:val="auto"/>
                <w:kern w:val="0"/>
                <w:sz w:val="24"/>
                <w:szCs w:val="24"/>
                <w:lang w:val="en-US" w:eastAsia="zh-CN" w:bidi="ar-SA"/>
              </w:rPr>
            </w:pPr>
            <w:r>
              <w:rPr>
                <w:rFonts w:hint="default" w:ascii="宋体" w:hAnsi="宋体" w:eastAsia="宋体" w:cs="Times New Roman"/>
                <w:b w:val="0"/>
                <w:bCs w:val="0"/>
                <w:color w:val="auto"/>
                <w:kern w:val="0"/>
                <w:sz w:val="24"/>
                <w:szCs w:val="24"/>
                <w:lang w:val="en-US" w:eastAsia="zh-CN" w:bidi="ar-SA"/>
              </w:rPr>
              <w:t>施工现场的</w:t>
            </w:r>
            <w:r>
              <w:rPr>
                <w:rFonts w:hint="eastAsia" w:ascii="宋体" w:hAnsi="宋体" w:eastAsia="宋体" w:cs="Times New Roman"/>
                <w:b w:val="0"/>
                <w:bCs w:val="0"/>
                <w:color w:val="auto"/>
                <w:kern w:val="0"/>
                <w:sz w:val="24"/>
                <w:szCs w:val="24"/>
                <w:lang w:val="en-US" w:eastAsia="zh-CN" w:bidi="ar-SA"/>
              </w:rPr>
              <w:t>槽探</w:t>
            </w:r>
            <w:r>
              <w:rPr>
                <w:rFonts w:hint="default" w:ascii="宋体" w:hAnsi="宋体" w:eastAsia="宋体" w:cs="Times New Roman"/>
                <w:b w:val="0"/>
                <w:bCs w:val="0"/>
                <w:color w:val="auto"/>
                <w:kern w:val="0"/>
                <w:sz w:val="24"/>
                <w:szCs w:val="24"/>
                <w:lang w:val="en-US" w:eastAsia="zh-CN" w:bidi="ar-SA"/>
              </w:rPr>
              <w:t>等，应采用开挖的土石进行回填，场地平整工作不应产生新的挖损破坏，应彻底清除场地上污染物。</w:t>
            </w:r>
          </w:p>
          <w:p w14:paraId="65CD8C38">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宋体" w:hAnsi="宋体" w:eastAsia="宋体" w:cs="Times New Roman"/>
                <w:b w:val="0"/>
                <w:bCs w:val="0"/>
                <w:color w:val="auto"/>
                <w:kern w:val="0"/>
                <w:sz w:val="24"/>
                <w:szCs w:val="24"/>
                <w:lang w:val="en-US" w:eastAsia="zh-CN" w:bidi="ar-SA"/>
              </w:rPr>
            </w:pPr>
            <w:r>
              <w:rPr>
                <w:rFonts w:hint="eastAsia" w:ascii="宋体" w:hAnsi="宋体" w:eastAsia="宋体" w:cs="Times New Roman"/>
                <w:b w:val="0"/>
                <w:bCs w:val="0"/>
                <w:color w:val="auto"/>
                <w:kern w:val="0"/>
                <w:sz w:val="24"/>
                <w:szCs w:val="24"/>
                <w:lang w:val="en-US" w:eastAsia="zh-CN" w:bidi="ar-SA"/>
              </w:rPr>
              <w:t>③</w:t>
            </w:r>
            <w:r>
              <w:rPr>
                <w:rFonts w:hint="default" w:ascii="宋体" w:hAnsi="宋体" w:eastAsia="宋体" w:cs="Times New Roman"/>
                <w:b w:val="0"/>
                <w:bCs w:val="0"/>
                <w:color w:val="auto"/>
                <w:kern w:val="0"/>
                <w:sz w:val="24"/>
                <w:szCs w:val="24"/>
                <w:lang w:val="en-US" w:eastAsia="zh-CN" w:bidi="ar-SA"/>
              </w:rPr>
              <w:t>场地覆土</w:t>
            </w:r>
          </w:p>
          <w:p w14:paraId="654F7A30">
            <w:pPr>
              <w:pStyle w:val="56"/>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500" w:lineRule="exact"/>
              <w:ind w:left="0" w:right="0" w:firstLine="480" w:firstLineChars="200"/>
              <w:jc w:val="both"/>
              <w:textAlignment w:val="auto"/>
              <w:outlineLvl w:val="9"/>
              <w:rPr>
                <w:rFonts w:hint="default" w:ascii="Times New Roman" w:hAnsi="Times New Roman" w:eastAsia="宋体" w:cs="Times New Roman"/>
                <w:snapToGrid w:val="0"/>
                <w:color w:val="auto"/>
                <w:kern w:val="0"/>
                <w:sz w:val="24"/>
                <w:szCs w:val="24"/>
                <w:lang w:val="en-US" w:eastAsia="zh-CN" w:bidi="ar-SA"/>
              </w:rPr>
            </w:pPr>
            <w:r>
              <w:rPr>
                <w:rFonts w:hint="default" w:ascii="宋体" w:hAnsi="宋体" w:eastAsia="宋体" w:cs="Times New Roman"/>
                <w:b w:val="0"/>
                <w:bCs w:val="0"/>
                <w:color w:val="auto"/>
                <w:kern w:val="0"/>
                <w:sz w:val="24"/>
                <w:szCs w:val="24"/>
                <w:lang w:val="en-US" w:eastAsia="zh-CN" w:bidi="ar-SA"/>
              </w:rPr>
              <w:t>场地的覆土厚度及土质应符合恢复地类的复绿设计及相关行业的规</w:t>
            </w:r>
            <w:r>
              <w:rPr>
                <w:rFonts w:hint="eastAsia" w:ascii="宋体" w:hAnsi="宋体" w:eastAsia="宋体" w:cs="Times New Roman"/>
                <w:b w:val="0"/>
                <w:bCs w:val="0"/>
                <w:color w:val="auto"/>
                <w:kern w:val="0"/>
                <w:sz w:val="24"/>
                <w:szCs w:val="24"/>
                <w:lang w:val="en-US" w:eastAsia="zh-CN" w:bidi="ar-SA"/>
              </w:rPr>
              <w:t>范和</w:t>
            </w:r>
            <w:r>
              <w:rPr>
                <w:rFonts w:hint="default" w:ascii="宋体" w:hAnsi="宋体" w:eastAsia="宋体" w:cs="Times New Roman"/>
                <w:b w:val="0"/>
                <w:bCs w:val="0"/>
                <w:color w:val="auto"/>
                <w:kern w:val="0"/>
                <w:sz w:val="24"/>
                <w:szCs w:val="24"/>
                <w:lang w:val="en-US" w:eastAsia="zh-CN" w:bidi="ar-SA"/>
              </w:rPr>
              <w:t>标准要求。仅压占未挖损及污染的场地，满足相关规定和设计恢复治理要求。</w:t>
            </w:r>
          </w:p>
          <w:p w14:paraId="64BC0DE2">
            <w:pPr>
              <w:pStyle w:val="24"/>
              <w:keepNext w:val="0"/>
              <w:keepLines w:val="0"/>
              <w:pageBreakBefore w:val="0"/>
              <w:suppressLineNumbers w:val="0"/>
              <w:kinsoku/>
              <w:wordWrap/>
              <w:overflowPunct/>
              <w:topLinePunct w:val="0"/>
              <w:bidi w:val="0"/>
              <w:snapToGrid/>
              <w:spacing w:before="0" w:beforeAutospacing="0" w:after="0" w:afterAutospacing="0" w:line="500" w:lineRule="exact"/>
              <w:ind w:left="0" w:right="0"/>
              <w:jc w:val="both"/>
              <w:textAlignment w:val="auto"/>
              <w:outlineLvl w:val="9"/>
              <w:rPr>
                <w:rFonts w:hint="eastAsia" w:eastAsia="宋体"/>
                <w:color w:val="auto"/>
                <w:lang w:eastAsia="zh-CN"/>
              </w:rPr>
            </w:pPr>
            <w:r>
              <w:rPr>
                <w:rFonts w:hint="eastAsia"/>
                <w:color w:val="auto"/>
                <w:lang w:val="en-US" w:eastAsia="zh-CN"/>
              </w:rPr>
              <w:t>5.8</w:t>
            </w:r>
            <w:r>
              <w:rPr>
                <w:rFonts w:hint="eastAsia"/>
                <w:color w:val="auto"/>
              </w:rPr>
              <w:t>环境保护</w:t>
            </w:r>
            <w:r>
              <w:rPr>
                <w:rFonts w:hint="eastAsia"/>
                <w:color w:val="auto"/>
                <w:lang w:eastAsia="zh-CN"/>
              </w:rPr>
              <w:t>“</w:t>
            </w:r>
            <w:r>
              <w:rPr>
                <w:rFonts w:hint="eastAsia"/>
                <w:color w:val="auto"/>
              </w:rPr>
              <w:t>三同时</w:t>
            </w:r>
            <w:r>
              <w:rPr>
                <w:rFonts w:hint="eastAsia"/>
                <w:color w:val="auto"/>
                <w:lang w:eastAsia="zh-CN"/>
              </w:rPr>
              <w:t>”</w:t>
            </w:r>
          </w:p>
          <w:p w14:paraId="3558FC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480" w:firstLineChars="200"/>
              <w:jc w:val="both"/>
              <w:textAlignment w:val="auto"/>
              <w:outlineLvl w:val="9"/>
              <w:rPr>
                <w:rFonts w:hint="eastAsia" w:ascii="Times New Roman" w:hAnsi="Times New Roman" w:cs="Times New Roman"/>
                <w:color w:val="auto"/>
                <w:szCs w:val="32"/>
              </w:rPr>
            </w:pPr>
            <w:r>
              <w:rPr>
                <w:rFonts w:hint="eastAsia" w:ascii="Times New Roman" w:hAnsi="Times New Roman" w:cs="Times New Roman"/>
                <w:color w:val="auto"/>
                <w:szCs w:val="32"/>
              </w:rPr>
              <w:t>落实环境保护</w:t>
            </w:r>
            <w:r>
              <w:rPr>
                <w:rFonts w:hint="eastAsia" w:ascii="Times New Roman" w:hAnsi="Times New Roman" w:cs="Times New Roman"/>
                <w:color w:val="auto"/>
                <w:szCs w:val="32"/>
                <w:lang w:eastAsia="zh-CN"/>
              </w:rPr>
              <w:t>“</w:t>
            </w:r>
            <w:r>
              <w:rPr>
                <w:rFonts w:hint="eastAsia" w:ascii="Times New Roman" w:hAnsi="Times New Roman" w:cs="Times New Roman"/>
                <w:color w:val="auto"/>
                <w:szCs w:val="32"/>
              </w:rPr>
              <w:t>三同时</w:t>
            </w:r>
            <w:r>
              <w:rPr>
                <w:rFonts w:hint="eastAsia" w:ascii="Times New Roman" w:hAnsi="Times New Roman" w:cs="Times New Roman"/>
                <w:color w:val="auto"/>
                <w:szCs w:val="32"/>
                <w:lang w:eastAsia="zh-CN"/>
              </w:rPr>
              <w:t>”</w:t>
            </w:r>
            <w:r>
              <w:rPr>
                <w:rFonts w:hint="eastAsia" w:ascii="Times New Roman" w:hAnsi="Times New Roman" w:cs="Times New Roman"/>
                <w:color w:val="auto"/>
                <w:szCs w:val="32"/>
              </w:rPr>
              <w:t>，</w:t>
            </w:r>
            <w:r>
              <w:rPr>
                <w:rFonts w:hint="eastAsia" w:cs="Times New Roman"/>
                <w:color w:val="auto"/>
                <w:lang w:val="en-US" w:eastAsia="zh-CN"/>
              </w:rPr>
              <w:t>勘查</w:t>
            </w:r>
            <w:r>
              <w:rPr>
                <w:rFonts w:hint="eastAsia" w:ascii="Times New Roman" w:hAnsi="Times New Roman" w:cs="Times New Roman"/>
                <w:color w:val="auto"/>
                <w:szCs w:val="32"/>
              </w:rPr>
              <w:t>项目应同时配套建设环境保护措施，环境保护措施均已正常运行后，方可开展</w:t>
            </w:r>
            <w:r>
              <w:rPr>
                <w:rFonts w:hint="eastAsia" w:cs="Times New Roman"/>
                <w:color w:val="auto"/>
                <w:lang w:val="en-US" w:eastAsia="zh-CN"/>
              </w:rPr>
              <w:t>勘查</w:t>
            </w:r>
            <w:r>
              <w:rPr>
                <w:rFonts w:hint="eastAsia" w:ascii="Times New Roman" w:hAnsi="Times New Roman" w:cs="Times New Roman"/>
                <w:color w:val="auto"/>
                <w:szCs w:val="32"/>
              </w:rPr>
              <w:t>工作。</w:t>
            </w:r>
          </w:p>
        </w:tc>
      </w:tr>
      <w:tr w14:paraId="0E047E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6" w:type="dxa"/>
            <w:noWrap w:val="0"/>
            <w:tcMar>
              <w:left w:w="28" w:type="dxa"/>
              <w:right w:w="28" w:type="dxa"/>
            </w:tcMar>
            <w:vAlign w:val="center"/>
          </w:tcPr>
          <w:p w14:paraId="0FBDEE1D">
            <w:pPr>
              <w:pStyle w:val="68"/>
              <w:keepNext w:val="0"/>
              <w:keepLines w:val="0"/>
              <w:suppressLineNumbers w:val="0"/>
              <w:spacing w:before="0" w:beforeAutospacing="0" w:after="0" w:afterAutospacing="0"/>
              <w:ind w:right="0"/>
              <w:rPr>
                <w:rFonts w:hint="default" w:ascii="Times New Roman" w:hAnsi="Times New Roman" w:cs="Times New Roman"/>
                <w:color w:val="auto"/>
                <w:sz w:val="24"/>
                <w:szCs w:val="24"/>
              </w:rPr>
            </w:pPr>
            <w:r>
              <w:rPr>
                <w:rFonts w:hint="eastAsia" w:ascii="Times New Roman" w:hAnsi="Times New Roman" w:cs="Times New Roman"/>
                <w:color w:val="auto"/>
                <w:sz w:val="24"/>
                <w:szCs w:val="24"/>
              </w:rPr>
              <w:t>环保</w:t>
            </w:r>
          </w:p>
          <w:p w14:paraId="05B6BA3A">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sz w:val="24"/>
                <w:szCs w:val="24"/>
              </w:rPr>
              <w:t>投资</w:t>
            </w:r>
          </w:p>
        </w:tc>
        <w:tc>
          <w:tcPr>
            <w:tcW w:w="8354" w:type="dxa"/>
            <w:noWrap w:val="0"/>
            <w:vAlign w:val="center"/>
          </w:tcPr>
          <w:p w14:paraId="07C796B2">
            <w:pPr>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bCs/>
                <w:color w:val="auto"/>
                <w:lang w:val="en-US" w:eastAsia="zh-CN"/>
              </w:rPr>
            </w:pPr>
            <w:r>
              <w:rPr>
                <w:rFonts w:hint="eastAsia" w:ascii="Times New Roman" w:hAnsi="Times New Roman" w:cs="Times New Roman"/>
                <w:b/>
                <w:bCs/>
                <w:color w:val="auto"/>
                <w:lang w:val="en-US" w:eastAsia="zh-CN"/>
              </w:rPr>
              <w:t>5.9环保投资</w:t>
            </w:r>
          </w:p>
          <w:p w14:paraId="6C6EE6BA">
            <w:pPr>
              <w:keepNext w:val="0"/>
              <w:keepLines w:val="0"/>
              <w:suppressLineNumbers w:val="0"/>
              <w:spacing w:before="0" w:beforeAutospacing="0" w:after="0" w:afterAutospacing="0"/>
              <w:ind w:left="0" w:right="0" w:firstLine="480"/>
              <w:rPr>
                <w:rFonts w:hint="default" w:ascii="Times New Roman" w:hAnsi="Times New Roman" w:cs="Times New Roman"/>
                <w:b/>
                <w:bCs/>
                <w:color w:val="auto"/>
                <w:szCs w:val="32"/>
              </w:rPr>
            </w:pPr>
            <w:r>
              <w:rPr>
                <w:rFonts w:hint="default" w:ascii="Times New Roman" w:hAnsi="Times New Roman" w:cs="Times New Roman"/>
                <w:color w:val="auto"/>
              </w:rPr>
              <w:t>项目环境保护投资总计</w:t>
            </w:r>
            <w:r>
              <w:rPr>
                <w:rFonts w:hint="eastAsia" w:cs="Times New Roman"/>
                <w:color w:val="auto"/>
                <w:lang w:val="en-US" w:eastAsia="zh-CN"/>
              </w:rPr>
              <w:t>10</w:t>
            </w:r>
            <w:r>
              <w:rPr>
                <w:rFonts w:hint="default" w:ascii="Times New Roman" w:hAnsi="Times New Roman" w:cs="Times New Roman"/>
                <w:color w:val="auto"/>
              </w:rPr>
              <w:t>万元，占总投资</w:t>
            </w:r>
            <w:r>
              <w:rPr>
                <w:rFonts w:hint="eastAsia" w:cs="Times New Roman"/>
                <w:color w:val="auto"/>
                <w:lang w:val="en-US" w:eastAsia="zh-CN"/>
              </w:rPr>
              <w:t>60.43</w:t>
            </w:r>
            <w:r>
              <w:rPr>
                <w:rFonts w:hint="default" w:ascii="Times New Roman" w:hAnsi="Times New Roman" w:cs="Times New Roman"/>
                <w:color w:val="auto"/>
              </w:rPr>
              <w:t>万元的</w:t>
            </w:r>
            <w:r>
              <w:rPr>
                <w:rFonts w:hint="eastAsia" w:cs="Times New Roman"/>
                <w:color w:val="auto"/>
                <w:lang w:val="en-US" w:eastAsia="zh-CN"/>
              </w:rPr>
              <w:t>16.55</w:t>
            </w:r>
            <w:r>
              <w:rPr>
                <w:rFonts w:hint="default" w:ascii="Times New Roman" w:hAnsi="Times New Roman" w:cs="Times New Roman"/>
                <w:color w:val="auto"/>
              </w:rPr>
              <w:t>%，项目环保措施及投资见</w:t>
            </w:r>
            <w:r>
              <w:rPr>
                <w:rFonts w:hint="eastAsia" w:ascii="Times New Roman" w:hAnsi="Times New Roman" w:cs="Times New Roman"/>
                <w:color w:val="auto"/>
              </w:rPr>
              <w:t>下表。</w:t>
            </w:r>
          </w:p>
          <w:p w14:paraId="4CD7B81D">
            <w:pPr>
              <w:pStyle w:val="66"/>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textAlignment w:val="baseline"/>
              <w:rPr>
                <w:rFonts w:hint="default" w:cs="Times New Roman"/>
                <w:color w:val="auto"/>
              </w:rPr>
            </w:pPr>
            <w:r>
              <w:rPr>
                <w:rFonts w:hint="default" w:cs="Times New Roman"/>
                <w:color w:val="auto"/>
              </w:rPr>
              <w:t>表</w:t>
            </w:r>
            <w:r>
              <w:rPr>
                <w:rFonts w:hint="eastAsia" w:cs="Times New Roman"/>
                <w:color w:val="auto"/>
                <w:lang w:val="en-US" w:eastAsia="zh-CN"/>
              </w:rPr>
              <w:t>5.9-1</w:t>
            </w:r>
            <w:r>
              <w:rPr>
                <w:rFonts w:hint="default" w:cs="Times New Roman"/>
                <w:color w:val="auto"/>
              </w:rPr>
              <w:t xml:space="preserve">   环保</w:t>
            </w:r>
            <w:r>
              <w:rPr>
                <w:rFonts w:hint="eastAsia" w:cs="Times New Roman"/>
                <w:color w:val="auto"/>
              </w:rPr>
              <w:t>措施及</w:t>
            </w:r>
            <w:r>
              <w:rPr>
                <w:rFonts w:hint="default" w:cs="Times New Roman"/>
                <w:color w:val="auto"/>
              </w:rPr>
              <w:t>投资估算一览表</w:t>
            </w:r>
          </w:p>
          <w:tbl>
            <w:tblPr>
              <w:tblStyle w:val="28"/>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28" w:type="dxa"/>
                <w:bottom w:w="57" w:type="dxa"/>
                <w:right w:w="28" w:type="dxa"/>
              </w:tblCellMar>
            </w:tblPr>
            <w:tblGrid>
              <w:gridCol w:w="582"/>
              <w:gridCol w:w="1029"/>
              <w:gridCol w:w="5815"/>
              <w:gridCol w:w="1533"/>
            </w:tblGrid>
            <w:tr w14:paraId="2F35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tblHeader/>
                <w:jc w:val="center"/>
              </w:trPr>
              <w:tc>
                <w:tcPr>
                  <w:tcW w:w="1611" w:type="dxa"/>
                  <w:gridSpan w:val="2"/>
                  <w:tcBorders>
                    <w:tl2br w:val="nil"/>
                    <w:tr2bl w:val="nil"/>
                  </w:tcBorders>
                  <w:noWrap w:val="0"/>
                  <w:tcMar>
                    <w:top w:w="57" w:type="dxa"/>
                    <w:bottom w:w="57" w:type="dxa"/>
                  </w:tcMar>
                  <w:vAlign w:val="center"/>
                </w:tcPr>
                <w:p w14:paraId="3603BC46">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项目</w:t>
                  </w:r>
                </w:p>
              </w:tc>
              <w:tc>
                <w:tcPr>
                  <w:tcW w:w="5815" w:type="dxa"/>
                  <w:tcBorders>
                    <w:tl2br w:val="nil"/>
                    <w:tr2bl w:val="nil"/>
                  </w:tcBorders>
                  <w:noWrap w:val="0"/>
                  <w:tcMar>
                    <w:top w:w="57" w:type="dxa"/>
                    <w:bottom w:w="57" w:type="dxa"/>
                  </w:tcMar>
                  <w:vAlign w:val="center"/>
                </w:tcPr>
                <w:p w14:paraId="19BA7AA8">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环保措施</w:t>
                  </w:r>
                </w:p>
              </w:tc>
              <w:tc>
                <w:tcPr>
                  <w:tcW w:w="1533" w:type="dxa"/>
                  <w:tcBorders>
                    <w:tl2br w:val="nil"/>
                    <w:tr2bl w:val="nil"/>
                  </w:tcBorders>
                  <w:noWrap w:val="0"/>
                  <w:tcMar>
                    <w:top w:w="57" w:type="dxa"/>
                    <w:bottom w:w="57" w:type="dxa"/>
                  </w:tcMar>
                  <w:vAlign w:val="center"/>
                </w:tcPr>
                <w:p w14:paraId="20522337">
                  <w:pPr>
                    <w:pStyle w:val="68"/>
                    <w:keepNext w:val="0"/>
                    <w:keepLines w:val="0"/>
                    <w:suppressLineNumbers w:val="0"/>
                    <w:spacing w:before="0" w:beforeAutospacing="0" w:after="0" w:afterAutospacing="0"/>
                    <w:ind w:right="0"/>
                    <w:rPr>
                      <w:rFonts w:hint="eastAsia" w:ascii="Times New Roman" w:hAnsi="Times New Roman" w:eastAsia="宋体" w:cs="Times New Roman"/>
                      <w:color w:val="auto"/>
                      <w:lang w:eastAsia="zh-CN"/>
                    </w:rPr>
                  </w:pPr>
                  <w:r>
                    <w:rPr>
                      <w:rFonts w:hint="default" w:ascii="Times New Roman" w:hAnsi="Times New Roman" w:cs="Times New Roman"/>
                      <w:color w:val="auto"/>
                    </w:rPr>
                    <w:t>环保费用</w:t>
                  </w:r>
                  <w:r>
                    <w:rPr>
                      <w:rFonts w:hint="eastAsia" w:ascii="Times New Roman" w:hAnsi="Times New Roman" w:cs="Times New Roman"/>
                      <w:color w:val="auto"/>
                      <w:lang w:eastAsia="zh-CN"/>
                    </w:rPr>
                    <w:t>（</w:t>
                  </w:r>
                  <w:r>
                    <w:rPr>
                      <w:rFonts w:hint="eastAsia" w:ascii="Times New Roman" w:hAnsi="Times New Roman" w:cs="Times New Roman"/>
                      <w:color w:val="auto"/>
                    </w:rPr>
                    <w:t>万元</w:t>
                  </w:r>
                  <w:r>
                    <w:rPr>
                      <w:rFonts w:hint="eastAsia" w:ascii="Times New Roman" w:hAnsi="Times New Roman" w:cs="Times New Roman"/>
                      <w:color w:val="auto"/>
                      <w:lang w:eastAsia="zh-CN"/>
                    </w:rPr>
                    <w:t>）</w:t>
                  </w:r>
                </w:p>
              </w:tc>
            </w:tr>
            <w:tr w14:paraId="6A02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vMerge w:val="restart"/>
                  <w:tcBorders>
                    <w:tl2br w:val="nil"/>
                    <w:tr2bl w:val="nil"/>
                  </w:tcBorders>
                  <w:noWrap w:val="0"/>
                  <w:tcMar>
                    <w:top w:w="57" w:type="dxa"/>
                    <w:bottom w:w="57" w:type="dxa"/>
                  </w:tcMar>
                  <w:vAlign w:val="center"/>
                </w:tcPr>
                <w:p w14:paraId="10147893">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废气</w:t>
                  </w:r>
                </w:p>
              </w:tc>
              <w:tc>
                <w:tcPr>
                  <w:tcW w:w="1029" w:type="dxa"/>
                  <w:tcBorders>
                    <w:tl2br w:val="nil"/>
                    <w:tr2bl w:val="nil"/>
                  </w:tcBorders>
                  <w:noWrap w:val="0"/>
                  <w:vAlign w:val="center"/>
                </w:tcPr>
                <w:p w14:paraId="46F11EF1">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扬尘</w:t>
                  </w:r>
                </w:p>
              </w:tc>
              <w:tc>
                <w:tcPr>
                  <w:tcW w:w="5815" w:type="dxa"/>
                  <w:tcBorders>
                    <w:tl2br w:val="nil"/>
                    <w:tr2bl w:val="nil"/>
                  </w:tcBorders>
                  <w:noWrap w:val="0"/>
                  <w:tcMar>
                    <w:top w:w="57" w:type="dxa"/>
                    <w:bottom w:w="57" w:type="dxa"/>
                  </w:tcMar>
                  <w:vAlign w:val="center"/>
                </w:tcPr>
                <w:p w14:paraId="1E0276F1">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对</w:t>
                  </w:r>
                  <w:r>
                    <w:rPr>
                      <w:rFonts w:hint="eastAsia" w:ascii="Times New Roman" w:hAnsi="Times New Roman" w:cs="Times New Roman"/>
                      <w:color w:val="auto"/>
                      <w:lang w:val="en-US" w:eastAsia="zh-CN"/>
                    </w:rPr>
                    <w:t>土方</w:t>
                  </w:r>
                  <w:r>
                    <w:rPr>
                      <w:rFonts w:hint="eastAsia" w:ascii="Times New Roman" w:hAnsi="Times New Roman" w:cs="Times New Roman"/>
                      <w:color w:val="auto"/>
                    </w:rPr>
                    <w:t>堆</w:t>
                  </w:r>
                  <w:r>
                    <w:rPr>
                      <w:rFonts w:hint="default" w:ascii="Times New Roman" w:hAnsi="Times New Roman" w:cs="Times New Roman"/>
                      <w:color w:val="auto"/>
                    </w:rPr>
                    <w:t>表面</w:t>
                  </w:r>
                  <w:r>
                    <w:rPr>
                      <w:rFonts w:hint="eastAsia" w:ascii="Times New Roman" w:hAnsi="Times New Roman" w:cs="Times New Roman"/>
                      <w:color w:val="auto"/>
                    </w:rPr>
                    <w:t>压实</w:t>
                  </w:r>
                  <w:r>
                    <w:rPr>
                      <w:rFonts w:hint="default" w:ascii="Times New Roman" w:hAnsi="Times New Roman" w:cs="Times New Roman"/>
                      <w:color w:val="auto"/>
                    </w:rPr>
                    <w:t>、覆盖</w:t>
                  </w:r>
                  <w:r>
                    <w:rPr>
                      <w:rFonts w:hint="eastAsia" w:ascii="Times New Roman" w:hAnsi="Times New Roman" w:cs="Times New Roman"/>
                      <w:color w:val="auto"/>
                    </w:rPr>
                    <w:t>、洒水降尘</w:t>
                  </w:r>
                </w:p>
              </w:tc>
              <w:tc>
                <w:tcPr>
                  <w:tcW w:w="1533" w:type="dxa"/>
                  <w:tcBorders>
                    <w:tl2br w:val="nil"/>
                    <w:tr2bl w:val="nil"/>
                  </w:tcBorders>
                  <w:noWrap w:val="0"/>
                  <w:tcMar>
                    <w:top w:w="57" w:type="dxa"/>
                    <w:bottom w:w="57" w:type="dxa"/>
                  </w:tcMar>
                  <w:vAlign w:val="center"/>
                </w:tcPr>
                <w:p w14:paraId="00064A87">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0.5</w:t>
                  </w:r>
                </w:p>
              </w:tc>
            </w:tr>
            <w:tr w14:paraId="348A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vMerge w:val="continue"/>
                  <w:tcBorders>
                    <w:tl2br w:val="nil"/>
                    <w:tr2bl w:val="nil"/>
                  </w:tcBorders>
                  <w:noWrap w:val="0"/>
                  <w:tcMar>
                    <w:top w:w="57" w:type="dxa"/>
                    <w:bottom w:w="57" w:type="dxa"/>
                  </w:tcMar>
                  <w:vAlign w:val="center"/>
                </w:tcPr>
                <w:p w14:paraId="73DA789F">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029" w:type="dxa"/>
                  <w:tcBorders>
                    <w:tl2br w:val="nil"/>
                    <w:tr2bl w:val="nil"/>
                  </w:tcBorders>
                  <w:noWrap w:val="0"/>
                  <w:vAlign w:val="center"/>
                </w:tcPr>
                <w:p w14:paraId="085B591B">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textAlignment w:val="auto"/>
                    <w:rPr>
                      <w:rFonts w:hint="eastAsia" w:cs="Times New Roman"/>
                      <w:color w:val="auto"/>
                    </w:rPr>
                  </w:pPr>
                  <w:r>
                    <w:rPr>
                      <w:rFonts w:hint="eastAsia" w:cs="Times New Roman"/>
                      <w:color w:val="auto"/>
                      <w:sz w:val="21"/>
                      <w:szCs w:val="21"/>
                    </w:rPr>
                    <w:t>燃油废气</w:t>
                  </w:r>
                </w:p>
              </w:tc>
              <w:tc>
                <w:tcPr>
                  <w:tcW w:w="5815" w:type="dxa"/>
                  <w:tcBorders>
                    <w:tl2br w:val="nil"/>
                    <w:tr2bl w:val="nil"/>
                  </w:tcBorders>
                  <w:noWrap w:val="0"/>
                  <w:tcMar>
                    <w:top w:w="57" w:type="dxa"/>
                    <w:bottom w:w="57" w:type="dxa"/>
                  </w:tcMar>
                  <w:vAlign w:val="center"/>
                </w:tcPr>
                <w:p w14:paraId="2A75988B">
                  <w:pPr>
                    <w:pStyle w:val="3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textAlignment w:val="auto"/>
                    <w:rPr>
                      <w:rFonts w:hint="default" w:cs="Times New Roman"/>
                      <w:color w:val="auto"/>
                    </w:rPr>
                  </w:pPr>
                  <w:r>
                    <w:rPr>
                      <w:rFonts w:hint="eastAsia" w:cs="Times New Roman"/>
                      <w:color w:val="auto"/>
                      <w:sz w:val="21"/>
                      <w:szCs w:val="21"/>
                    </w:rPr>
                    <w:t>对柴油发电机定期维护保养，提高其燃烧效率，减少尾气排放量</w:t>
                  </w:r>
                </w:p>
              </w:tc>
              <w:tc>
                <w:tcPr>
                  <w:tcW w:w="1533" w:type="dxa"/>
                  <w:tcBorders>
                    <w:tl2br w:val="nil"/>
                    <w:tr2bl w:val="nil"/>
                  </w:tcBorders>
                  <w:noWrap w:val="0"/>
                  <w:tcMar>
                    <w:top w:w="57" w:type="dxa"/>
                    <w:bottom w:w="57" w:type="dxa"/>
                  </w:tcMar>
                  <w:vAlign w:val="center"/>
                </w:tcPr>
                <w:p w14:paraId="3C67BEC4">
                  <w:pPr>
                    <w:pStyle w:val="68"/>
                    <w:keepNext w:val="0"/>
                    <w:keepLines w:val="0"/>
                    <w:suppressLineNumbers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1</w:t>
                  </w:r>
                </w:p>
              </w:tc>
            </w:tr>
            <w:tr w14:paraId="276A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tcBorders>
                    <w:tl2br w:val="nil"/>
                    <w:tr2bl w:val="nil"/>
                  </w:tcBorders>
                  <w:noWrap w:val="0"/>
                  <w:tcMar>
                    <w:top w:w="57" w:type="dxa"/>
                    <w:bottom w:w="57" w:type="dxa"/>
                  </w:tcMar>
                  <w:vAlign w:val="center"/>
                </w:tcPr>
                <w:p w14:paraId="65E09E5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废水</w:t>
                  </w:r>
                </w:p>
              </w:tc>
              <w:tc>
                <w:tcPr>
                  <w:tcW w:w="1029" w:type="dxa"/>
                  <w:tcBorders>
                    <w:tl2br w:val="nil"/>
                    <w:tr2bl w:val="nil"/>
                  </w:tcBorders>
                  <w:noWrap w:val="0"/>
                  <w:vAlign w:val="center"/>
                </w:tcPr>
                <w:p w14:paraId="5CCC4F66">
                  <w:pPr>
                    <w:pStyle w:val="6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r>
                    <w:rPr>
                      <w:rFonts w:hint="eastAsia" w:ascii="Times New Roman" w:hAnsi="Times New Roman" w:cs="Times New Roman"/>
                      <w:color w:val="auto"/>
                    </w:rPr>
                    <w:t>生活</w:t>
                  </w:r>
                  <w:r>
                    <w:rPr>
                      <w:rFonts w:hint="eastAsia" w:ascii="Times New Roman" w:hAnsi="Times New Roman" w:cs="Times New Roman"/>
                      <w:color w:val="auto"/>
                      <w:lang w:val="en-US" w:eastAsia="zh-CN"/>
                    </w:rPr>
                    <w:t>污水</w:t>
                  </w:r>
                </w:p>
              </w:tc>
              <w:tc>
                <w:tcPr>
                  <w:tcW w:w="5815" w:type="dxa"/>
                  <w:tcBorders>
                    <w:tl2br w:val="nil"/>
                    <w:tr2bl w:val="nil"/>
                  </w:tcBorders>
                  <w:noWrap w:val="0"/>
                  <w:tcMar>
                    <w:top w:w="57" w:type="dxa"/>
                    <w:bottom w:w="57" w:type="dxa"/>
                  </w:tcMar>
                  <w:vAlign w:val="center"/>
                </w:tcPr>
                <w:p w14:paraId="6D5FA0DA">
                  <w:pPr>
                    <w:pStyle w:val="68"/>
                    <w:keepNext w:val="0"/>
                    <w:keepLines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lang w:val="en-US" w:eastAsia="zh-CN"/>
                    </w:rPr>
                  </w:pP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p>
              </w:tc>
              <w:tc>
                <w:tcPr>
                  <w:tcW w:w="1533" w:type="dxa"/>
                  <w:tcBorders>
                    <w:tl2br w:val="nil"/>
                    <w:tr2bl w:val="nil"/>
                  </w:tcBorders>
                  <w:noWrap w:val="0"/>
                  <w:tcMar>
                    <w:top w:w="57" w:type="dxa"/>
                    <w:bottom w:w="57" w:type="dxa"/>
                  </w:tcMar>
                  <w:vAlign w:val="center"/>
                </w:tcPr>
                <w:p w14:paraId="405469E0">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p>
              </w:tc>
            </w:tr>
            <w:tr w14:paraId="5465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tcBorders>
                    <w:tl2br w:val="nil"/>
                    <w:tr2bl w:val="nil"/>
                  </w:tcBorders>
                  <w:noWrap w:val="0"/>
                  <w:tcMar>
                    <w:top w:w="57" w:type="dxa"/>
                    <w:bottom w:w="57" w:type="dxa"/>
                  </w:tcMar>
                  <w:vAlign w:val="center"/>
                </w:tcPr>
                <w:p w14:paraId="64AE9F67">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噪声</w:t>
                  </w:r>
                </w:p>
              </w:tc>
              <w:tc>
                <w:tcPr>
                  <w:tcW w:w="1029" w:type="dxa"/>
                  <w:tcBorders>
                    <w:tl2br w:val="nil"/>
                    <w:tr2bl w:val="nil"/>
                  </w:tcBorders>
                  <w:noWrap w:val="0"/>
                  <w:vAlign w:val="center"/>
                </w:tcPr>
                <w:p w14:paraId="27307CD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机械噪声</w:t>
                  </w:r>
                </w:p>
              </w:tc>
              <w:tc>
                <w:tcPr>
                  <w:tcW w:w="5815" w:type="dxa"/>
                  <w:tcBorders>
                    <w:tl2br w:val="nil"/>
                    <w:tr2bl w:val="nil"/>
                  </w:tcBorders>
                  <w:noWrap w:val="0"/>
                  <w:tcMar>
                    <w:top w:w="57" w:type="dxa"/>
                    <w:bottom w:w="57" w:type="dxa"/>
                  </w:tcMar>
                  <w:vAlign w:val="center"/>
                </w:tcPr>
                <w:p w14:paraId="217072DD">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对连续接触高噪声源的操作人员，采取相应防护措施</w:t>
                  </w:r>
                </w:p>
              </w:tc>
              <w:tc>
                <w:tcPr>
                  <w:tcW w:w="1533" w:type="dxa"/>
                  <w:tcBorders>
                    <w:tl2br w:val="nil"/>
                    <w:tr2bl w:val="nil"/>
                  </w:tcBorders>
                  <w:noWrap w:val="0"/>
                  <w:tcMar>
                    <w:top w:w="57" w:type="dxa"/>
                    <w:bottom w:w="57" w:type="dxa"/>
                  </w:tcMar>
                  <w:vAlign w:val="center"/>
                </w:tcPr>
                <w:p w14:paraId="64B15F5D">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1</w:t>
                  </w:r>
                </w:p>
              </w:tc>
            </w:tr>
            <w:tr w14:paraId="4064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vMerge w:val="restart"/>
                  <w:tcBorders>
                    <w:tl2br w:val="nil"/>
                    <w:tr2bl w:val="nil"/>
                  </w:tcBorders>
                  <w:noWrap w:val="0"/>
                  <w:tcMar>
                    <w:top w:w="57" w:type="dxa"/>
                    <w:bottom w:w="57" w:type="dxa"/>
                  </w:tcMar>
                  <w:vAlign w:val="center"/>
                </w:tcPr>
                <w:p w14:paraId="3EE94CFB">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固体</w:t>
                  </w:r>
                </w:p>
                <w:p w14:paraId="6E9C1EB9">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废物</w:t>
                  </w:r>
                </w:p>
              </w:tc>
              <w:tc>
                <w:tcPr>
                  <w:tcW w:w="1029" w:type="dxa"/>
                  <w:tcBorders>
                    <w:tl2br w:val="nil"/>
                    <w:tr2bl w:val="nil"/>
                  </w:tcBorders>
                  <w:noWrap w:val="0"/>
                  <w:vAlign w:val="center"/>
                </w:tcPr>
                <w:p w14:paraId="0AA25967">
                  <w:pPr>
                    <w:pStyle w:val="68"/>
                    <w:keepNext w:val="0"/>
                    <w:keepLines w:val="0"/>
                    <w:suppressLineNumbers w:val="0"/>
                    <w:spacing w:before="0" w:beforeAutospacing="0" w:after="0" w:afterAutospacing="0"/>
                    <w:ind w:right="0"/>
                    <w:rPr>
                      <w:rFonts w:hint="eastAsia" w:ascii="Times New Roman" w:hAnsi="Times New Roman" w:eastAsia="宋体" w:cs="Times New Roman"/>
                      <w:color w:val="auto"/>
                      <w:lang w:eastAsia="zh-CN"/>
                    </w:rPr>
                  </w:pPr>
                  <w:r>
                    <w:rPr>
                      <w:rFonts w:hint="eastAsia" w:ascii="Times New Roman" w:hAnsi="Times New Roman" w:cs="Times New Roman"/>
                      <w:color w:val="auto"/>
                    </w:rPr>
                    <w:t>临时</w:t>
                  </w:r>
                  <w:r>
                    <w:rPr>
                      <w:rFonts w:hint="eastAsia" w:ascii="Times New Roman" w:hAnsi="Times New Roman" w:cs="Times New Roman"/>
                      <w:color w:val="auto"/>
                      <w:lang w:val="en-US" w:eastAsia="zh-CN"/>
                    </w:rPr>
                    <w:t>挖方</w:t>
                  </w:r>
                </w:p>
              </w:tc>
              <w:tc>
                <w:tcPr>
                  <w:tcW w:w="5815" w:type="dxa"/>
                  <w:tcBorders>
                    <w:tl2br w:val="nil"/>
                    <w:tr2bl w:val="nil"/>
                  </w:tcBorders>
                  <w:noWrap w:val="0"/>
                  <w:tcMar>
                    <w:top w:w="57" w:type="dxa"/>
                    <w:bottom w:w="57" w:type="dxa"/>
                  </w:tcMar>
                  <w:vAlign w:val="center"/>
                </w:tcPr>
                <w:p w14:paraId="54B9BF77">
                  <w:pPr>
                    <w:pStyle w:val="68"/>
                    <w:keepNext w:val="0"/>
                    <w:keepLines w:val="0"/>
                    <w:suppressLineNumbers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lang w:val="en-US" w:eastAsia="zh-CN"/>
                    </w:rPr>
                    <w:t>槽探</w:t>
                  </w:r>
                  <w:r>
                    <w:rPr>
                      <w:rFonts w:hint="eastAsia" w:ascii="Times New Roman" w:hAnsi="Times New Roman" w:cs="Times New Roman"/>
                      <w:color w:val="auto"/>
                    </w:rPr>
                    <w:t>产生的</w:t>
                  </w:r>
                  <w:r>
                    <w:rPr>
                      <w:rFonts w:hint="default" w:ascii="Times New Roman" w:hAnsi="Times New Roman" w:cs="Times New Roman"/>
                      <w:color w:val="auto"/>
                    </w:rPr>
                    <w:t>临时</w:t>
                  </w:r>
                  <w:r>
                    <w:rPr>
                      <w:rFonts w:hint="eastAsia" w:ascii="Times New Roman" w:hAnsi="Times New Roman" w:cs="Times New Roman"/>
                      <w:color w:val="auto"/>
                      <w:lang w:val="en-US" w:eastAsia="zh-CN"/>
                    </w:rPr>
                    <w:t>挖方</w:t>
                  </w:r>
                  <w:r>
                    <w:rPr>
                      <w:rFonts w:hint="eastAsia" w:ascii="Times New Roman" w:hAnsi="Times New Roman" w:cs="Times New Roman"/>
                      <w:color w:val="auto"/>
                    </w:rPr>
                    <w:t>，采用篷布覆盖暂存</w:t>
                  </w:r>
                </w:p>
              </w:tc>
              <w:tc>
                <w:tcPr>
                  <w:tcW w:w="1533" w:type="dxa"/>
                  <w:tcBorders>
                    <w:tl2br w:val="nil"/>
                    <w:tr2bl w:val="nil"/>
                  </w:tcBorders>
                  <w:noWrap w:val="0"/>
                  <w:tcMar>
                    <w:top w:w="57" w:type="dxa"/>
                    <w:bottom w:w="57" w:type="dxa"/>
                  </w:tcMar>
                  <w:vAlign w:val="center"/>
                </w:tcPr>
                <w:p w14:paraId="52D325C8">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0.5</w:t>
                  </w:r>
                </w:p>
              </w:tc>
            </w:tr>
            <w:tr w14:paraId="3BF6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vMerge w:val="continue"/>
                  <w:tcBorders>
                    <w:tl2br w:val="nil"/>
                    <w:tr2bl w:val="nil"/>
                  </w:tcBorders>
                  <w:noWrap w:val="0"/>
                  <w:tcMar>
                    <w:top w:w="57" w:type="dxa"/>
                    <w:bottom w:w="57" w:type="dxa"/>
                  </w:tcMar>
                  <w:vAlign w:val="center"/>
                </w:tcPr>
                <w:p w14:paraId="7C2C90F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029" w:type="dxa"/>
                  <w:tcBorders>
                    <w:tl2br w:val="nil"/>
                    <w:tr2bl w:val="nil"/>
                  </w:tcBorders>
                  <w:noWrap w:val="0"/>
                  <w:vAlign w:val="center"/>
                </w:tcPr>
                <w:p w14:paraId="442462E2">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生活垃圾</w:t>
                  </w:r>
                </w:p>
              </w:tc>
              <w:tc>
                <w:tcPr>
                  <w:tcW w:w="5815" w:type="dxa"/>
                  <w:tcBorders>
                    <w:tl2br w:val="nil"/>
                    <w:tr2bl w:val="nil"/>
                  </w:tcBorders>
                  <w:noWrap w:val="0"/>
                  <w:tcMar>
                    <w:top w:w="57" w:type="dxa"/>
                    <w:bottom w:w="57" w:type="dxa"/>
                  </w:tcMar>
                  <w:vAlign w:val="center"/>
                </w:tcPr>
                <w:p w14:paraId="1ADEECAA">
                  <w:pPr>
                    <w:pStyle w:val="68"/>
                    <w:keepNext w:val="0"/>
                    <w:keepLines w:val="0"/>
                    <w:suppressLineNumbers w:val="0"/>
                    <w:spacing w:before="0" w:beforeAutospacing="0" w:after="0" w:afterAutospacing="0"/>
                    <w:ind w:right="0"/>
                    <w:jc w:val="both"/>
                    <w:rPr>
                      <w:rFonts w:hint="default" w:ascii="Times New Roman" w:hAnsi="Times New Roman" w:eastAsia="宋体" w:cs="Times New Roman"/>
                      <w:color w:val="auto"/>
                      <w:lang w:val="en-US" w:eastAsia="zh-CN"/>
                    </w:rPr>
                  </w:pPr>
                  <w:r>
                    <w:rPr>
                      <w:rFonts w:hint="eastAsia" w:ascii="Times New Roman" w:hAnsi="Times New Roman" w:cs="Times New Roman"/>
                      <w:color w:val="auto"/>
                      <w:kern w:val="0"/>
                      <w:szCs w:val="21"/>
                      <w:lang w:val="en-US" w:eastAsia="zh-CN"/>
                    </w:rPr>
                    <w:t>生活垃圾采用垃圾袋集中收集后定期清运至</w:t>
                  </w:r>
                  <w:r>
                    <w:rPr>
                      <w:rFonts w:hint="eastAsia" w:cs="Times New Roman"/>
                      <w:color w:val="auto"/>
                      <w:lang w:val="en-US" w:eastAsia="zh-CN"/>
                    </w:rPr>
                    <w:t>就</w:t>
                  </w:r>
                  <w:r>
                    <w:rPr>
                      <w:rFonts w:hint="eastAsia" w:ascii="Times New Roman" w:hAnsi="Times New Roman" w:eastAsia="宋体" w:cs="Times New Roman"/>
                      <w:color w:val="auto"/>
                      <w:lang w:val="en-US" w:eastAsia="zh-CN"/>
                    </w:rPr>
                    <w:t>近</w:t>
                  </w:r>
                  <w:r>
                    <w:rPr>
                      <w:rFonts w:hint="eastAsia" w:ascii="Times New Roman" w:hAnsi="Times New Roman" w:cs="Times New Roman"/>
                      <w:color w:val="auto"/>
                      <w:kern w:val="0"/>
                      <w:szCs w:val="21"/>
                      <w:lang w:val="en-US" w:eastAsia="zh-CN"/>
                    </w:rPr>
                    <w:t>垃圾收集点</w:t>
                  </w:r>
                </w:p>
              </w:tc>
              <w:tc>
                <w:tcPr>
                  <w:tcW w:w="1533" w:type="dxa"/>
                  <w:tcBorders>
                    <w:tl2br w:val="nil"/>
                    <w:tr2bl w:val="nil"/>
                  </w:tcBorders>
                  <w:noWrap w:val="0"/>
                  <w:tcMar>
                    <w:top w:w="57" w:type="dxa"/>
                    <w:bottom w:w="57" w:type="dxa"/>
                  </w:tcMar>
                  <w:vAlign w:val="center"/>
                </w:tcPr>
                <w:p w14:paraId="7CDDA0AD">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0.5</w:t>
                  </w:r>
                </w:p>
              </w:tc>
            </w:tr>
            <w:tr w14:paraId="7B33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582" w:type="dxa"/>
                  <w:vMerge w:val="continue"/>
                  <w:tcBorders>
                    <w:tl2br w:val="nil"/>
                    <w:tr2bl w:val="nil"/>
                  </w:tcBorders>
                  <w:noWrap w:val="0"/>
                  <w:tcMar>
                    <w:top w:w="57" w:type="dxa"/>
                    <w:bottom w:w="57" w:type="dxa"/>
                  </w:tcMar>
                  <w:vAlign w:val="center"/>
                </w:tcPr>
                <w:p w14:paraId="709ABEC4">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1029" w:type="dxa"/>
                  <w:tcBorders>
                    <w:tl2br w:val="nil"/>
                    <w:tr2bl w:val="nil"/>
                  </w:tcBorders>
                  <w:noWrap w:val="0"/>
                  <w:vAlign w:val="center"/>
                </w:tcPr>
                <w:p w14:paraId="0BC07A88">
                  <w:pPr>
                    <w:pStyle w:val="68"/>
                    <w:keepNext w:val="0"/>
                    <w:keepLines w:val="0"/>
                    <w:suppressLineNumbers w:val="0"/>
                    <w:spacing w:before="0" w:beforeAutospacing="0" w:after="0" w:afterAutospacing="0"/>
                    <w:ind w:left="0" w:leftChars="0" w:right="0" w:firstLine="0" w:firstLineChars="0"/>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底泥</w:t>
                  </w:r>
                </w:p>
              </w:tc>
              <w:tc>
                <w:tcPr>
                  <w:tcW w:w="5815" w:type="dxa"/>
                  <w:tcBorders>
                    <w:tl2br w:val="nil"/>
                    <w:tr2bl w:val="nil"/>
                  </w:tcBorders>
                  <w:noWrap w:val="0"/>
                  <w:tcMar>
                    <w:top w:w="57" w:type="dxa"/>
                    <w:bottom w:w="57" w:type="dxa"/>
                  </w:tcMar>
                  <w:vAlign w:val="center"/>
                </w:tcPr>
                <w:p w14:paraId="1F4AE03C">
                  <w:pPr>
                    <w:pStyle w:val="68"/>
                    <w:keepNext w:val="0"/>
                    <w:keepLines w:val="0"/>
                    <w:suppressLineNumbers w:val="0"/>
                    <w:spacing w:before="0" w:beforeAutospacing="0" w:after="0" w:afterAutospacing="0"/>
                    <w:ind w:left="0" w:leftChars="0" w:right="0" w:firstLine="0" w:firstLineChars="0"/>
                    <w:jc w:val="both"/>
                    <w:rPr>
                      <w:rFonts w:hint="eastAsia" w:ascii="Times New Roman" w:hAnsi="Times New Roman" w:cs="Times New Roman"/>
                      <w:color w:val="auto"/>
                    </w:rPr>
                  </w:pPr>
                  <w:r>
                    <w:rPr>
                      <w:rFonts w:hint="default" w:ascii="Times New Roman" w:hAnsi="Times New Roman" w:eastAsia="宋体" w:cs="Times New Roman"/>
                      <w:color w:val="auto"/>
                      <w:lang w:val="en-US" w:eastAsia="zh-CN"/>
                    </w:rPr>
                    <w:t>生活污水一体化处理设施</w:t>
                  </w:r>
                  <w:r>
                    <w:rPr>
                      <w:rFonts w:hint="eastAsia" w:ascii="Times New Roman" w:hAnsi="Times New Roman" w:eastAsia="宋体" w:cs="Times New Roman"/>
                      <w:color w:val="auto"/>
                      <w:lang w:val="en-US" w:eastAsia="zh-CN"/>
                    </w:rPr>
                    <w:t>产生的</w:t>
                  </w:r>
                  <w:r>
                    <w:rPr>
                      <w:rFonts w:hint="default" w:ascii="Times New Roman" w:hAnsi="Times New Roman" w:eastAsia="宋体" w:cs="Times New Roman"/>
                      <w:color w:val="auto"/>
                      <w:lang w:val="en-US" w:eastAsia="zh-CN"/>
                    </w:rPr>
                    <w:t>底泥，定期清掏用于周边植被绿化</w:t>
                  </w:r>
                </w:p>
              </w:tc>
              <w:tc>
                <w:tcPr>
                  <w:tcW w:w="1533" w:type="dxa"/>
                  <w:tcBorders>
                    <w:tl2br w:val="nil"/>
                    <w:tr2bl w:val="nil"/>
                  </w:tcBorders>
                  <w:noWrap w:val="0"/>
                  <w:tcMar>
                    <w:top w:w="57" w:type="dxa"/>
                    <w:bottom w:w="57" w:type="dxa"/>
                  </w:tcMar>
                  <w:vAlign w:val="center"/>
                </w:tcPr>
                <w:p w14:paraId="1091F34A">
                  <w:pPr>
                    <w:pStyle w:val="68"/>
                    <w:keepNext w:val="0"/>
                    <w:keepLines w:val="0"/>
                    <w:suppressLineNumbers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0.5</w:t>
                  </w:r>
                </w:p>
              </w:tc>
            </w:tr>
            <w:tr w14:paraId="160C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1611" w:type="dxa"/>
                  <w:gridSpan w:val="2"/>
                  <w:tcBorders>
                    <w:tl2br w:val="nil"/>
                    <w:tr2bl w:val="nil"/>
                  </w:tcBorders>
                  <w:noWrap w:val="0"/>
                  <w:tcMar>
                    <w:top w:w="57" w:type="dxa"/>
                    <w:bottom w:w="57" w:type="dxa"/>
                  </w:tcMar>
                  <w:vAlign w:val="center"/>
                </w:tcPr>
                <w:p w14:paraId="06FDCBDD">
                  <w:pPr>
                    <w:pStyle w:val="68"/>
                    <w:keepNext w:val="0"/>
                    <w:keepLines w:val="0"/>
                    <w:suppressLineNumbers w:val="0"/>
                    <w:spacing w:before="0" w:beforeAutospacing="0" w:after="0" w:afterAutospacing="0"/>
                    <w:ind w:left="0" w:leftChars="0" w:right="0" w:firstLine="0" w:firstLineChars="0"/>
                    <w:rPr>
                      <w:rFonts w:hint="eastAsia" w:ascii="Times New Roman" w:hAnsi="Times New Roman" w:cs="Times New Roman"/>
                      <w:color w:val="auto"/>
                      <w:highlight w:val="none"/>
                      <w:shd w:val="clear" w:color="auto" w:fill="FFFFFF"/>
                      <w:lang w:val="en-US" w:eastAsia="zh-CN"/>
                    </w:rPr>
                  </w:pPr>
                  <w:r>
                    <w:rPr>
                      <w:rFonts w:hint="eastAsia" w:ascii="Times New Roman" w:hAnsi="Times New Roman" w:cs="Times New Roman"/>
                      <w:color w:val="auto"/>
                      <w:highlight w:val="none"/>
                      <w:shd w:val="clear" w:color="auto" w:fill="FFFFFF"/>
                      <w:lang w:val="en-US" w:eastAsia="zh-CN"/>
                    </w:rPr>
                    <w:t>环境风险预防措施</w:t>
                  </w:r>
                </w:p>
              </w:tc>
              <w:tc>
                <w:tcPr>
                  <w:tcW w:w="5815" w:type="dxa"/>
                  <w:tcBorders>
                    <w:tl2br w:val="nil"/>
                    <w:tr2bl w:val="nil"/>
                  </w:tcBorders>
                  <w:noWrap w:val="0"/>
                  <w:tcMar>
                    <w:top w:w="57" w:type="dxa"/>
                    <w:bottom w:w="57" w:type="dxa"/>
                  </w:tcMar>
                  <w:vAlign w:val="center"/>
                </w:tcPr>
                <w:p w14:paraId="2E87463D">
                  <w:pPr>
                    <w:pStyle w:val="68"/>
                    <w:keepNext w:val="0"/>
                    <w:keepLines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rPr>
                    <w:t>加强对风险物质的管理，</w:t>
                  </w:r>
                  <w:r>
                    <w:rPr>
                      <w:rFonts w:hint="eastAsia" w:ascii="Times New Roman" w:hAnsi="Times New Roman" w:cs="Times New Roman"/>
                      <w:color w:val="auto"/>
                      <w:lang w:val="en-US" w:eastAsia="zh-CN"/>
                    </w:rPr>
                    <w:t>配备防泄漏工具</w:t>
                  </w:r>
                  <w:r>
                    <w:rPr>
                      <w:rFonts w:hint="eastAsia" w:cs="Times New Roman"/>
                      <w:color w:val="auto"/>
                      <w:lang w:val="en-US" w:eastAsia="zh-CN"/>
                    </w:rPr>
                    <w:t>，</w:t>
                  </w:r>
                  <w:r>
                    <w:rPr>
                      <w:rFonts w:hint="eastAsia" w:ascii="Times New Roman" w:hAnsi="Times New Roman" w:cs="Times New Roman"/>
                      <w:color w:val="auto"/>
                    </w:rPr>
                    <w:t>规范员工的操作规程</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定期巡检</w:t>
                  </w:r>
                </w:p>
              </w:tc>
              <w:tc>
                <w:tcPr>
                  <w:tcW w:w="1533" w:type="dxa"/>
                  <w:tcBorders>
                    <w:tl2br w:val="nil"/>
                    <w:tr2bl w:val="nil"/>
                  </w:tcBorders>
                  <w:noWrap w:val="0"/>
                  <w:tcMar>
                    <w:top w:w="57" w:type="dxa"/>
                    <w:bottom w:w="57" w:type="dxa"/>
                  </w:tcMar>
                  <w:vAlign w:val="center"/>
                </w:tcPr>
                <w:p w14:paraId="047146FC">
                  <w:pPr>
                    <w:pStyle w:val="68"/>
                    <w:keepNext w:val="0"/>
                    <w:keepLines w:val="0"/>
                    <w:suppressLineNumbers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1</w:t>
                  </w:r>
                </w:p>
              </w:tc>
            </w:tr>
            <w:tr w14:paraId="019A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1611" w:type="dxa"/>
                  <w:gridSpan w:val="2"/>
                  <w:tcBorders>
                    <w:tl2br w:val="nil"/>
                    <w:tr2bl w:val="nil"/>
                  </w:tcBorders>
                  <w:noWrap w:val="0"/>
                  <w:tcMar>
                    <w:top w:w="57" w:type="dxa"/>
                    <w:bottom w:w="57" w:type="dxa"/>
                  </w:tcMar>
                  <w:vAlign w:val="center"/>
                </w:tcPr>
                <w:p w14:paraId="5DA6926C">
                  <w:pPr>
                    <w:pStyle w:val="68"/>
                    <w:keepNext w:val="0"/>
                    <w:keepLines w:val="0"/>
                    <w:suppressLineNumbers w:val="0"/>
                    <w:spacing w:before="0" w:beforeAutospacing="0" w:after="0" w:afterAutospacing="0"/>
                    <w:ind w:left="0" w:leftChars="0" w:right="0" w:firstLine="0" w:firstLineChars="0"/>
                    <w:rPr>
                      <w:rFonts w:hint="eastAsia" w:ascii="Times New Roman" w:hAnsi="Times New Roman" w:cs="Times New Roman"/>
                      <w:color w:val="auto"/>
                      <w:highlight w:val="none"/>
                      <w:shd w:val="clear" w:color="auto" w:fill="FFFFFF"/>
                      <w:lang w:val="en-US" w:eastAsia="zh-CN"/>
                    </w:rPr>
                  </w:pPr>
                  <w:r>
                    <w:rPr>
                      <w:rFonts w:hint="eastAsia" w:ascii="Times New Roman" w:hAnsi="Times New Roman" w:cs="Times New Roman"/>
                      <w:lang w:val="en-US" w:eastAsia="zh-CN"/>
                    </w:rPr>
                    <w:t>服务期满后，土地复垦等措施</w:t>
                  </w:r>
                </w:p>
              </w:tc>
              <w:tc>
                <w:tcPr>
                  <w:tcW w:w="5815" w:type="dxa"/>
                  <w:tcBorders>
                    <w:tl2br w:val="nil"/>
                    <w:tr2bl w:val="nil"/>
                  </w:tcBorders>
                  <w:noWrap w:val="0"/>
                  <w:tcMar>
                    <w:top w:w="57" w:type="dxa"/>
                    <w:bottom w:w="57" w:type="dxa"/>
                  </w:tcMar>
                  <w:vAlign w:val="center"/>
                </w:tcPr>
                <w:p w14:paraId="1147A062">
                  <w:pPr>
                    <w:pStyle w:val="68"/>
                    <w:keepNext w:val="0"/>
                    <w:keepLines w:val="0"/>
                    <w:suppressLineNumbers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eastAsia" w:ascii="Times New Roman" w:hAnsi="Times New Roman" w:cs="Times New Roman"/>
                      <w:color w:val="auto"/>
                    </w:rPr>
                    <w:t>严格按照土地复垦要求，</w:t>
                  </w:r>
                  <w:r>
                    <w:rPr>
                      <w:rFonts w:hint="default" w:ascii="Times New Roman" w:hAnsi="Times New Roman" w:cs="Times New Roman"/>
                      <w:color w:val="auto"/>
                    </w:rPr>
                    <w:t>对场内临时工程拆除、清理及场地平整</w:t>
                  </w:r>
                  <w:r>
                    <w:rPr>
                      <w:rFonts w:hint="eastAsia" w:cs="Times New Roman"/>
                      <w:color w:val="auto"/>
                      <w:lang w:eastAsia="zh-CN"/>
                    </w:rPr>
                    <w:t>，</w:t>
                  </w:r>
                  <w:r>
                    <w:rPr>
                      <w:rFonts w:hint="eastAsia" w:ascii="Times New Roman" w:hAnsi="Times New Roman" w:cs="Times New Roman"/>
                      <w:color w:val="auto"/>
                    </w:rPr>
                    <w:t>对探矿区复垦情况进行监督管理</w:t>
                  </w:r>
                </w:p>
              </w:tc>
              <w:tc>
                <w:tcPr>
                  <w:tcW w:w="1533" w:type="dxa"/>
                  <w:tcBorders>
                    <w:tl2br w:val="nil"/>
                    <w:tr2bl w:val="nil"/>
                  </w:tcBorders>
                  <w:noWrap w:val="0"/>
                  <w:tcMar>
                    <w:top w:w="57" w:type="dxa"/>
                    <w:bottom w:w="57" w:type="dxa"/>
                  </w:tcMar>
                  <w:vAlign w:val="center"/>
                </w:tcPr>
                <w:p w14:paraId="7714BF98">
                  <w:pPr>
                    <w:pStyle w:val="68"/>
                    <w:keepNext w:val="0"/>
                    <w:keepLines w:val="0"/>
                    <w:suppressLineNumbers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2</w:t>
                  </w:r>
                </w:p>
              </w:tc>
            </w:tr>
            <w:tr w14:paraId="0265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1611" w:type="dxa"/>
                  <w:gridSpan w:val="2"/>
                  <w:tcBorders>
                    <w:tl2br w:val="nil"/>
                    <w:tr2bl w:val="nil"/>
                  </w:tcBorders>
                  <w:noWrap w:val="0"/>
                  <w:tcMar>
                    <w:top w:w="57" w:type="dxa"/>
                    <w:bottom w:w="57" w:type="dxa"/>
                  </w:tcMar>
                  <w:vAlign w:val="center"/>
                </w:tcPr>
                <w:p w14:paraId="56FF4D6F">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cs="Times New Roman"/>
                      <w:color w:val="auto"/>
                      <w:lang w:eastAsia="zh-CN"/>
                    </w:rPr>
                    <w:t>其他</w:t>
                  </w:r>
                </w:p>
              </w:tc>
              <w:tc>
                <w:tcPr>
                  <w:tcW w:w="5815" w:type="dxa"/>
                  <w:tcBorders>
                    <w:tl2br w:val="nil"/>
                    <w:tr2bl w:val="nil"/>
                  </w:tcBorders>
                  <w:noWrap w:val="0"/>
                  <w:tcMar>
                    <w:top w:w="57" w:type="dxa"/>
                    <w:bottom w:w="57" w:type="dxa"/>
                  </w:tcMar>
                  <w:vAlign w:val="center"/>
                </w:tcPr>
                <w:p w14:paraId="456D3D54">
                  <w:pPr>
                    <w:pStyle w:val="68"/>
                    <w:keepNext w:val="0"/>
                    <w:keepLines w:val="0"/>
                    <w:suppressLineNumbers w:val="0"/>
                    <w:spacing w:before="0" w:beforeAutospacing="0" w:after="0" w:afterAutospacing="0"/>
                    <w:ind w:right="0"/>
                    <w:jc w:val="both"/>
                    <w:rPr>
                      <w:rFonts w:hint="default" w:ascii="Times New Roman" w:hAnsi="Times New Roman" w:cs="Times New Roman"/>
                      <w:color w:val="auto"/>
                    </w:rPr>
                  </w:pPr>
                  <w:r>
                    <w:rPr>
                      <w:rFonts w:hint="default" w:ascii="Times New Roman" w:hAnsi="Times New Roman" w:cs="Times New Roman"/>
                      <w:color w:val="auto"/>
                    </w:rPr>
                    <w:t>加强环境管理，对作业人员开展生态环境保护宣传教育</w:t>
                  </w:r>
                </w:p>
              </w:tc>
              <w:tc>
                <w:tcPr>
                  <w:tcW w:w="1533" w:type="dxa"/>
                  <w:tcBorders>
                    <w:tl2br w:val="nil"/>
                    <w:tr2bl w:val="nil"/>
                  </w:tcBorders>
                  <w:noWrap w:val="0"/>
                  <w:tcMar>
                    <w:top w:w="57" w:type="dxa"/>
                    <w:bottom w:w="57" w:type="dxa"/>
                  </w:tcMar>
                  <w:vAlign w:val="center"/>
                </w:tcPr>
                <w:p w14:paraId="3FC40FAD">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1</w:t>
                  </w:r>
                </w:p>
              </w:tc>
            </w:tr>
            <w:tr w14:paraId="58C7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cantSplit/>
                <w:trHeight w:val="283" w:hRule="atLeast"/>
                <w:jc w:val="center"/>
              </w:trPr>
              <w:tc>
                <w:tcPr>
                  <w:tcW w:w="7426" w:type="dxa"/>
                  <w:gridSpan w:val="3"/>
                  <w:tcBorders>
                    <w:tl2br w:val="nil"/>
                    <w:tr2bl w:val="nil"/>
                  </w:tcBorders>
                  <w:noWrap w:val="0"/>
                  <w:vAlign w:val="top"/>
                </w:tcPr>
                <w:p w14:paraId="0ED7B7F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合计</w:t>
                  </w:r>
                </w:p>
              </w:tc>
              <w:tc>
                <w:tcPr>
                  <w:tcW w:w="1533" w:type="dxa"/>
                  <w:tcBorders>
                    <w:tl2br w:val="nil"/>
                    <w:tr2bl w:val="nil"/>
                  </w:tcBorders>
                  <w:noWrap w:val="0"/>
                  <w:tcMar>
                    <w:top w:w="57" w:type="dxa"/>
                    <w:bottom w:w="57" w:type="dxa"/>
                  </w:tcMar>
                  <w:vAlign w:val="center"/>
                </w:tcPr>
                <w:p w14:paraId="260042C8">
                  <w:pPr>
                    <w:pStyle w:val="68"/>
                    <w:keepNext w:val="0"/>
                    <w:keepLines w:val="0"/>
                    <w:suppressLineNumbers w:val="0"/>
                    <w:spacing w:before="0" w:beforeAutospacing="0" w:after="0" w:afterAutospacing="0"/>
                    <w:ind w:right="0"/>
                    <w:rPr>
                      <w:rFonts w:hint="default" w:ascii="Times New Roman" w:hAnsi="Times New Roman" w:eastAsia="宋体" w:cs="Times New Roman"/>
                      <w:color w:val="auto"/>
                      <w:lang w:val="en-US" w:eastAsia="zh-CN"/>
                    </w:rPr>
                  </w:pPr>
                  <w:r>
                    <w:rPr>
                      <w:rFonts w:hint="eastAsia" w:cs="Times New Roman"/>
                      <w:color w:val="auto"/>
                      <w:lang w:val="en-US" w:eastAsia="zh-CN"/>
                    </w:rPr>
                    <w:t>10</w:t>
                  </w:r>
                </w:p>
              </w:tc>
            </w:tr>
          </w:tbl>
          <w:p w14:paraId="1E402116">
            <w:pPr>
              <w:keepNext w:val="0"/>
              <w:keepLines w:val="0"/>
              <w:suppressLineNumbers w:val="0"/>
              <w:spacing w:before="0" w:beforeAutospacing="0" w:after="0" w:afterAutospacing="0"/>
              <w:ind w:left="0" w:leftChars="0" w:right="0" w:firstLine="0" w:firstLineChars="0"/>
              <w:rPr>
                <w:rFonts w:hint="eastAsia" w:ascii="Times New Roman" w:hAnsi="Times New Roman" w:cs="Times New Roman"/>
                <w:color w:val="auto"/>
                <w:szCs w:val="32"/>
              </w:rPr>
            </w:pPr>
          </w:p>
        </w:tc>
      </w:tr>
    </w:tbl>
    <w:p w14:paraId="4481F65F">
      <w:pPr>
        <w:pStyle w:val="2"/>
        <w:rPr>
          <w:rFonts w:hint="eastAsia"/>
          <w:snapToGrid w:val="0"/>
          <w:color w:val="auto"/>
        </w:rPr>
        <w:sectPr>
          <w:footerReference r:id="rId12"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4701014">
      <w:pPr>
        <w:pStyle w:val="2"/>
        <w:rPr>
          <w:snapToGrid w:val="0"/>
          <w:color w:val="auto"/>
        </w:rPr>
      </w:pPr>
      <w:r>
        <w:rPr>
          <w:rFonts w:hint="eastAsia"/>
          <w:snapToGrid w:val="0"/>
          <w:color w:val="auto"/>
        </w:rPr>
        <w:t>六、</w:t>
      </w:r>
      <w:bookmarkStart w:id="20" w:name="_Hlk54167917"/>
      <w:r>
        <w:rPr>
          <w:rFonts w:hint="eastAsia"/>
          <w:snapToGrid w:val="0"/>
          <w:color w:val="auto"/>
        </w:rPr>
        <w:t>生态环境保护措施监督检查清单</w:t>
      </w:r>
      <w:bookmarkEnd w:id="20"/>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2126"/>
        <w:gridCol w:w="2268"/>
        <w:gridCol w:w="1559"/>
        <w:gridCol w:w="1309"/>
      </w:tblGrid>
      <w:tr w14:paraId="40DDAE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538" w:type="dxa"/>
            <w:vMerge w:val="restart"/>
            <w:tcBorders>
              <w:tl2br w:val="single" w:color="auto" w:sz="4" w:space="0"/>
            </w:tcBorders>
            <w:noWrap w:val="0"/>
            <w:vAlign w:val="top"/>
          </w:tcPr>
          <w:p w14:paraId="6281F55E">
            <w:pPr>
              <w:pStyle w:val="68"/>
              <w:keepNext w:val="0"/>
              <w:keepLines w:val="0"/>
              <w:suppressLineNumbers w:val="0"/>
              <w:spacing w:before="0" w:beforeAutospacing="0" w:after="0" w:afterAutospacing="0"/>
              <w:ind w:right="0"/>
              <w:rPr>
                <w:rFonts w:hint="default" w:ascii="Times New Roman" w:hAnsi="Times New Roman" w:cs="Times New Roman"/>
                <w:color w:val="auto"/>
              </w:rPr>
            </w:pPr>
            <w:r>
              <w:rPr>
                <w:rFonts w:hint="eastAsia" w:ascii="Times New Roman" w:hAnsi="Times New Roman" w:cs="Times New Roman"/>
                <w:color w:val="auto"/>
              </w:rPr>
              <w:t xml:space="preserve"> </w:t>
            </w:r>
            <w:r>
              <w:rPr>
                <w:rFonts w:hint="default" w:ascii="Times New Roman" w:hAnsi="Times New Roman" w:cs="Times New Roman"/>
                <w:color w:val="auto"/>
              </w:rPr>
              <w:t xml:space="preserve">    </w:t>
            </w:r>
            <w:r>
              <w:rPr>
                <w:rFonts w:hint="eastAsia" w:ascii="Times New Roman" w:hAnsi="Times New Roman" w:cs="Times New Roman"/>
                <w:color w:val="auto"/>
              </w:rPr>
              <w:t>内容</w:t>
            </w:r>
          </w:p>
          <w:p w14:paraId="555E2004">
            <w:pPr>
              <w:pStyle w:val="68"/>
              <w:keepNext w:val="0"/>
              <w:keepLines w:val="0"/>
              <w:suppressLineNumbers w:val="0"/>
              <w:spacing w:before="0" w:beforeAutospacing="0" w:after="0" w:afterAutospacing="0"/>
              <w:ind w:right="0"/>
              <w:rPr>
                <w:rFonts w:hint="default" w:ascii="Times New Roman" w:hAnsi="Times New Roman" w:cs="Times New Roman"/>
                <w:color w:val="auto"/>
              </w:rPr>
            </w:pPr>
          </w:p>
          <w:p w14:paraId="4EE343DE">
            <w:pPr>
              <w:pStyle w:val="68"/>
              <w:keepNext w:val="0"/>
              <w:keepLines w:val="0"/>
              <w:suppressLineNumbers w:val="0"/>
              <w:spacing w:before="0" w:beforeAutospacing="0" w:after="0" w:afterAutospacing="0"/>
              <w:ind w:right="0"/>
              <w:jc w:val="both"/>
              <w:rPr>
                <w:rFonts w:hint="eastAsia" w:ascii="Times New Roman" w:hAnsi="Times New Roman" w:cs="Times New Roman"/>
                <w:color w:val="auto"/>
              </w:rPr>
            </w:pPr>
            <w:r>
              <w:rPr>
                <w:rFonts w:hint="eastAsia" w:ascii="Times New Roman" w:hAnsi="Times New Roman" w:cs="Times New Roman"/>
                <w:color w:val="auto"/>
              </w:rPr>
              <w:t>要素</w:t>
            </w:r>
          </w:p>
        </w:tc>
        <w:tc>
          <w:tcPr>
            <w:tcW w:w="4394" w:type="dxa"/>
            <w:gridSpan w:val="2"/>
            <w:noWrap w:val="0"/>
            <w:vAlign w:val="center"/>
          </w:tcPr>
          <w:p w14:paraId="1FCB1DCF">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施工期</w:t>
            </w:r>
          </w:p>
        </w:tc>
        <w:tc>
          <w:tcPr>
            <w:tcW w:w="2868" w:type="dxa"/>
            <w:gridSpan w:val="2"/>
            <w:noWrap w:val="0"/>
            <w:vAlign w:val="center"/>
          </w:tcPr>
          <w:p w14:paraId="4415DCBE">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运营期</w:t>
            </w:r>
          </w:p>
        </w:tc>
      </w:tr>
      <w:tr w14:paraId="0FC9B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538" w:type="dxa"/>
            <w:vMerge w:val="continue"/>
            <w:tcBorders>
              <w:tl2br w:val="single" w:color="auto" w:sz="4" w:space="0"/>
            </w:tcBorders>
            <w:noWrap w:val="0"/>
            <w:vAlign w:val="top"/>
          </w:tcPr>
          <w:p w14:paraId="7AD91498">
            <w:pPr>
              <w:pStyle w:val="68"/>
              <w:keepNext w:val="0"/>
              <w:keepLines w:val="0"/>
              <w:suppressLineNumbers w:val="0"/>
              <w:spacing w:before="0" w:beforeAutospacing="0" w:after="0" w:afterAutospacing="0"/>
              <w:ind w:right="0"/>
              <w:rPr>
                <w:rFonts w:hint="eastAsia" w:ascii="宋体" w:hAnsi="宋体" w:cs="宋体"/>
                <w:color w:val="auto"/>
                <w:szCs w:val="21"/>
              </w:rPr>
            </w:pPr>
          </w:p>
        </w:tc>
        <w:tc>
          <w:tcPr>
            <w:tcW w:w="2126" w:type="dxa"/>
            <w:noWrap w:val="0"/>
            <w:vAlign w:val="center"/>
          </w:tcPr>
          <w:p w14:paraId="706D6C3A">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环境保护措施</w:t>
            </w:r>
          </w:p>
        </w:tc>
        <w:tc>
          <w:tcPr>
            <w:tcW w:w="2268" w:type="dxa"/>
            <w:noWrap w:val="0"/>
            <w:vAlign w:val="center"/>
          </w:tcPr>
          <w:p w14:paraId="601E734B">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验收要求</w:t>
            </w:r>
          </w:p>
        </w:tc>
        <w:tc>
          <w:tcPr>
            <w:tcW w:w="1559" w:type="dxa"/>
            <w:noWrap w:val="0"/>
            <w:vAlign w:val="center"/>
          </w:tcPr>
          <w:p w14:paraId="305FD9D1">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环境保护措施</w:t>
            </w:r>
          </w:p>
        </w:tc>
        <w:tc>
          <w:tcPr>
            <w:tcW w:w="1309" w:type="dxa"/>
            <w:noWrap w:val="0"/>
            <w:vAlign w:val="center"/>
          </w:tcPr>
          <w:p w14:paraId="1D71A6F8">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验收要求</w:t>
            </w:r>
          </w:p>
        </w:tc>
      </w:tr>
      <w:tr w14:paraId="38FF2B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551FB9AC">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陆生生态</w:t>
            </w:r>
          </w:p>
        </w:tc>
        <w:tc>
          <w:tcPr>
            <w:tcW w:w="2126" w:type="dxa"/>
            <w:noWrap w:val="0"/>
            <w:vAlign w:val="center"/>
          </w:tcPr>
          <w:p w14:paraId="6A099074">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default" w:ascii="Times New Roman" w:hAnsi="Times New Roman" w:cs="Times New Roman"/>
                <w:color w:val="auto"/>
              </w:rPr>
              <w:t>施工期间在项目用地范围内施工，严禁超范围施工，注意对</w:t>
            </w:r>
            <w:r>
              <w:rPr>
                <w:rFonts w:hint="eastAsia" w:ascii="Times New Roman" w:hAnsi="Times New Roman" w:cs="Times New Roman"/>
                <w:color w:val="auto"/>
              </w:rPr>
              <w:t>项目周围</w:t>
            </w:r>
            <w:r>
              <w:rPr>
                <w:rFonts w:hint="default" w:ascii="Times New Roman" w:hAnsi="Times New Roman" w:cs="Times New Roman"/>
                <w:color w:val="auto"/>
              </w:rPr>
              <w:t>植被的保护，施工结束后及时采取工程和植物措施对临时用地进行迹地恢复</w:t>
            </w:r>
          </w:p>
        </w:tc>
        <w:tc>
          <w:tcPr>
            <w:tcW w:w="2268" w:type="dxa"/>
            <w:noWrap w:val="0"/>
            <w:vAlign w:val="center"/>
          </w:tcPr>
          <w:p w14:paraId="74FD506C">
            <w:pPr>
              <w:pStyle w:val="68"/>
              <w:keepNext w:val="0"/>
              <w:keepLines w:val="0"/>
              <w:suppressLineNumbers w:val="0"/>
              <w:spacing w:before="0" w:beforeAutospacing="0" w:after="0" w:afterAutospacing="0"/>
              <w:ind w:right="0"/>
              <w:rPr>
                <w:rFonts w:hint="eastAsia" w:ascii="Times New Roman" w:hAnsi="Times New Roman" w:cs="宋体"/>
                <w:color w:val="auto"/>
              </w:rPr>
            </w:pPr>
            <w:r>
              <w:rPr>
                <w:rFonts w:hint="default" w:ascii="Times New Roman" w:hAnsi="Times New Roman" w:cs="Times New Roman"/>
                <w:color w:val="auto"/>
              </w:rPr>
              <w:t>严格限制施工作业范围，禁止破坏施工作业外的地表植被，临时占地复垦到原状态</w:t>
            </w:r>
          </w:p>
        </w:tc>
        <w:tc>
          <w:tcPr>
            <w:tcW w:w="1559" w:type="dxa"/>
            <w:noWrap w:val="0"/>
            <w:vAlign w:val="center"/>
          </w:tcPr>
          <w:p w14:paraId="30449E4F">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w:t>
            </w:r>
          </w:p>
        </w:tc>
        <w:tc>
          <w:tcPr>
            <w:tcW w:w="1309" w:type="dxa"/>
            <w:noWrap w:val="0"/>
            <w:vAlign w:val="center"/>
          </w:tcPr>
          <w:p w14:paraId="65DA2323">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w:t>
            </w:r>
          </w:p>
        </w:tc>
      </w:tr>
      <w:tr w14:paraId="5FF29F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3A404318">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水生生态</w:t>
            </w:r>
          </w:p>
        </w:tc>
        <w:tc>
          <w:tcPr>
            <w:tcW w:w="2126" w:type="dxa"/>
            <w:noWrap w:val="0"/>
            <w:vAlign w:val="center"/>
          </w:tcPr>
          <w:p w14:paraId="3D131794">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2268" w:type="dxa"/>
            <w:noWrap w:val="0"/>
            <w:vAlign w:val="center"/>
          </w:tcPr>
          <w:p w14:paraId="30FCF54A">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559" w:type="dxa"/>
            <w:noWrap w:val="0"/>
            <w:vAlign w:val="center"/>
          </w:tcPr>
          <w:p w14:paraId="123016F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35FF168F">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489B7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22BEF263">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地表水环境</w:t>
            </w:r>
          </w:p>
        </w:tc>
        <w:tc>
          <w:tcPr>
            <w:tcW w:w="2126" w:type="dxa"/>
            <w:noWrap w:val="0"/>
            <w:vAlign w:val="center"/>
          </w:tcPr>
          <w:p w14:paraId="249C4D30">
            <w:pPr>
              <w:pStyle w:val="68"/>
              <w:keepNext w:val="0"/>
              <w:keepLines w:val="0"/>
              <w:suppressLineNumbers w:val="0"/>
              <w:spacing w:before="0" w:beforeAutospacing="0" w:after="0" w:afterAutospacing="0"/>
              <w:ind w:left="0" w:leftChars="0" w:right="0" w:firstLine="0" w:firstLineChars="0"/>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lang w:val="en-US" w:eastAsia="zh-CN"/>
              </w:rPr>
              <w:t>生活污水一体化处理设施</w:t>
            </w:r>
          </w:p>
        </w:tc>
        <w:tc>
          <w:tcPr>
            <w:tcW w:w="2268" w:type="dxa"/>
            <w:noWrap w:val="0"/>
            <w:vAlign w:val="center"/>
          </w:tcPr>
          <w:p w14:paraId="0F31AC84">
            <w:pPr>
              <w:pStyle w:val="68"/>
              <w:keepNext w:val="0"/>
              <w:keepLines w:val="0"/>
              <w:suppressLineNumbers w:val="0"/>
              <w:spacing w:before="0" w:beforeAutospacing="0" w:after="0" w:afterAutospacing="0"/>
              <w:ind w:left="0" w:leftChars="0" w:right="0" w:firstLine="0" w:firstLineChars="0"/>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cs="Times New Roman"/>
                <w:lang w:val="en-US" w:eastAsia="zh-CN"/>
              </w:rPr>
              <w:t>生活污水进入</w:t>
            </w:r>
            <w:r>
              <w:rPr>
                <w:rFonts w:hint="eastAsia" w:ascii="Times New Roman" w:hAnsi="Times New Roman" w:cs="Times New Roman"/>
                <w:lang w:val="en-US" w:eastAsia="zh-CN"/>
              </w:rPr>
              <w:t>一体化处理设施</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处理</w:t>
            </w:r>
            <w:r>
              <w:rPr>
                <w:rFonts w:hint="eastAsia" w:ascii="Times New Roman" w:hAnsi="Times New Roman" w:cs="Times New Roman"/>
                <w:highlight w:val="none"/>
                <w:lang w:val="en-US" w:eastAsia="zh-CN"/>
              </w:rPr>
              <w:t>后用于草地灌溉</w:t>
            </w:r>
          </w:p>
        </w:tc>
        <w:tc>
          <w:tcPr>
            <w:tcW w:w="1559" w:type="dxa"/>
            <w:noWrap w:val="0"/>
            <w:vAlign w:val="center"/>
          </w:tcPr>
          <w:p w14:paraId="628A944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518A7528">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4B857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3B5CFA5A">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地下水及土壤环境</w:t>
            </w:r>
          </w:p>
        </w:tc>
        <w:tc>
          <w:tcPr>
            <w:tcW w:w="2126" w:type="dxa"/>
            <w:noWrap w:val="0"/>
            <w:vAlign w:val="center"/>
          </w:tcPr>
          <w:p w14:paraId="6861EF9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2268" w:type="dxa"/>
            <w:noWrap w:val="0"/>
            <w:vAlign w:val="center"/>
          </w:tcPr>
          <w:p w14:paraId="63FB6B8B">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559" w:type="dxa"/>
            <w:noWrap w:val="0"/>
            <w:vAlign w:val="center"/>
          </w:tcPr>
          <w:p w14:paraId="53242C0B">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79FAE4B0">
            <w:pPr>
              <w:pStyle w:val="68"/>
              <w:keepNext w:val="0"/>
              <w:keepLines w:val="0"/>
              <w:suppressLineNumbers w:val="0"/>
              <w:spacing w:before="0" w:beforeAutospacing="0" w:after="0" w:afterAutospacing="0"/>
              <w:ind w:right="0"/>
              <w:rPr>
                <w:rFonts w:hint="eastAsia" w:ascii="宋体" w:hAnsi="宋体" w:eastAsia="宋体" w:cs="宋体"/>
                <w:color w:val="auto"/>
                <w:szCs w:val="21"/>
                <w:lang w:val="en-US" w:eastAsia="zh-CN"/>
              </w:rPr>
            </w:pPr>
            <w:r>
              <w:rPr>
                <w:rFonts w:hint="eastAsia" w:ascii="宋体" w:hAnsi="宋体" w:cs="宋体"/>
                <w:color w:val="auto"/>
                <w:szCs w:val="21"/>
                <w:lang w:val="en-US" w:eastAsia="zh-CN"/>
              </w:rPr>
              <w:t>/</w:t>
            </w:r>
          </w:p>
        </w:tc>
      </w:tr>
      <w:tr w14:paraId="7E349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19E961C2">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声环境</w:t>
            </w:r>
          </w:p>
        </w:tc>
        <w:tc>
          <w:tcPr>
            <w:tcW w:w="2126" w:type="dxa"/>
            <w:noWrap w:val="0"/>
            <w:vAlign w:val="center"/>
          </w:tcPr>
          <w:p w14:paraId="7D07C980">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Times New Roman" w:hAnsi="Times New Roman" w:cs="Times New Roman"/>
                <w:color w:val="auto"/>
                <w:szCs w:val="21"/>
              </w:rPr>
              <w:t>夜间应禁止施工作业；合理进行施工总平布置；采用低噪声设备并做好施工机械的保养和维护；对高噪声设备采取隔声措施</w:t>
            </w:r>
          </w:p>
        </w:tc>
        <w:tc>
          <w:tcPr>
            <w:tcW w:w="2268" w:type="dxa"/>
            <w:noWrap w:val="0"/>
            <w:vAlign w:val="center"/>
          </w:tcPr>
          <w:p w14:paraId="56231FC6">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Times New Roman" w:hAnsi="Times New Roman" w:eastAsia="宋体" w:cs="Times New Roman"/>
                <w:b w:val="0"/>
                <w:bCs w:val="0"/>
                <w:color w:val="auto"/>
                <w:highlight w:val="none"/>
                <w:lang w:val="en-US" w:eastAsia="zh-CN"/>
              </w:rPr>
              <w:t>《建筑施工噪声排放标准》（GB12523—2025）中</w:t>
            </w:r>
            <w:r>
              <w:rPr>
                <w:rFonts w:hint="eastAsia" w:cs="Times New Roman"/>
                <w:b w:val="0"/>
                <w:bCs w:val="0"/>
                <w:color w:val="auto"/>
                <w:highlight w:val="none"/>
                <w:lang w:val="en-US" w:eastAsia="zh-CN"/>
              </w:rPr>
              <w:t>表1</w:t>
            </w:r>
            <w:r>
              <w:rPr>
                <w:rFonts w:hint="eastAsia" w:ascii="Times New Roman" w:hAnsi="Times New Roman" w:eastAsia="宋体" w:cs="Times New Roman"/>
                <w:b w:val="0"/>
                <w:bCs w:val="0"/>
                <w:color w:val="auto"/>
                <w:highlight w:val="none"/>
                <w:lang w:val="en-US" w:eastAsia="zh-CN"/>
              </w:rPr>
              <w:t>的标准</w:t>
            </w:r>
          </w:p>
        </w:tc>
        <w:tc>
          <w:tcPr>
            <w:tcW w:w="1559" w:type="dxa"/>
            <w:noWrap w:val="0"/>
            <w:vAlign w:val="center"/>
          </w:tcPr>
          <w:p w14:paraId="41643FD3">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116D0DCD">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0A038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2E9F6DE0">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振动</w:t>
            </w:r>
          </w:p>
        </w:tc>
        <w:tc>
          <w:tcPr>
            <w:tcW w:w="2126" w:type="dxa"/>
            <w:noWrap w:val="0"/>
            <w:vAlign w:val="center"/>
          </w:tcPr>
          <w:p w14:paraId="7B1E3EA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2268" w:type="dxa"/>
            <w:noWrap w:val="0"/>
            <w:vAlign w:val="center"/>
          </w:tcPr>
          <w:p w14:paraId="57B8983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559" w:type="dxa"/>
            <w:noWrap w:val="0"/>
            <w:vAlign w:val="center"/>
          </w:tcPr>
          <w:p w14:paraId="7C280001">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37A2A0B1">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001D3B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538" w:type="dxa"/>
            <w:vMerge w:val="restart"/>
            <w:noWrap w:val="0"/>
            <w:vAlign w:val="center"/>
          </w:tcPr>
          <w:p w14:paraId="2CC92EC9">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大气环境</w:t>
            </w:r>
          </w:p>
        </w:tc>
        <w:tc>
          <w:tcPr>
            <w:tcW w:w="2126" w:type="dxa"/>
            <w:noWrap w:val="0"/>
            <w:vAlign w:val="center"/>
          </w:tcPr>
          <w:p w14:paraId="2AF89444">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施工扬尘洒水降尘</w:t>
            </w:r>
          </w:p>
        </w:tc>
        <w:tc>
          <w:tcPr>
            <w:tcW w:w="2268" w:type="dxa"/>
            <w:noWrap w:val="0"/>
            <w:vAlign w:val="center"/>
          </w:tcPr>
          <w:p w14:paraId="14A959CA">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default" w:ascii="宋体" w:hAnsi="宋体" w:cs="宋体"/>
                <w:color w:val="auto"/>
                <w:szCs w:val="21"/>
              </w:rPr>
              <w:t>《大气污染物排放标准》</w:t>
            </w:r>
            <w:r>
              <w:rPr>
                <w:rFonts w:hint="eastAsia" w:ascii="宋体" w:hAnsi="宋体" w:cs="宋体"/>
                <w:color w:val="auto"/>
                <w:szCs w:val="21"/>
                <w:lang w:eastAsia="zh-CN"/>
              </w:rPr>
              <w:t>（</w:t>
            </w:r>
            <w:r>
              <w:rPr>
                <w:rFonts w:hint="default" w:ascii="Times New Roman" w:hAnsi="Times New Roman" w:cs="Times New Roman"/>
                <w:color w:val="auto"/>
                <w:szCs w:val="21"/>
              </w:rPr>
              <w:t>GB16297-1996</w:t>
            </w:r>
            <w:r>
              <w:rPr>
                <w:rFonts w:hint="eastAsia" w:ascii="宋体" w:hAnsi="宋体" w:cs="宋体"/>
                <w:color w:val="auto"/>
                <w:szCs w:val="21"/>
                <w:lang w:eastAsia="zh-CN"/>
              </w:rPr>
              <w:t>）</w:t>
            </w:r>
            <w:r>
              <w:rPr>
                <w:rFonts w:hint="eastAsia" w:ascii="宋体" w:hAnsi="宋体" w:cs="宋体"/>
                <w:color w:val="auto"/>
                <w:szCs w:val="21"/>
              </w:rPr>
              <w:t>表</w:t>
            </w:r>
            <w:r>
              <w:rPr>
                <w:rFonts w:hint="default" w:ascii="Times New Roman" w:hAnsi="Times New Roman" w:cs="Times New Roman"/>
                <w:color w:val="auto"/>
                <w:szCs w:val="21"/>
              </w:rPr>
              <w:t>2</w:t>
            </w:r>
            <w:r>
              <w:rPr>
                <w:rFonts w:hint="eastAsia" w:ascii="宋体" w:hAnsi="宋体" w:cs="宋体"/>
                <w:color w:val="auto"/>
                <w:szCs w:val="21"/>
              </w:rPr>
              <w:t>无组织排放监控浓度限值</w:t>
            </w:r>
          </w:p>
        </w:tc>
        <w:tc>
          <w:tcPr>
            <w:tcW w:w="1559" w:type="dxa"/>
            <w:vMerge w:val="restart"/>
            <w:noWrap w:val="0"/>
            <w:vAlign w:val="center"/>
          </w:tcPr>
          <w:p w14:paraId="5151A5E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vMerge w:val="restart"/>
            <w:noWrap w:val="0"/>
            <w:vAlign w:val="center"/>
          </w:tcPr>
          <w:p w14:paraId="6F4EC773">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726E17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538" w:type="dxa"/>
            <w:vMerge w:val="continue"/>
            <w:noWrap w:val="0"/>
            <w:vAlign w:val="center"/>
          </w:tcPr>
          <w:p w14:paraId="26E555DA">
            <w:pPr>
              <w:pStyle w:val="68"/>
              <w:keepNext w:val="0"/>
              <w:keepLines w:val="0"/>
              <w:suppressLineNumbers w:val="0"/>
              <w:spacing w:before="0" w:beforeAutospacing="0" w:after="0" w:afterAutospacing="0"/>
              <w:ind w:right="0"/>
              <w:rPr>
                <w:rFonts w:hint="default" w:ascii="Times New Roman" w:hAnsi="Times New Roman" w:cs="Times New Roman"/>
                <w:color w:val="auto"/>
              </w:rPr>
            </w:pPr>
          </w:p>
        </w:tc>
        <w:tc>
          <w:tcPr>
            <w:tcW w:w="2126" w:type="dxa"/>
            <w:noWrap w:val="0"/>
            <w:vAlign w:val="center"/>
          </w:tcPr>
          <w:p w14:paraId="14519D21">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lang w:val="en-US" w:eastAsia="zh-CN"/>
              </w:rPr>
              <w:t>施工</w:t>
            </w:r>
            <w:r>
              <w:rPr>
                <w:rFonts w:hint="eastAsia" w:ascii="宋体" w:hAnsi="宋体" w:cs="宋体"/>
                <w:color w:val="auto"/>
                <w:szCs w:val="21"/>
              </w:rPr>
              <w:t>机械尾气自然扩散</w:t>
            </w:r>
          </w:p>
        </w:tc>
        <w:tc>
          <w:tcPr>
            <w:tcW w:w="2268" w:type="dxa"/>
            <w:noWrap w:val="0"/>
            <w:vAlign w:val="center"/>
          </w:tcPr>
          <w:p w14:paraId="43B2ABB2">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default" w:ascii="Times New Roman" w:hAnsi="Times New Roman" w:cs="Times New Roman"/>
                <w:color w:val="auto"/>
              </w:rPr>
              <w:t>《非道路移动机械用柴油机排气污染物排放限值及测量方法</w:t>
            </w:r>
            <w:r>
              <w:rPr>
                <w:rFonts w:hint="eastAsia" w:ascii="Times New Roman" w:hAnsi="Times New Roman" w:cs="Times New Roman"/>
                <w:color w:val="auto"/>
                <w:lang w:eastAsia="zh-CN"/>
              </w:rPr>
              <w:t>（</w:t>
            </w:r>
            <w:r>
              <w:rPr>
                <w:rFonts w:hint="default" w:ascii="Times New Roman" w:hAnsi="Times New Roman" w:cs="Times New Roman"/>
                <w:color w:val="auto"/>
              </w:rPr>
              <w:t>中国第三、四阶段</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eastAsia" w:ascii="Times New Roman" w:hAnsi="Times New Roman" w:cs="Times New Roman"/>
                <w:color w:val="auto"/>
                <w:lang w:eastAsia="zh-CN"/>
              </w:rPr>
              <w:t>（</w:t>
            </w:r>
            <w:r>
              <w:rPr>
                <w:rFonts w:hint="default" w:ascii="Times New Roman" w:hAnsi="Times New Roman" w:cs="Times New Roman"/>
                <w:color w:val="auto"/>
              </w:rPr>
              <w:t>GB20891-2014</w:t>
            </w:r>
            <w:r>
              <w:rPr>
                <w:rFonts w:hint="eastAsia" w:ascii="Times New Roman" w:hAnsi="Times New Roman" w:cs="Times New Roman"/>
                <w:color w:val="auto"/>
                <w:lang w:eastAsia="zh-CN"/>
              </w:rPr>
              <w:t>）</w:t>
            </w:r>
            <w:r>
              <w:rPr>
                <w:rFonts w:hint="eastAsia" w:ascii="Times New Roman" w:hAnsi="Times New Roman" w:cs="Times New Roman"/>
                <w:color w:val="auto"/>
              </w:rPr>
              <w:t>表2</w:t>
            </w:r>
          </w:p>
        </w:tc>
        <w:tc>
          <w:tcPr>
            <w:tcW w:w="1559" w:type="dxa"/>
            <w:vMerge w:val="continue"/>
            <w:noWrap w:val="0"/>
            <w:vAlign w:val="center"/>
          </w:tcPr>
          <w:p w14:paraId="029199D9">
            <w:pPr>
              <w:pStyle w:val="68"/>
              <w:keepNext w:val="0"/>
              <w:keepLines w:val="0"/>
              <w:suppressLineNumbers w:val="0"/>
              <w:spacing w:before="0" w:beforeAutospacing="0" w:after="0" w:afterAutospacing="0"/>
              <w:ind w:right="0"/>
              <w:rPr>
                <w:rFonts w:hint="eastAsia" w:ascii="宋体" w:hAnsi="宋体" w:cs="宋体"/>
                <w:color w:val="auto"/>
                <w:szCs w:val="21"/>
              </w:rPr>
            </w:pPr>
          </w:p>
        </w:tc>
        <w:tc>
          <w:tcPr>
            <w:tcW w:w="1309" w:type="dxa"/>
            <w:vMerge w:val="continue"/>
            <w:noWrap w:val="0"/>
            <w:vAlign w:val="center"/>
          </w:tcPr>
          <w:p w14:paraId="1D28A781">
            <w:pPr>
              <w:pStyle w:val="68"/>
              <w:keepNext w:val="0"/>
              <w:keepLines w:val="0"/>
              <w:suppressLineNumbers w:val="0"/>
              <w:spacing w:before="0" w:beforeAutospacing="0" w:after="0" w:afterAutospacing="0"/>
              <w:ind w:right="0"/>
              <w:rPr>
                <w:rFonts w:hint="eastAsia" w:ascii="宋体" w:hAnsi="宋体" w:cs="宋体"/>
                <w:color w:val="auto"/>
                <w:szCs w:val="21"/>
              </w:rPr>
            </w:pPr>
          </w:p>
        </w:tc>
      </w:tr>
      <w:tr w14:paraId="53199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208D041C">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固体废物</w:t>
            </w:r>
          </w:p>
        </w:tc>
        <w:tc>
          <w:tcPr>
            <w:tcW w:w="2126" w:type="dxa"/>
            <w:noWrap w:val="0"/>
            <w:vAlign w:val="center"/>
          </w:tcPr>
          <w:p w14:paraId="0D515BF0">
            <w:pPr>
              <w:pStyle w:val="68"/>
              <w:keepNext w:val="0"/>
              <w:keepLines w:val="0"/>
              <w:suppressLineNumbers w:val="0"/>
              <w:spacing w:before="0" w:beforeAutospacing="0" w:after="0" w:afterAutospacing="0"/>
              <w:ind w:right="0"/>
              <w:rPr>
                <w:rFonts w:hint="default" w:ascii="宋体" w:hAnsi="宋体" w:cs="宋体"/>
                <w:color w:val="auto"/>
                <w:szCs w:val="21"/>
                <w:lang w:val="en-US"/>
              </w:rPr>
            </w:pPr>
            <w:r>
              <w:rPr>
                <w:rFonts w:hint="eastAsia" w:ascii="Times New Roman" w:hAnsi="Times New Roman" w:cs="Times New Roman"/>
                <w:color w:val="auto"/>
                <w:szCs w:val="21"/>
              </w:rPr>
              <w:t>剥离的表土和挖出的土石方在</w:t>
            </w:r>
            <w:r>
              <w:rPr>
                <w:rFonts w:hint="eastAsia" w:ascii="Times New Roman" w:hAnsi="Times New Roman" w:cs="Times New Roman"/>
                <w:color w:val="auto"/>
                <w:szCs w:val="21"/>
                <w:lang w:val="en-US" w:eastAsia="zh-CN"/>
              </w:rPr>
              <w:t>探槽附近</w:t>
            </w:r>
            <w:r>
              <w:rPr>
                <w:rFonts w:hint="eastAsia" w:ascii="Times New Roman" w:hAnsi="Times New Roman" w:cs="Times New Roman"/>
                <w:color w:val="auto"/>
                <w:szCs w:val="21"/>
              </w:rPr>
              <w:t>暂存后用于回填和土地恢复</w:t>
            </w:r>
            <w:r>
              <w:rPr>
                <w:rFonts w:hint="default" w:ascii="Times New Roman" w:hAnsi="Times New Roman" w:cs="Times New Roman"/>
                <w:color w:val="auto"/>
              </w:rPr>
              <w:t>；</w:t>
            </w:r>
            <w:r>
              <w:rPr>
                <w:rFonts w:hint="eastAsia" w:ascii="Times New Roman" w:hAnsi="Times New Roman" w:cs="Times New Roman"/>
                <w:color w:val="auto"/>
                <w:kern w:val="0"/>
                <w:szCs w:val="21"/>
                <w:lang w:val="en-US" w:eastAsia="zh-CN"/>
              </w:rPr>
              <w:t>生活垃圾采用垃圾袋集中收集后定期清运至</w:t>
            </w:r>
            <w:r>
              <w:rPr>
                <w:rFonts w:hint="eastAsia" w:cs="Times New Roman"/>
                <w:color w:val="auto"/>
                <w:kern w:val="0"/>
                <w:szCs w:val="21"/>
                <w:lang w:val="en-US" w:eastAsia="zh-CN"/>
              </w:rPr>
              <w:t>就</w:t>
            </w:r>
            <w:r>
              <w:rPr>
                <w:rFonts w:hint="eastAsia" w:ascii="Times New Roman" w:hAnsi="Times New Roman" w:cs="Times New Roman"/>
                <w:color w:val="auto"/>
                <w:kern w:val="0"/>
                <w:szCs w:val="21"/>
                <w:lang w:val="en-US" w:eastAsia="zh-CN"/>
              </w:rPr>
              <w:t>近垃圾收集点；</w:t>
            </w:r>
            <w:r>
              <w:rPr>
                <w:rFonts w:hint="default" w:ascii="Times New Roman" w:hAnsi="Times New Roman" w:eastAsia="宋体" w:cs="Times New Roman"/>
                <w:color w:val="auto"/>
                <w:lang w:val="en-US" w:eastAsia="zh-CN"/>
              </w:rPr>
              <w:t>生活污水一体化处理设施</w:t>
            </w:r>
            <w:r>
              <w:rPr>
                <w:rFonts w:hint="eastAsia" w:ascii="Times New Roman" w:hAnsi="Times New Roman" w:eastAsia="宋体" w:cs="Times New Roman"/>
                <w:color w:val="auto"/>
                <w:lang w:val="en-US" w:eastAsia="zh-CN"/>
              </w:rPr>
              <w:t>产生的</w:t>
            </w:r>
            <w:r>
              <w:rPr>
                <w:rFonts w:hint="default" w:ascii="Times New Roman" w:hAnsi="Times New Roman" w:eastAsia="宋体" w:cs="Times New Roman"/>
                <w:color w:val="auto"/>
                <w:lang w:val="en-US" w:eastAsia="zh-CN"/>
              </w:rPr>
              <w:t>底泥，定期清掏用于周边植被绿化</w:t>
            </w:r>
            <w:r>
              <w:rPr>
                <w:rFonts w:hint="eastAsia" w:cs="Times New Roman"/>
                <w:color w:val="auto"/>
                <w:lang w:val="en-US" w:eastAsia="zh-CN"/>
              </w:rPr>
              <w:t>；</w:t>
            </w:r>
            <w:r>
              <w:rPr>
                <w:rFonts w:hint="eastAsia"/>
                <w:color w:val="auto"/>
                <w:kern w:val="0"/>
                <w:szCs w:val="21"/>
                <w:lang w:val="en-US" w:eastAsia="zh-CN"/>
              </w:rPr>
              <w:t>产生的</w:t>
            </w:r>
            <w:r>
              <w:rPr>
                <w:rFonts w:hint="eastAsia" w:ascii="Times New Roman" w:hAnsi="Times New Roman" w:cs="Times New Roman"/>
                <w:color w:val="auto"/>
                <w:highlight w:val="none"/>
                <w:shd w:val="clear" w:color="auto" w:fill="FFFFFF"/>
                <w:lang w:val="en-US" w:eastAsia="zh-CN"/>
              </w:rPr>
              <w:t>废润滑油、</w:t>
            </w:r>
            <w:r>
              <w:rPr>
                <w:rFonts w:hint="eastAsia"/>
                <w:color w:val="auto"/>
                <w:lang w:val="en-US" w:eastAsia="zh-CN"/>
              </w:rPr>
              <w:t>废油桶、</w:t>
            </w:r>
            <w:r>
              <w:rPr>
                <w:rFonts w:hint="eastAsia"/>
                <w:color w:val="auto"/>
              </w:rPr>
              <w:t>沾油废物（废防渗膜）</w:t>
            </w:r>
            <w:r>
              <w:rPr>
                <w:rFonts w:hint="eastAsia"/>
                <w:color w:val="auto"/>
                <w:kern w:val="0"/>
                <w:szCs w:val="21"/>
                <w:lang w:val="en-US" w:eastAsia="zh-CN"/>
              </w:rPr>
              <w:t>暂存于危废贮存库，交由有危废处置资质单位处理</w:t>
            </w:r>
          </w:p>
        </w:tc>
        <w:tc>
          <w:tcPr>
            <w:tcW w:w="2268" w:type="dxa"/>
            <w:noWrap w:val="0"/>
            <w:vAlign w:val="center"/>
          </w:tcPr>
          <w:p w14:paraId="11DB796E">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default" w:ascii="Times New Roman" w:hAnsi="Times New Roman" w:cs="Times New Roman"/>
                <w:color w:val="auto"/>
                <w:szCs w:val="21"/>
              </w:rPr>
              <w:t>施工期的</w:t>
            </w:r>
            <w:r>
              <w:rPr>
                <w:rFonts w:hint="eastAsia" w:ascii="Times New Roman" w:hAnsi="Times New Roman" w:cs="Times New Roman"/>
                <w:color w:val="auto"/>
                <w:szCs w:val="21"/>
                <w:lang w:val="en-US" w:eastAsia="zh-CN"/>
              </w:rPr>
              <w:t>固体废物</w:t>
            </w:r>
            <w:r>
              <w:rPr>
                <w:rFonts w:hint="default" w:ascii="Times New Roman" w:hAnsi="Times New Roman" w:cs="Times New Roman"/>
                <w:color w:val="auto"/>
                <w:szCs w:val="21"/>
              </w:rPr>
              <w:t>妥善</w:t>
            </w:r>
            <w:r>
              <w:rPr>
                <w:rFonts w:hint="eastAsia" w:ascii="Times New Roman" w:hAnsi="Times New Roman" w:cs="Times New Roman"/>
                <w:color w:val="auto"/>
                <w:szCs w:val="21"/>
                <w:lang w:eastAsia="zh-CN"/>
              </w:rPr>
              <w:t>地</w:t>
            </w:r>
            <w:r>
              <w:rPr>
                <w:rFonts w:hint="default" w:ascii="Times New Roman" w:hAnsi="Times New Roman" w:cs="Times New Roman"/>
                <w:color w:val="auto"/>
                <w:szCs w:val="21"/>
              </w:rPr>
              <w:t>处理</w:t>
            </w:r>
            <w:r>
              <w:rPr>
                <w:rFonts w:hint="eastAsia" w:ascii="Times New Roman" w:hAnsi="Times New Roman" w:cs="Times New Roman"/>
                <w:color w:val="auto"/>
                <w:szCs w:val="21"/>
              </w:rPr>
              <w:t>，不随意堆弃</w:t>
            </w:r>
          </w:p>
        </w:tc>
        <w:tc>
          <w:tcPr>
            <w:tcW w:w="1559" w:type="dxa"/>
            <w:noWrap w:val="0"/>
            <w:vAlign w:val="center"/>
          </w:tcPr>
          <w:p w14:paraId="5D5EC06E">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0ED3B6DB">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723A0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38D0CABD">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电磁环境</w:t>
            </w:r>
          </w:p>
        </w:tc>
        <w:tc>
          <w:tcPr>
            <w:tcW w:w="2126" w:type="dxa"/>
            <w:noWrap w:val="0"/>
            <w:vAlign w:val="center"/>
          </w:tcPr>
          <w:p w14:paraId="2A963465">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2268" w:type="dxa"/>
            <w:noWrap w:val="0"/>
            <w:vAlign w:val="center"/>
          </w:tcPr>
          <w:p w14:paraId="3AD85525">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559" w:type="dxa"/>
            <w:noWrap w:val="0"/>
            <w:vAlign w:val="center"/>
          </w:tcPr>
          <w:p w14:paraId="41A9CF72">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4ECA7C85">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2E119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044874AA">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环境风险</w:t>
            </w:r>
          </w:p>
        </w:tc>
        <w:tc>
          <w:tcPr>
            <w:tcW w:w="2126" w:type="dxa"/>
            <w:noWrap w:val="0"/>
            <w:vAlign w:val="center"/>
          </w:tcPr>
          <w:p w14:paraId="34671744">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default" w:ascii="Times New Roman" w:hAnsi="Times New Roman" w:cs="Times New Roman"/>
                <w:color w:val="auto"/>
                <w:szCs w:val="21"/>
              </w:rPr>
              <w:t>本项目柴油</w:t>
            </w:r>
            <w:r>
              <w:rPr>
                <w:rFonts w:hint="eastAsia" w:ascii="Times New Roman" w:hAnsi="Times New Roman" w:cs="Times New Roman"/>
                <w:color w:val="auto"/>
                <w:szCs w:val="21"/>
                <w:lang w:val="en-US" w:eastAsia="zh-CN"/>
              </w:rPr>
              <w:t>临时</w:t>
            </w:r>
            <w:r>
              <w:rPr>
                <w:rFonts w:hint="default" w:ascii="Times New Roman" w:hAnsi="Times New Roman" w:cs="Times New Roman"/>
                <w:color w:val="auto"/>
                <w:szCs w:val="21"/>
              </w:rPr>
              <w:t>从</w:t>
            </w:r>
            <w:r>
              <w:rPr>
                <w:rFonts w:hint="eastAsia" w:ascii="Times New Roman" w:hAnsi="Times New Roman" w:cs="Times New Roman"/>
                <w:color w:val="auto"/>
                <w:szCs w:val="21"/>
                <w:lang w:eastAsia="zh-CN"/>
              </w:rPr>
              <w:t>和静</w:t>
            </w:r>
            <w:r>
              <w:rPr>
                <w:rFonts w:hint="default" w:ascii="Times New Roman" w:hAnsi="Times New Roman" w:cs="Times New Roman"/>
                <w:color w:val="auto"/>
                <w:szCs w:val="21"/>
              </w:rPr>
              <w:t>县克尔古提乡购买</w:t>
            </w:r>
          </w:p>
        </w:tc>
        <w:tc>
          <w:tcPr>
            <w:tcW w:w="2268" w:type="dxa"/>
            <w:noWrap w:val="0"/>
            <w:vAlign w:val="center"/>
          </w:tcPr>
          <w:p w14:paraId="6186283A">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加强劳动安全管理，制定完备、有效的安全防范措施</w:t>
            </w:r>
          </w:p>
        </w:tc>
        <w:tc>
          <w:tcPr>
            <w:tcW w:w="1559" w:type="dxa"/>
            <w:noWrap w:val="0"/>
            <w:vAlign w:val="center"/>
          </w:tcPr>
          <w:p w14:paraId="2D4C216B">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0C8E49A6">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1C4CB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1811A60A">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环境监测</w:t>
            </w:r>
          </w:p>
        </w:tc>
        <w:tc>
          <w:tcPr>
            <w:tcW w:w="2126" w:type="dxa"/>
            <w:noWrap w:val="0"/>
            <w:vAlign w:val="center"/>
          </w:tcPr>
          <w:p w14:paraId="2DB5335B">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2268" w:type="dxa"/>
            <w:noWrap w:val="0"/>
            <w:vAlign w:val="center"/>
          </w:tcPr>
          <w:p w14:paraId="33807E2C">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559" w:type="dxa"/>
            <w:noWrap w:val="0"/>
            <w:vAlign w:val="center"/>
          </w:tcPr>
          <w:p w14:paraId="51A962A8">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27905908">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r w14:paraId="18FAF3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noWrap w:val="0"/>
            <w:vAlign w:val="center"/>
          </w:tcPr>
          <w:p w14:paraId="2D483F85">
            <w:pPr>
              <w:pStyle w:val="68"/>
              <w:keepNext w:val="0"/>
              <w:keepLines w:val="0"/>
              <w:suppressLineNumbers w:val="0"/>
              <w:spacing w:before="0" w:beforeAutospacing="0" w:after="0" w:afterAutospacing="0"/>
              <w:ind w:right="0"/>
              <w:rPr>
                <w:rFonts w:hint="eastAsia" w:ascii="Times New Roman" w:hAnsi="Times New Roman" w:cs="Times New Roman"/>
                <w:color w:val="auto"/>
              </w:rPr>
            </w:pPr>
            <w:r>
              <w:rPr>
                <w:rFonts w:hint="eastAsia" w:ascii="Times New Roman" w:hAnsi="Times New Roman" w:cs="Times New Roman"/>
                <w:color w:val="auto"/>
              </w:rPr>
              <w:t>其他</w:t>
            </w:r>
          </w:p>
        </w:tc>
        <w:tc>
          <w:tcPr>
            <w:tcW w:w="2126" w:type="dxa"/>
            <w:noWrap w:val="0"/>
            <w:vAlign w:val="center"/>
          </w:tcPr>
          <w:p w14:paraId="49269013">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2268" w:type="dxa"/>
            <w:noWrap w:val="0"/>
            <w:vAlign w:val="center"/>
          </w:tcPr>
          <w:p w14:paraId="07D4902D">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559" w:type="dxa"/>
            <w:noWrap w:val="0"/>
            <w:vAlign w:val="center"/>
          </w:tcPr>
          <w:p w14:paraId="652C9D72">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c>
          <w:tcPr>
            <w:tcW w:w="1309" w:type="dxa"/>
            <w:noWrap w:val="0"/>
            <w:vAlign w:val="center"/>
          </w:tcPr>
          <w:p w14:paraId="18F6F2E4">
            <w:pPr>
              <w:pStyle w:val="68"/>
              <w:keepNext w:val="0"/>
              <w:keepLines w:val="0"/>
              <w:suppressLineNumbers w:val="0"/>
              <w:spacing w:before="0" w:beforeAutospacing="0" w:after="0" w:afterAutospacing="0"/>
              <w:ind w:right="0"/>
              <w:rPr>
                <w:rFonts w:hint="eastAsia" w:ascii="宋体" w:hAnsi="宋体" w:cs="宋体"/>
                <w:color w:val="auto"/>
                <w:szCs w:val="21"/>
              </w:rPr>
            </w:pPr>
            <w:r>
              <w:rPr>
                <w:rFonts w:hint="eastAsia" w:ascii="宋体" w:hAnsi="宋体" w:cs="宋体"/>
                <w:color w:val="auto"/>
                <w:szCs w:val="21"/>
              </w:rPr>
              <w:t>/</w:t>
            </w:r>
          </w:p>
        </w:tc>
      </w:tr>
    </w:tbl>
    <w:p w14:paraId="08D33E64">
      <w:pPr>
        <w:ind w:left="0" w:leftChars="0" w:firstLine="0" w:firstLineChars="0"/>
        <w:rPr>
          <w:snapToGrid w:val="0"/>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65379DD">
      <w:pPr>
        <w:ind w:left="0" w:leftChars="0" w:firstLine="0" w:firstLineChars="0"/>
        <w:rPr>
          <w:snapToGrid w:val="0"/>
          <w:color w:val="auto"/>
        </w:rPr>
      </w:pPr>
    </w:p>
    <w:p w14:paraId="19C812E3">
      <w:pPr>
        <w:pStyle w:val="2"/>
        <w:rPr>
          <w:snapToGrid w:val="0"/>
          <w:color w:val="auto"/>
        </w:rPr>
      </w:pPr>
      <w:r>
        <w:rPr>
          <w:rFonts w:hint="eastAsia"/>
          <w:snapToGrid w:val="0"/>
          <w:color w:val="auto"/>
        </w:rPr>
        <w:t>七、结论</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67FEF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31" w:hRule="atLeast"/>
          <w:jc w:val="center"/>
        </w:trPr>
        <w:tc>
          <w:tcPr>
            <w:tcW w:w="8865" w:type="dxa"/>
            <w:noWrap w:val="0"/>
            <w:vAlign w:val="center"/>
          </w:tcPr>
          <w:p w14:paraId="20839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textAlignment w:val="auto"/>
              <w:rPr>
                <w:rFonts w:hint="default" w:ascii="Times New Roman" w:hAnsi="Times New Roman" w:cs="Times New Roman"/>
                <w:b/>
                <w:bCs/>
                <w:color w:val="auto"/>
              </w:rPr>
            </w:pPr>
            <w:r>
              <w:rPr>
                <w:rFonts w:hint="eastAsia" w:ascii="Times New Roman" w:hAnsi="Times New Roman" w:cs="Times New Roman"/>
                <w:b/>
                <w:bCs/>
                <w:color w:val="auto"/>
                <w:szCs w:val="32"/>
                <w:lang w:val="en-US" w:eastAsia="zh-CN"/>
              </w:rPr>
              <w:t>7.1</w:t>
            </w:r>
            <w:r>
              <w:rPr>
                <w:rFonts w:hint="eastAsia" w:ascii="Times New Roman" w:hAnsi="Times New Roman" w:cs="Times New Roman"/>
                <w:b/>
                <w:bCs/>
                <w:color w:val="auto"/>
                <w:szCs w:val="32"/>
              </w:rPr>
              <w:t>建设项目环境可行性结论</w:t>
            </w:r>
          </w:p>
          <w:p w14:paraId="31456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本项目符合国家产业政策。该项目工程区内不涉及集中式</w:t>
            </w:r>
            <w:r>
              <w:rPr>
                <w:rFonts w:hint="eastAsia" w:cs="Times New Roman"/>
                <w:color w:val="auto"/>
                <w:lang w:eastAsia="zh-CN"/>
              </w:rPr>
              <w:t>饮用水水源保护区</w:t>
            </w:r>
            <w:r>
              <w:rPr>
                <w:rFonts w:hint="eastAsia" w:ascii="Times New Roman" w:hAnsi="Times New Roman" w:cs="Times New Roman"/>
                <w:color w:val="auto"/>
              </w:rPr>
              <w:t>、不涉及保护文物、不涉及风景名胜区及生态敏感区，不会对当地城镇发展规划造成影响。项目拟采取的三废治理措施有效可行。该</w:t>
            </w:r>
            <w:r>
              <w:rPr>
                <w:rFonts w:hint="eastAsia" w:ascii="Times New Roman" w:hAnsi="Times New Roman" w:cs="Times New Roman"/>
                <w:color w:val="auto"/>
                <w:lang w:val="en-US" w:eastAsia="zh-CN"/>
              </w:rPr>
              <w:t>项目</w:t>
            </w:r>
            <w:r>
              <w:rPr>
                <w:rFonts w:hint="eastAsia" w:ascii="Times New Roman" w:hAnsi="Times New Roman" w:cs="Times New Roman"/>
                <w:color w:val="auto"/>
              </w:rPr>
              <w:t>采取的环境风险措施切实可行。在落实风险防范措施后，环境风险达到可以接受水平。</w:t>
            </w:r>
          </w:p>
          <w:p w14:paraId="74F2EA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rPr>
              <w:t>综上所述，在施工过程中强化环保管理，落实各项环保措施，保证各项设施正常运行，从环境保护角度分析，本项目建设是可行的。</w:t>
            </w:r>
          </w:p>
          <w:p w14:paraId="3E44092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color w:val="auto"/>
              </w:rPr>
            </w:pPr>
            <w:r>
              <w:rPr>
                <w:rFonts w:hint="eastAsia"/>
                <w:color w:val="auto"/>
                <w:lang w:val="en-US" w:eastAsia="zh-CN"/>
              </w:rPr>
              <w:t>7.2</w:t>
            </w:r>
            <w:r>
              <w:rPr>
                <w:rFonts w:hint="eastAsia"/>
                <w:color w:val="auto"/>
              </w:rPr>
              <w:t>建议</w:t>
            </w:r>
          </w:p>
          <w:p w14:paraId="7012A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lang w:eastAsia="zh-CN"/>
              </w:rPr>
              <w:t>（</w:t>
            </w:r>
            <w:r>
              <w:rPr>
                <w:rFonts w:hint="default" w:ascii="Times New Roman" w:hAnsi="Times New Roman" w:cs="Times New Roman"/>
                <w:color w:val="auto"/>
              </w:rPr>
              <w:t>1</w:t>
            </w:r>
            <w:r>
              <w:rPr>
                <w:rFonts w:hint="eastAsia" w:ascii="Times New Roman" w:hAnsi="Times New Roman" w:cs="Times New Roman"/>
                <w:color w:val="auto"/>
                <w:lang w:eastAsia="zh-CN"/>
              </w:rPr>
              <w:t>）</w:t>
            </w:r>
            <w:r>
              <w:rPr>
                <w:rFonts w:hint="eastAsia" w:ascii="Times New Roman" w:hAnsi="Times New Roman" w:cs="Times New Roman"/>
                <w:color w:val="auto"/>
              </w:rPr>
              <w:t>认真落实</w:t>
            </w:r>
            <w:r>
              <w:rPr>
                <w:rFonts w:hint="eastAsia" w:ascii="Times New Roman" w:hAnsi="Times New Roman" w:cs="Times New Roman"/>
                <w:color w:val="auto"/>
                <w:lang w:eastAsia="zh-CN"/>
              </w:rPr>
              <w:t>“</w:t>
            </w:r>
            <w:r>
              <w:rPr>
                <w:rFonts w:hint="eastAsia" w:ascii="Times New Roman" w:hAnsi="Times New Roman" w:cs="Times New Roman"/>
                <w:color w:val="auto"/>
              </w:rPr>
              <w:t>三废</w:t>
            </w:r>
            <w:r>
              <w:rPr>
                <w:rFonts w:hint="eastAsia" w:ascii="Times New Roman" w:hAnsi="Times New Roman" w:cs="Times New Roman"/>
                <w:color w:val="auto"/>
                <w:lang w:eastAsia="zh-CN"/>
              </w:rPr>
              <w:t>”</w:t>
            </w:r>
            <w:r>
              <w:rPr>
                <w:rFonts w:hint="eastAsia" w:ascii="Times New Roman" w:hAnsi="Times New Roman" w:cs="Times New Roman"/>
                <w:color w:val="auto"/>
              </w:rPr>
              <w:t>及噪声等环保措施，确保固体废物得到有效处置，设备噪声得到有效控制，以保护环境不受影响。</w:t>
            </w:r>
          </w:p>
          <w:p w14:paraId="19238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default" w:ascii="Times New Roman" w:hAnsi="Times New Roman" w:cs="Times New Roman"/>
                <w:color w:val="auto"/>
              </w:rPr>
            </w:pPr>
            <w:r>
              <w:rPr>
                <w:rFonts w:hint="eastAsia" w:ascii="Times New Roman" w:hAnsi="Times New Roman" w:cs="Times New Roman"/>
                <w:color w:val="auto"/>
                <w:lang w:eastAsia="zh-CN"/>
              </w:rPr>
              <w:t>（</w:t>
            </w:r>
            <w:r>
              <w:rPr>
                <w:rFonts w:hint="default" w:ascii="Times New Roman" w:hAnsi="Times New Roman" w:cs="Times New Roman"/>
                <w:color w:val="auto"/>
              </w:rPr>
              <w:t>2</w:t>
            </w:r>
            <w:r>
              <w:rPr>
                <w:rFonts w:hint="eastAsia" w:ascii="Times New Roman" w:hAnsi="Times New Roman" w:cs="Times New Roman"/>
                <w:color w:val="auto"/>
                <w:lang w:eastAsia="zh-CN"/>
              </w:rPr>
              <w:t>）</w:t>
            </w:r>
            <w:r>
              <w:rPr>
                <w:rFonts w:hint="eastAsia" w:ascii="Times New Roman" w:hAnsi="Times New Roman" w:cs="Times New Roman"/>
                <w:color w:val="auto"/>
              </w:rPr>
              <w:t>加强废水、固体废物储运过程管理，建立相应的管理制度。</w:t>
            </w:r>
          </w:p>
          <w:p w14:paraId="4103894F">
            <w:pPr>
              <w:keepNext w:val="0"/>
              <w:keepLines w:val="0"/>
              <w:suppressLineNumbers w:val="0"/>
              <w:spacing w:before="0" w:beforeAutospacing="0" w:after="0" w:afterAutospacing="0"/>
              <w:ind w:left="0" w:right="0" w:firstLine="480"/>
              <w:rPr>
                <w:rFonts w:hint="default" w:ascii="宋体" w:hAnsi="Times New Roman" w:cs="宋体"/>
                <w:color w:val="auto"/>
              </w:rPr>
            </w:pPr>
          </w:p>
          <w:p w14:paraId="32D2CEE7">
            <w:pPr>
              <w:keepNext w:val="0"/>
              <w:keepLines w:val="0"/>
              <w:suppressLineNumbers w:val="0"/>
              <w:spacing w:before="0" w:beforeAutospacing="0" w:after="0" w:afterAutospacing="0"/>
              <w:ind w:left="0" w:right="0" w:firstLine="480"/>
              <w:rPr>
                <w:rFonts w:hint="default" w:ascii="宋体" w:hAnsi="Times New Roman" w:cs="宋体"/>
                <w:color w:val="auto"/>
              </w:rPr>
            </w:pPr>
          </w:p>
          <w:p w14:paraId="5401F720">
            <w:pPr>
              <w:keepNext w:val="0"/>
              <w:keepLines w:val="0"/>
              <w:suppressLineNumbers w:val="0"/>
              <w:spacing w:before="0" w:beforeAutospacing="0" w:after="0" w:afterAutospacing="0"/>
              <w:ind w:left="0" w:right="0" w:firstLine="480"/>
              <w:rPr>
                <w:rFonts w:hint="default" w:ascii="宋体" w:hAnsi="Times New Roman" w:cs="宋体"/>
                <w:color w:val="auto"/>
              </w:rPr>
            </w:pPr>
          </w:p>
          <w:p w14:paraId="39737FEE">
            <w:pPr>
              <w:keepNext w:val="0"/>
              <w:keepLines w:val="0"/>
              <w:suppressLineNumbers w:val="0"/>
              <w:spacing w:before="0" w:beforeAutospacing="0" w:after="0" w:afterAutospacing="0"/>
              <w:ind w:left="0" w:right="0" w:firstLine="480"/>
              <w:rPr>
                <w:rFonts w:hint="default" w:ascii="宋体" w:hAnsi="Times New Roman" w:cs="宋体"/>
                <w:color w:val="auto"/>
              </w:rPr>
            </w:pPr>
          </w:p>
          <w:p w14:paraId="50105EB6">
            <w:pPr>
              <w:keepNext w:val="0"/>
              <w:keepLines w:val="0"/>
              <w:suppressLineNumbers w:val="0"/>
              <w:spacing w:before="0" w:beforeAutospacing="0" w:after="0" w:afterAutospacing="0"/>
              <w:ind w:left="0" w:right="0" w:firstLine="480"/>
              <w:rPr>
                <w:rFonts w:hint="default" w:ascii="宋体" w:hAnsi="Times New Roman" w:cs="宋体"/>
                <w:color w:val="auto"/>
              </w:rPr>
            </w:pPr>
          </w:p>
          <w:p w14:paraId="4E97A4A9">
            <w:pPr>
              <w:keepNext w:val="0"/>
              <w:keepLines w:val="0"/>
              <w:suppressLineNumbers w:val="0"/>
              <w:spacing w:before="0" w:beforeAutospacing="0" w:after="0" w:afterAutospacing="0"/>
              <w:ind w:left="0" w:right="0" w:firstLine="480"/>
              <w:rPr>
                <w:rFonts w:hint="default" w:ascii="宋体" w:hAnsi="Times New Roman" w:cs="宋体"/>
                <w:color w:val="auto"/>
              </w:rPr>
            </w:pPr>
          </w:p>
          <w:p w14:paraId="3F3AC7FA">
            <w:pPr>
              <w:keepNext w:val="0"/>
              <w:keepLines w:val="0"/>
              <w:suppressLineNumbers w:val="0"/>
              <w:spacing w:before="0" w:beforeAutospacing="0" w:after="0" w:afterAutospacing="0"/>
              <w:ind w:left="0" w:right="0" w:firstLine="480"/>
              <w:rPr>
                <w:rFonts w:hint="default" w:ascii="宋体" w:hAnsi="Times New Roman" w:cs="宋体"/>
                <w:color w:val="auto"/>
              </w:rPr>
            </w:pPr>
          </w:p>
          <w:p w14:paraId="137C6F15">
            <w:pPr>
              <w:keepNext w:val="0"/>
              <w:keepLines w:val="0"/>
              <w:suppressLineNumbers w:val="0"/>
              <w:spacing w:before="0" w:beforeAutospacing="0" w:after="0" w:afterAutospacing="0"/>
              <w:ind w:left="0" w:right="0" w:firstLine="480"/>
              <w:rPr>
                <w:rFonts w:hint="default" w:ascii="宋体" w:hAnsi="Times New Roman" w:cs="宋体"/>
                <w:color w:val="auto"/>
              </w:rPr>
            </w:pPr>
          </w:p>
          <w:p w14:paraId="32BDC3E0">
            <w:pPr>
              <w:keepNext w:val="0"/>
              <w:keepLines w:val="0"/>
              <w:suppressLineNumbers w:val="0"/>
              <w:spacing w:before="0" w:beforeAutospacing="0" w:after="0" w:afterAutospacing="0"/>
              <w:ind w:left="0" w:right="0" w:firstLine="480"/>
              <w:rPr>
                <w:rFonts w:hint="default" w:ascii="宋体" w:hAnsi="Times New Roman" w:cs="宋体"/>
                <w:color w:val="auto"/>
              </w:rPr>
            </w:pPr>
          </w:p>
          <w:p w14:paraId="10A64A7F">
            <w:pPr>
              <w:keepNext w:val="0"/>
              <w:keepLines w:val="0"/>
              <w:suppressLineNumbers w:val="0"/>
              <w:spacing w:before="0" w:beforeAutospacing="0" w:after="0" w:afterAutospacing="0"/>
              <w:ind w:left="0" w:right="0" w:firstLine="480"/>
              <w:rPr>
                <w:rFonts w:hint="default" w:ascii="宋体" w:hAnsi="Times New Roman" w:cs="宋体"/>
                <w:color w:val="auto"/>
              </w:rPr>
            </w:pPr>
          </w:p>
          <w:p w14:paraId="53E86BE2">
            <w:pPr>
              <w:keepNext w:val="0"/>
              <w:keepLines w:val="0"/>
              <w:suppressLineNumbers w:val="0"/>
              <w:spacing w:before="0" w:beforeAutospacing="0" w:after="0" w:afterAutospacing="0"/>
              <w:ind w:left="0" w:right="0" w:firstLine="480"/>
              <w:rPr>
                <w:rFonts w:hint="default" w:ascii="宋体" w:hAnsi="Times New Roman" w:cs="宋体"/>
                <w:color w:val="auto"/>
              </w:rPr>
            </w:pPr>
          </w:p>
          <w:p w14:paraId="47B7CC4C">
            <w:pPr>
              <w:keepNext w:val="0"/>
              <w:keepLines w:val="0"/>
              <w:suppressLineNumbers w:val="0"/>
              <w:spacing w:before="0" w:beforeAutospacing="0" w:after="0" w:afterAutospacing="0"/>
              <w:ind w:left="0" w:right="0" w:firstLine="480"/>
              <w:rPr>
                <w:rFonts w:hint="default" w:ascii="宋体" w:hAnsi="Times New Roman" w:cs="宋体"/>
                <w:color w:val="auto"/>
              </w:rPr>
            </w:pPr>
          </w:p>
          <w:p w14:paraId="5A1B6EFF">
            <w:pPr>
              <w:keepNext w:val="0"/>
              <w:keepLines w:val="0"/>
              <w:suppressLineNumbers w:val="0"/>
              <w:spacing w:before="0" w:beforeAutospacing="0" w:after="0" w:afterAutospacing="0"/>
              <w:ind w:left="0" w:right="0" w:firstLine="480"/>
              <w:rPr>
                <w:rFonts w:hint="default" w:ascii="宋体" w:hAnsi="Times New Roman" w:cs="宋体"/>
                <w:color w:val="auto"/>
              </w:rPr>
            </w:pPr>
          </w:p>
          <w:p w14:paraId="220BB6B0">
            <w:pPr>
              <w:keepNext w:val="0"/>
              <w:keepLines w:val="0"/>
              <w:suppressLineNumbers w:val="0"/>
              <w:spacing w:before="0" w:beforeAutospacing="0" w:after="0" w:afterAutospacing="0"/>
              <w:ind w:left="0" w:leftChars="0" w:right="0" w:firstLine="0" w:firstLineChars="0"/>
              <w:rPr>
                <w:rFonts w:hint="eastAsia" w:ascii="宋体" w:hAnsi="Times New Roman" w:cs="宋体"/>
                <w:color w:val="auto"/>
              </w:rPr>
            </w:pPr>
          </w:p>
        </w:tc>
      </w:tr>
    </w:tbl>
    <w:p w14:paraId="48772375">
      <w:pPr>
        <w:ind w:firstLine="480"/>
        <w:rPr>
          <w:rFonts w:hint="eastAsia" w:ascii="宋体" w:cs="宋体"/>
          <w:color w:val="auto"/>
        </w:rPr>
      </w:pPr>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1A9A8A-D015-437A-B169-F9460A82B4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DA6219E2-37B8-4AE4-9434-449C7A78C472}"/>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embedRegular r:id="rId3" w:fontKey="{DBF91A1A-4D4F-4DA9-9736-66B1BB813247}"/>
  </w:font>
  <w:font w:name="楷体_GB2312">
    <w:altName w:val="楷体"/>
    <w:panose1 w:val="02010609030101010101"/>
    <w:charset w:val="86"/>
    <w:family w:val="modern"/>
    <w:pitch w:val="default"/>
    <w:sig w:usb0="00000000" w:usb1="00000000" w:usb2="00000000" w:usb3="00000000" w:csb0="00040000" w:csb1="00000000"/>
    <w:embedRegular r:id="rId4" w:fontKey="{AAE7845C-D3FF-4C03-AC77-9C6BCE434229}"/>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5" w:fontKey="{2F0E7708-4B63-4C04-9069-E63B110A43FB}"/>
  </w:font>
  <w:font w:name="仿宋">
    <w:panose1 w:val="02010609060101010101"/>
    <w:charset w:val="86"/>
    <w:family w:val="auto"/>
    <w:pitch w:val="default"/>
    <w:sig w:usb0="800002BF" w:usb1="38CF7CFA" w:usb2="00000016" w:usb3="00000000" w:csb0="00040001" w:csb1="00000000"/>
    <w:embedRegular r:id="rId6" w:fontKey="{30AA7E2F-29F2-4F3B-8B35-A67BB00C1AAF}"/>
  </w:font>
  <w:font w:name="Cambria Math">
    <w:panose1 w:val="02040503050406030204"/>
    <w:charset w:val="00"/>
    <w:family w:val="auto"/>
    <w:pitch w:val="default"/>
    <w:sig w:usb0="E00006FF" w:usb1="420024FF" w:usb2="02000000" w:usb3="00000000" w:csb0="2000019F" w:csb1="00000000"/>
    <w:embedRegular r:id="rId7" w:fontKey="{315B9481-5E49-4032-A21E-250A2EE6C77E}"/>
  </w:font>
  <w:font w:name="微软雅黑">
    <w:panose1 w:val="020B0503020204020204"/>
    <w:charset w:val="86"/>
    <w:family w:val="swiss"/>
    <w:pitch w:val="default"/>
    <w:sig w:usb0="80000287" w:usb1="2ACF3C50" w:usb2="00000016" w:usb3="00000000" w:csb0="0004001F" w:csb1="00000000"/>
    <w:embedRegular r:id="rId8" w:fontKey="{B806B12B-F0A5-4732-938F-1E9215D30F4A}"/>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D67EC">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1DAB7">
    <w:pPr>
      <w:pStyle w:val="16"/>
      <w:framePr w:wrap="around" w:vAnchor="text" w:hAnchor="margin" w:xAlign="center" w:y="1"/>
      <w:ind w:firstLine="360"/>
      <w:rPr>
        <w:rStyle w:val="32"/>
      </w:rPr>
    </w:pPr>
    <w:r>
      <w:fldChar w:fldCharType="begin"/>
    </w:r>
    <w:r>
      <w:rPr>
        <w:rStyle w:val="32"/>
      </w:rPr>
      <w:instrText xml:space="preserve">PAGE  </w:instrText>
    </w:r>
    <w:r>
      <w:fldChar w:fldCharType="end"/>
    </w:r>
  </w:p>
  <w:p w14:paraId="6FC5F28A">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B02DC">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B5E74">
    <w:pPr>
      <w:pStyle w:val="16"/>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AA5B04">
                          <w:pPr>
                            <w:pStyle w:val="16"/>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fww/a98BAADBAwAADgAAAAAA&#10;AAABACAAAAAeAQAAZHJzL2Uyb0RvYy54bWxQSwUGAAAAAAYABgBZAQAAbwUAAAAA&#10;">
              <v:fill on="f" focussize="0,0"/>
              <v:stroke on="f"/>
              <v:imagedata o:title=""/>
              <o:lock v:ext="edit" aspectratio="f"/>
              <v:textbox inset="0mm,0mm,0mm,0mm" style="mso-fit-shape-to-text:t;">
                <w:txbxContent>
                  <w:p w14:paraId="24AA5B04">
                    <w:pPr>
                      <w:pStyle w:val="1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2AD7C">
    <w:pPr>
      <w:pStyle w:val="16"/>
      <w:ind w:left="0" w:leftChars="0" w:right="360" w:firstLine="0" w:firstLineChars="0"/>
      <w:jc w:val="both"/>
    </w:pPr>
    <w:r>
      <w:rPr>
        <w:sz w:val="18"/>
      </w:rPr>
      <mc:AlternateContent>
        <mc:Choice Requires="wps">
          <w:drawing>
            <wp:anchor distT="0" distB="0" distL="114300" distR="114300" simplePos="0" relativeHeight="251660288" behindDoc="0" locked="0" layoutInCell="1" allowOverlap="1">
              <wp:simplePos x="0" y="0"/>
              <wp:positionH relativeFrom="margin">
                <wp:posOffset>2575560</wp:posOffset>
              </wp:positionH>
              <wp:positionV relativeFrom="paragraph">
                <wp:posOffset>-98425</wp:posOffset>
              </wp:positionV>
              <wp:extent cx="350520" cy="234950"/>
              <wp:effectExtent l="0" t="0" r="0" b="0"/>
              <wp:wrapNone/>
              <wp:docPr id="3" name="文本框 2051"/>
              <wp:cNvGraphicFramePr/>
              <a:graphic xmlns:a="http://schemas.openxmlformats.org/drawingml/2006/main">
                <a:graphicData uri="http://schemas.microsoft.com/office/word/2010/wordprocessingShape">
                  <wps:wsp>
                    <wps:cNvSpPr txBox="1"/>
                    <wps:spPr>
                      <a:xfrm>
                        <a:off x="0" y="0"/>
                        <a:ext cx="350520" cy="234950"/>
                      </a:xfrm>
                      <a:prstGeom prst="rect">
                        <a:avLst/>
                      </a:prstGeom>
                      <a:noFill/>
                      <a:ln>
                        <a:noFill/>
                      </a:ln>
                    </wps:spPr>
                    <wps:txbx>
                      <w:txbxContent>
                        <w:p w14:paraId="7A181096">
                          <w:pPr>
                            <w:pStyle w:val="16"/>
                            <w:ind w:left="0" w:leftChars="0" w:firstLine="0" w:firstLineChars="0"/>
                          </w:pPr>
                          <w:r>
                            <w:fldChar w:fldCharType="begin"/>
                          </w:r>
                          <w:r>
                            <w:instrText xml:space="preserve"> PAGE  \* MERGEFORMAT </w:instrText>
                          </w:r>
                          <w:r>
                            <w:fldChar w:fldCharType="separate"/>
                          </w:r>
                          <w:r>
                            <w:t>37</w:t>
                          </w:r>
                          <w:r>
                            <w:fldChar w:fldCharType="end"/>
                          </w:r>
                        </w:p>
                      </w:txbxContent>
                    </wps:txbx>
                    <wps:bodyPr vert="horz" wrap="square" lIns="0" tIns="0" rIns="0" bIns="0" anchor="t" anchorCtr="0" upright="0"/>
                  </wps:wsp>
                </a:graphicData>
              </a:graphic>
            </wp:anchor>
          </w:drawing>
        </mc:Choice>
        <mc:Fallback>
          <w:pict>
            <v:shape id="文本框 2051" o:spid="_x0000_s1026" o:spt="202" type="#_x0000_t202" style="position:absolute;left:0pt;margin-left:202.8pt;margin-top:-7.75pt;height:18.5pt;width:27.6pt;mso-position-horizontal-relative:margin;z-index:251660288;mso-width-relative:page;mso-height-relative:page;" filled="f" stroked="f" coordsize="21600,21600" o:gfxdata="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bY+XgNkAAAAKAQAADwAA&#10;AAAAAAABACAAAAAiAAAAZHJzL2Rvd25yZXYueG1sUEsBAhQAFAAAAAgAh07iQEnWSaDcAQAApwMA&#10;AA4AAAAAAAAAAQAgAAAAKAEAAGRycy9lMm9Eb2MueG1sUEsFBgAAAAAGAAYAWQEAAHYFAAAAAA==&#10;">
              <v:fill on="f" focussize="0,0"/>
              <v:stroke on="f"/>
              <v:imagedata o:title=""/>
              <o:lock v:ext="edit" aspectratio="f"/>
              <v:textbox inset="0mm,0mm,0mm,0mm">
                <w:txbxContent>
                  <w:p w14:paraId="7A181096">
                    <w:pPr>
                      <w:pStyle w:val="16"/>
                      <w:ind w:left="0" w:leftChars="0" w:firstLine="0" w:firstLineChars="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195A0">
    <w:pPr>
      <w:pStyle w:val="17"/>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5CD20">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C91AC">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EE58A4"/>
    <w:multiLevelType w:val="singleLevel"/>
    <w:tmpl w:val="21EE58A4"/>
    <w:lvl w:ilvl="0" w:tentative="0">
      <w:start w:val="1"/>
      <w:numFmt w:val="decimal"/>
      <w:suff w:val="nothing"/>
      <w:lvlText w:val="（%1）"/>
      <w:lvlJc w:val="left"/>
    </w:lvl>
  </w:abstractNum>
  <w:abstractNum w:abstractNumId="1">
    <w:nsid w:val="561E173D"/>
    <w:multiLevelType w:val="multilevel"/>
    <w:tmpl w:val="561E173D"/>
    <w:lvl w:ilvl="0" w:tentative="0">
      <w:start w:val="1"/>
      <w:numFmt w:val="decimal"/>
      <w:suff w:val="space"/>
      <w:lvlText w:val="%1"/>
      <w:lvlJc w:val="left"/>
      <w:pPr>
        <w:tabs>
          <w:tab w:val="left" w:pos="0"/>
        </w:tabs>
        <w:ind w:left="0" w:firstLine="0"/>
      </w:pPr>
      <w:rPr>
        <w:rFonts w:hint="default" w:ascii="Times New Roman" w:hAnsi="Times New Roman" w:eastAsia="宋体" w:cs="宋体"/>
      </w:rPr>
    </w:lvl>
    <w:lvl w:ilvl="1" w:tentative="0">
      <w:start w:val="1"/>
      <w:numFmt w:val="decimal"/>
      <w:suff w:val="space"/>
      <w:lvlText w:val="%1.%2"/>
      <w:lvlJc w:val="left"/>
      <w:pPr>
        <w:tabs>
          <w:tab w:val="left" w:pos="0"/>
        </w:tabs>
        <w:ind w:left="0" w:firstLine="0"/>
      </w:pPr>
      <w:rPr>
        <w:rFonts w:hint="default" w:ascii="Times New Roman" w:hAnsi="Times New Roman" w:eastAsia="宋体" w:cs="宋体"/>
      </w:rPr>
    </w:lvl>
    <w:lvl w:ilvl="2" w:tentative="0">
      <w:start w:val="1"/>
      <w:numFmt w:val="decimal"/>
      <w:suff w:val="space"/>
      <w:lvlText w:val="%1.%2.%3"/>
      <w:lvlJc w:val="left"/>
      <w:pPr>
        <w:tabs>
          <w:tab w:val="left" w:pos="0"/>
        </w:tabs>
        <w:ind w:left="0" w:firstLine="0"/>
      </w:pPr>
      <w:rPr>
        <w:rFonts w:hint="default" w:ascii="Times New Roman" w:hAnsi="Times New Roman" w:eastAsia="宋体" w:cs="宋体"/>
      </w:rPr>
    </w:lvl>
    <w:lvl w:ilvl="3" w:tentative="0">
      <w:start w:val="1"/>
      <w:numFmt w:val="decimal"/>
      <w:suff w:val="space"/>
      <w:lvlText w:val="%1.%2.%3.%4"/>
      <w:lvlJc w:val="left"/>
      <w:pPr>
        <w:tabs>
          <w:tab w:val="left" w:pos="0"/>
        </w:tabs>
        <w:ind w:left="0" w:firstLine="0"/>
      </w:pPr>
      <w:rPr>
        <w:rFonts w:hint="default" w:ascii="Times New Roman" w:hAnsi="Times New Roman" w:eastAsia="宋体" w:cs="宋体"/>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1"/>
        </w:tabs>
        <w:ind w:left="1151" w:hanging="1151"/>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3"/>
        </w:tabs>
        <w:ind w:left="1583" w:hanging="1583"/>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哦">
    <w15:presenceInfo w15:providerId="None" w15:userId="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hNzc2ZTJkNzU3Mjg2ZmFjNWJmZGJjNWExZTQxODEifQ=="/>
  </w:docVars>
  <w:rsids>
    <w:rsidRoot w:val="00A14947"/>
    <w:rsid w:val="000051F2"/>
    <w:rsid w:val="000060B3"/>
    <w:rsid w:val="00007708"/>
    <w:rsid w:val="00013A4F"/>
    <w:rsid w:val="00016C72"/>
    <w:rsid w:val="00024A6A"/>
    <w:rsid w:val="00024F91"/>
    <w:rsid w:val="00031899"/>
    <w:rsid w:val="00032D5B"/>
    <w:rsid w:val="000371EC"/>
    <w:rsid w:val="00037D03"/>
    <w:rsid w:val="00041573"/>
    <w:rsid w:val="0004197C"/>
    <w:rsid w:val="0004364B"/>
    <w:rsid w:val="000439DC"/>
    <w:rsid w:val="000465AA"/>
    <w:rsid w:val="00051FEB"/>
    <w:rsid w:val="00054525"/>
    <w:rsid w:val="00055D78"/>
    <w:rsid w:val="000600A1"/>
    <w:rsid w:val="00061B1F"/>
    <w:rsid w:val="00063FFB"/>
    <w:rsid w:val="000641BE"/>
    <w:rsid w:val="00067299"/>
    <w:rsid w:val="0007245A"/>
    <w:rsid w:val="000733C4"/>
    <w:rsid w:val="00074783"/>
    <w:rsid w:val="00075E8F"/>
    <w:rsid w:val="0008070B"/>
    <w:rsid w:val="00080B6B"/>
    <w:rsid w:val="000810AC"/>
    <w:rsid w:val="00081A02"/>
    <w:rsid w:val="00082231"/>
    <w:rsid w:val="00084E16"/>
    <w:rsid w:val="00086269"/>
    <w:rsid w:val="000873A9"/>
    <w:rsid w:val="00087989"/>
    <w:rsid w:val="00092D38"/>
    <w:rsid w:val="0009377B"/>
    <w:rsid w:val="000966F1"/>
    <w:rsid w:val="000A0DFB"/>
    <w:rsid w:val="000A20C9"/>
    <w:rsid w:val="000A296A"/>
    <w:rsid w:val="000A47AB"/>
    <w:rsid w:val="000A7D81"/>
    <w:rsid w:val="000B04E9"/>
    <w:rsid w:val="000B058F"/>
    <w:rsid w:val="000B3906"/>
    <w:rsid w:val="000B4467"/>
    <w:rsid w:val="000B4DB9"/>
    <w:rsid w:val="000B5238"/>
    <w:rsid w:val="000C09AC"/>
    <w:rsid w:val="000C1F86"/>
    <w:rsid w:val="000C767F"/>
    <w:rsid w:val="000D5A44"/>
    <w:rsid w:val="000D6769"/>
    <w:rsid w:val="000E16CA"/>
    <w:rsid w:val="000E334F"/>
    <w:rsid w:val="000E3ED2"/>
    <w:rsid w:val="000E4E11"/>
    <w:rsid w:val="000E7167"/>
    <w:rsid w:val="000F1021"/>
    <w:rsid w:val="0010690F"/>
    <w:rsid w:val="00110DA0"/>
    <w:rsid w:val="0011118E"/>
    <w:rsid w:val="00112A0C"/>
    <w:rsid w:val="00112DFF"/>
    <w:rsid w:val="001143FF"/>
    <w:rsid w:val="001225EE"/>
    <w:rsid w:val="00123BFC"/>
    <w:rsid w:val="00124D27"/>
    <w:rsid w:val="00125FEB"/>
    <w:rsid w:val="00127413"/>
    <w:rsid w:val="00131F42"/>
    <w:rsid w:val="00132258"/>
    <w:rsid w:val="0013341D"/>
    <w:rsid w:val="001357F1"/>
    <w:rsid w:val="00140FA8"/>
    <w:rsid w:val="00142FEB"/>
    <w:rsid w:val="00143A2D"/>
    <w:rsid w:val="001448F1"/>
    <w:rsid w:val="00145A41"/>
    <w:rsid w:val="00151675"/>
    <w:rsid w:val="00154859"/>
    <w:rsid w:val="00154C45"/>
    <w:rsid w:val="00157435"/>
    <w:rsid w:val="0016102D"/>
    <w:rsid w:val="00161A03"/>
    <w:rsid w:val="00162BA9"/>
    <w:rsid w:val="001645D7"/>
    <w:rsid w:val="00165BDC"/>
    <w:rsid w:val="00165BE1"/>
    <w:rsid w:val="00167E64"/>
    <w:rsid w:val="00172F21"/>
    <w:rsid w:val="0017348B"/>
    <w:rsid w:val="00174465"/>
    <w:rsid w:val="0017504D"/>
    <w:rsid w:val="00175614"/>
    <w:rsid w:val="001761B3"/>
    <w:rsid w:val="0017671A"/>
    <w:rsid w:val="00177422"/>
    <w:rsid w:val="0017799B"/>
    <w:rsid w:val="00181908"/>
    <w:rsid w:val="0018345F"/>
    <w:rsid w:val="00183A97"/>
    <w:rsid w:val="00184590"/>
    <w:rsid w:val="00184C62"/>
    <w:rsid w:val="0018582C"/>
    <w:rsid w:val="001870D1"/>
    <w:rsid w:val="0018781E"/>
    <w:rsid w:val="0019262D"/>
    <w:rsid w:val="00192F0F"/>
    <w:rsid w:val="00193F1F"/>
    <w:rsid w:val="00195386"/>
    <w:rsid w:val="001A1B35"/>
    <w:rsid w:val="001A36FC"/>
    <w:rsid w:val="001A3B70"/>
    <w:rsid w:val="001A48A2"/>
    <w:rsid w:val="001A522B"/>
    <w:rsid w:val="001A5431"/>
    <w:rsid w:val="001A6F61"/>
    <w:rsid w:val="001B25F8"/>
    <w:rsid w:val="001B2A04"/>
    <w:rsid w:val="001B2DD2"/>
    <w:rsid w:val="001B46E5"/>
    <w:rsid w:val="001B5108"/>
    <w:rsid w:val="001B72B8"/>
    <w:rsid w:val="001B752B"/>
    <w:rsid w:val="001C1144"/>
    <w:rsid w:val="001C1F3A"/>
    <w:rsid w:val="001C4AAB"/>
    <w:rsid w:val="001C52E3"/>
    <w:rsid w:val="001C69B3"/>
    <w:rsid w:val="001D0962"/>
    <w:rsid w:val="001D5595"/>
    <w:rsid w:val="001D5D4C"/>
    <w:rsid w:val="001D7874"/>
    <w:rsid w:val="001D7F22"/>
    <w:rsid w:val="001E0FDD"/>
    <w:rsid w:val="001F0124"/>
    <w:rsid w:val="001F0F17"/>
    <w:rsid w:val="001F3347"/>
    <w:rsid w:val="001F510E"/>
    <w:rsid w:val="001F69C0"/>
    <w:rsid w:val="001F69E4"/>
    <w:rsid w:val="001F7056"/>
    <w:rsid w:val="001F7F24"/>
    <w:rsid w:val="00200F13"/>
    <w:rsid w:val="00201BE9"/>
    <w:rsid w:val="00203724"/>
    <w:rsid w:val="00206823"/>
    <w:rsid w:val="00210DC0"/>
    <w:rsid w:val="00211E42"/>
    <w:rsid w:val="002125B4"/>
    <w:rsid w:val="00212E6E"/>
    <w:rsid w:val="00212EBD"/>
    <w:rsid w:val="002155B8"/>
    <w:rsid w:val="0021582C"/>
    <w:rsid w:val="00215865"/>
    <w:rsid w:val="002200E4"/>
    <w:rsid w:val="00224839"/>
    <w:rsid w:val="002249B2"/>
    <w:rsid w:val="00224D3B"/>
    <w:rsid w:val="00226574"/>
    <w:rsid w:val="002278EC"/>
    <w:rsid w:val="00232419"/>
    <w:rsid w:val="0023280E"/>
    <w:rsid w:val="002377D1"/>
    <w:rsid w:val="002379E4"/>
    <w:rsid w:val="00241044"/>
    <w:rsid w:val="00242F29"/>
    <w:rsid w:val="00243371"/>
    <w:rsid w:val="0024789E"/>
    <w:rsid w:val="002506BC"/>
    <w:rsid w:val="002509BA"/>
    <w:rsid w:val="00254345"/>
    <w:rsid w:val="00254FDB"/>
    <w:rsid w:val="00255A3E"/>
    <w:rsid w:val="00264557"/>
    <w:rsid w:val="00266A1D"/>
    <w:rsid w:val="00266F1E"/>
    <w:rsid w:val="00267E36"/>
    <w:rsid w:val="00270352"/>
    <w:rsid w:val="002718E0"/>
    <w:rsid w:val="002805AB"/>
    <w:rsid w:val="00282B9E"/>
    <w:rsid w:val="00284204"/>
    <w:rsid w:val="002857C5"/>
    <w:rsid w:val="0028751D"/>
    <w:rsid w:val="00291048"/>
    <w:rsid w:val="00291773"/>
    <w:rsid w:val="00296179"/>
    <w:rsid w:val="0029743A"/>
    <w:rsid w:val="002A168C"/>
    <w:rsid w:val="002A200B"/>
    <w:rsid w:val="002A37B5"/>
    <w:rsid w:val="002A3DC7"/>
    <w:rsid w:val="002A6818"/>
    <w:rsid w:val="002B49E2"/>
    <w:rsid w:val="002B54AC"/>
    <w:rsid w:val="002B60AF"/>
    <w:rsid w:val="002B7B00"/>
    <w:rsid w:val="002B7C44"/>
    <w:rsid w:val="002C2B17"/>
    <w:rsid w:val="002C5E51"/>
    <w:rsid w:val="002C62AA"/>
    <w:rsid w:val="002D214E"/>
    <w:rsid w:val="002D3DD0"/>
    <w:rsid w:val="002D5B3D"/>
    <w:rsid w:val="002D661C"/>
    <w:rsid w:val="002E1F3A"/>
    <w:rsid w:val="002E298A"/>
    <w:rsid w:val="002E2A03"/>
    <w:rsid w:val="002E3E13"/>
    <w:rsid w:val="002E5012"/>
    <w:rsid w:val="002F1A84"/>
    <w:rsid w:val="002F1B0B"/>
    <w:rsid w:val="002F3459"/>
    <w:rsid w:val="002F4B8B"/>
    <w:rsid w:val="002F4E3E"/>
    <w:rsid w:val="00301978"/>
    <w:rsid w:val="0030332C"/>
    <w:rsid w:val="003035DD"/>
    <w:rsid w:val="003051C2"/>
    <w:rsid w:val="0030524F"/>
    <w:rsid w:val="00312296"/>
    <w:rsid w:val="00314F0E"/>
    <w:rsid w:val="003158C4"/>
    <w:rsid w:val="00320844"/>
    <w:rsid w:val="00321D8E"/>
    <w:rsid w:val="00321EBE"/>
    <w:rsid w:val="00325928"/>
    <w:rsid w:val="00327135"/>
    <w:rsid w:val="00330FCF"/>
    <w:rsid w:val="00331A03"/>
    <w:rsid w:val="00332818"/>
    <w:rsid w:val="00332863"/>
    <w:rsid w:val="00333A74"/>
    <w:rsid w:val="0033684D"/>
    <w:rsid w:val="00337AFE"/>
    <w:rsid w:val="00337B42"/>
    <w:rsid w:val="00341B42"/>
    <w:rsid w:val="0034241B"/>
    <w:rsid w:val="00342E03"/>
    <w:rsid w:val="0034338E"/>
    <w:rsid w:val="0034348F"/>
    <w:rsid w:val="00346BEC"/>
    <w:rsid w:val="003513C6"/>
    <w:rsid w:val="003528F7"/>
    <w:rsid w:val="0035432F"/>
    <w:rsid w:val="00354DD0"/>
    <w:rsid w:val="0035512B"/>
    <w:rsid w:val="00356653"/>
    <w:rsid w:val="0035743F"/>
    <w:rsid w:val="00357BE2"/>
    <w:rsid w:val="0036170C"/>
    <w:rsid w:val="00363DC9"/>
    <w:rsid w:val="00366E0F"/>
    <w:rsid w:val="003737F2"/>
    <w:rsid w:val="0037663B"/>
    <w:rsid w:val="00377CD1"/>
    <w:rsid w:val="0038065D"/>
    <w:rsid w:val="00381A72"/>
    <w:rsid w:val="00384676"/>
    <w:rsid w:val="00386A98"/>
    <w:rsid w:val="003903D5"/>
    <w:rsid w:val="00390857"/>
    <w:rsid w:val="00391BE9"/>
    <w:rsid w:val="003965A3"/>
    <w:rsid w:val="003A4BF3"/>
    <w:rsid w:val="003B0ADA"/>
    <w:rsid w:val="003B3549"/>
    <w:rsid w:val="003B420D"/>
    <w:rsid w:val="003B4573"/>
    <w:rsid w:val="003B7388"/>
    <w:rsid w:val="003C59FF"/>
    <w:rsid w:val="003C6C16"/>
    <w:rsid w:val="003C71E5"/>
    <w:rsid w:val="003C749B"/>
    <w:rsid w:val="003D1B47"/>
    <w:rsid w:val="003D5B47"/>
    <w:rsid w:val="003D5D26"/>
    <w:rsid w:val="003D794D"/>
    <w:rsid w:val="003E24A7"/>
    <w:rsid w:val="003E3058"/>
    <w:rsid w:val="003E49BF"/>
    <w:rsid w:val="003E76A9"/>
    <w:rsid w:val="003F0809"/>
    <w:rsid w:val="003F4BF8"/>
    <w:rsid w:val="003F6301"/>
    <w:rsid w:val="003F6A8C"/>
    <w:rsid w:val="003F755C"/>
    <w:rsid w:val="004054D0"/>
    <w:rsid w:val="00406F01"/>
    <w:rsid w:val="0040710E"/>
    <w:rsid w:val="004072C6"/>
    <w:rsid w:val="00410DC9"/>
    <w:rsid w:val="00415892"/>
    <w:rsid w:val="00415D10"/>
    <w:rsid w:val="00416D50"/>
    <w:rsid w:val="00416FD5"/>
    <w:rsid w:val="00417772"/>
    <w:rsid w:val="00420E6A"/>
    <w:rsid w:val="00425A9E"/>
    <w:rsid w:val="00426D6B"/>
    <w:rsid w:val="00430030"/>
    <w:rsid w:val="0043180D"/>
    <w:rsid w:val="00431E6C"/>
    <w:rsid w:val="00432918"/>
    <w:rsid w:val="00433CE7"/>
    <w:rsid w:val="00442631"/>
    <w:rsid w:val="00445863"/>
    <w:rsid w:val="00447F0F"/>
    <w:rsid w:val="00452738"/>
    <w:rsid w:val="00452D11"/>
    <w:rsid w:val="00455260"/>
    <w:rsid w:val="00455CF8"/>
    <w:rsid w:val="00456091"/>
    <w:rsid w:val="00456F24"/>
    <w:rsid w:val="00460E7B"/>
    <w:rsid w:val="0046301B"/>
    <w:rsid w:val="00466321"/>
    <w:rsid w:val="0047025F"/>
    <w:rsid w:val="00470B1D"/>
    <w:rsid w:val="00473955"/>
    <w:rsid w:val="004741C8"/>
    <w:rsid w:val="0048034C"/>
    <w:rsid w:val="00483B58"/>
    <w:rsid w:val="004849C0"/>
    <w:rsid w:val="00484B9B"/>
    <w:rsid w:val="004855F6"/>
    <w:rsid w:val="0048661E"/>
    <w:rsid w:val="004876BC"/>
    <w:rsid w:val="0049146C"/>
    <w:rsid w:val="00493B9A"/>
    <w:rsid w:val="00494670"/>
    <w:rsid w:val="00496BD0"/>
    <w:rsid w:val="004A105C"/>
    <w:rsid w:val="004A3823"/>
    <w:rsid w:val="004A6EDB"/>
    <w:rsid w:val="004B531F"/>
    <w:rsid w:val="004B6DDD"/>
    <w:rsid w:val="004C033F"/>
    <w:rsid w:val="004C0EDE"/>
    <w:rsid w:val="004C3AFC"/>
    <w:rsid w:val="004C41D7"/>
    <w:rsid w:val="004C7AC9"/>
    <w:rsid w:val="004C7C1F"/>
    <w:rsid w:val="004C7DAA"/>
    <w:rsid w:val="004E139B"/>
    <w:rsid w:val="004E2A36"/>
    <w:rsid w:val="004E2B2D"/>
    <w:rsid w:val="004E3632"/>
    <w:rsid w:val="004E66DB"/>
    <w:rsid w:val="004E6946"/>
    <w:rsid w:val="004F18C9"/>
    <w:rsid w:val="004F1AD8"/>
    <w:rsid w:val="004F1BCC"/>
    <w:rsid w:val="004F2597"/>
    <w:rsid w:val="004F39C2"/>
    <w:rsid w:val="004F5B1A"/>
    <w:rsid w:val="00501F69"/>
    <w:rsid w:val="00502262"/>
    <w:rsid w:val="005039CB"/>
    <w:rsid w:val="0050558F"/>
    <w:rsid w:val="005058B5"/>
    <w:rsid w:val="00506286"/>
    <w:rsid w:val="00510813"/>
    <w:rsid w:val="00511990"/>
    <w:rsid w:val="00511DE0"/>
    <w:rsid w:val="005138DF"/>
    <w:rsid w:val="00513D3D"/>
    <w:rsid w:val="00514870"/>
    <w:rsid w:val="00514B9B"/>
    <w:rsid w:val="005161F4"/>
    <w:rsid w:val="005163C7"/>
    <w:rsid w:val="00517F02"/>
    <w:rsid w:val="00524303"/>
    <w:rsid w:val="005257CF"/>
    <w:rsid w:val="005258A2"/>
    <w:rsid w:val="00527780"/>
    <w:rsid w:val="00527FCB"/>
    <w:rsid w:val="005304F9"/>
    <w:rsid w:val="0053489C"/>
    <w:rsid w:val="00534F4F"/>
    <w:rsid w:val="005401AE"/>
    <w:rsid w:val="00541C3B"/>
    <w:rsid w:val="00542929"/>
    <w:rsid w:val="00542E07"/>
    <w:rsid w:val="005436AA"/>
    <w:rsid w:val="0054478F"/>
    <w:rsid w:val="00545410"/>
    <w:rsid w:val="00545424"/>
    <w:rsid w:val="0054744C"/>
    <w:rsid w:val="00552521"/>
    <w:rsid w:val="00554A7B"/>
    <w:rsid w:val="00554C0A"/>
    <w:rsid w:val="0055572C"/>
    <w:rsid w:val="0056089C"/>
    <w:rsid w:val="0056106A"/>
    <w:rsid w:val="00562069"/>
    <w:rsid w:val="005624AC"/>
    <w:rsid w:val="0056282F"/>
    <w:rsid w:val="00565EED"/>
    <w:rsid w:val="00566AE5"/>
    <w:rsid w:val="0057166E"/>
    <w:rsid w:val="005720AE"/>
    <w:rsid w:val="005749E6"/>
    <w:rsid w:val="00576055"/>
    <w:rsid w:val="00587BE3"/>
    <w:rsid w:val="0059018E"/>
    <w:rsid w:val="00590E5F"/>
    <w:rsid w:val="0059232B"/>
    <w:rsid w:val="00592FF8"/>
    <w:rsid w:val="00593368"/>
    <w:rsid w:val="0059470D"/>
    <w:rsid w:val="00594D77"/>
    <w:rsid w:val="00594F4D"/>
    <w:rsid w:val="0059568B"/>
    <w:rsid w:val="005969E4"/>
    <w:rsid w:val="00597EC5"/>
    <w:rsid w:val="005A06B7"/>
    <w:rsid w:val="005A1759"/>
    <w:rsid w:val="005A5081"/>
    <w:rsid w:val="005A68A7"/>
    <w:rsid w:val="005B037D"/>
    <w:rsid w:val="005B3B91"/>
    <w:rsid w:val="005C030D"/>
    <w:rsid w:val="005C0C36"/>
    <w:rsid w:val="005C530A"/>
    <w:rsid w:val="005D069B"/>
    <w:rsid w:val="005D1B40"/>
    <w:rsid w:val="005D36AB"/>
    <w:rsid w:val="005D4007"/>
    <w:rsid w:val="005E3933"/>
    <w:rsid w:val="005E40FD"/>
    <w:rsid w:val="005F2C8C"/>
    <w:rsid w:val="005F518D"/>
    <w:rsid w:val="005F7D0F"/>
    <w:rsid w:val="005F7DF2"/>
    <w:rsid w:val="0060073A"/>
    <w:rsid w:val="00602194"/>
    <w:rsid w:val="006039BF"/>
    <w:rsid w:val="00603CB3"/>
    <w:rsid w:val="00603D15"/>
    <w:rsid w:val="0061138B"/>
    <w:rsid w:val="00612C82"/>
    <w:rsid w:val="006130C1"/>
    <w:rsid w:val="00617CC3"/>
    <w:rsid w:val="00625076"/>
    <w:rsid w:val="006277A0"/>
    <w:rsid w:val="00627B0C"/>
    <w:rsid w:val="0063705D"/>
    <w:rsid w:val="006377A6"/>
    <w:rsid w:val="00637A3D"/>
    <w:rsid w:val="006411EF"/>
    <w:rsid w:val="00645A82"/>
    <w:rsid w:val="006546A5"/>
    <w:rsid w:val="00654A5B"/>
    <w:rsid w:val="006642AA"/>
    <w:rsid w:val="00666AAC"/>
    <w:rsid w:val="0066775E"/>
    <w:rsid w:val="0067174A"/>
    <w:rsid w:val="006742BC"/>
    <w:rsid w:val="006748B8"/>
    <w:rsid w:val="00674B99"/>
    <w:rsid w:val="006775C3"/>
    <w:rsid w:val="0068253A"/>
    <w:rsid w:val="00682F97"/>
    <w:rsid w:val="00683063"/>
    <w:rsid w:val="0068307F"/>
    <w:rsid w:val="00686BFC"/>
    <w:rsid w:val="0069093A"/>
    <w:rsid w:val="0069290A"/>
    <w:rsid w:val="00697619"/>
    <w:rsid w:val="0069775A"/>
    <w:rsid w:val="00697813"/>
    <w:rsid w:val="00697B1F"/>
    <w:rsid w:val="006A0A1E"/>
    <w:rsid w:val="006A3EE8"/>
    <w:rsid w:val="006A72BF"/>
    <w:rsid w:val="006B03F2"/>
    <w:rsid w:val="006B37DC"/>
    <w:rsid w:val="006B4F68"/>
    <w:rsid w:val="006C0592"/>
    <w:rsid w:val="006C272E"/>
    <w:rsid w:val="006C5323"/>
    <w:rsid w:val="006C5479"/>
    <w:rsid w:val="006D13B5"/>
    <w:rsid w:val="006D4A3C"/>
    <w:rsid w:val="006D4AD9"/>
    <w:rsid w:val="006D4B08"/>
    <w:rsid w:val="006D5271"/>
    <w:rsid w:val="006D64C0"/>
    <w:rsid w:val="006D7BD2"/>
    <w:rsid w:val="006E0154"/>
    <w:rsid w:val="006E0D5F"/>
    <w:rsid w:val="006E0F13"/>
    <w:rsid w:val="006E1080"/>
    <w:rsid w:val="006E12FF"/>
    <w:rsid w:val="006E4410"/>
    <w:rsid w:val="006E4FA1"/>
    <w:rsid w:val="006E607E"/>
    <w:rsid w:val="006E7A2D"/>
    <w:rsid w:val="006E7F2C"/>
    <w:rsid w:val="006F2DB0"/>
    <w:rsid w:val="006F4B10"/>
    <w:rsid w:val="006F5D24"/>
    <w:rsid w:val="00702423"/>
    <w:rsid w:val="00705E0B"/>
    <w:rsid w:val="00706B64"/>
    <w:rsid w:val="00706C5D"/>
    <w:rsid w:val="0070705F"/>
    <w:rsid w:val="00707DF5"/>
    <w:rsid w:val="00713B82"/>
    <w:rsid w:val="00716C6D"/>
    <w:rsid w:val="007176CB"/>
    <w:rsid w:val="007242AD"/>
    <w:rsid w:val="0072576F"/>
    <w:rsid w:val="007259B2"/>
    <w:rsid w:val="00726BE1"/>
    <w:rsid w:val="00727D49"/>
    <w:rsid w:val="00731061"/>
    <w:rsid w:val="007318A1"/>
    <w:rsid w:val="00732922"/>
    <w:rsid w:val="00733F73"/>
    <w:rsid w:val="0073634F"/>
    <w:rsid w:val="00736361"/>
    <w:rsid w:val="00744F0D"/>
    <w:rsid w:val="007513F9"/>
    <w:rsid w:val="007514AB"/>
    <w:rsid w:val="00751562"/>
    <w:rsid w:val="007515C4"/>
    <w:rsid w:val="0075162E"/>
    <w:rsid w:val="00754034"/>
    <w:rsid w:val="007543B8"/>
    <w:rsid w:val="00756364"/>
    <w:rsid w:val="00756556"/>
    <w:rsid w:val="0076110A"/>
    <w:rsid w:val="007618C4"/>
    <w:rsid w:val="0076585E"/>
    <w:rsid w:val="00767474"/>
    <w:rsid w:val="00767980"/>
    <w:rsid w:val="00770B19"/>
    <w:rsid w:val="007736A6"/>
    <w:rsid w:val="007740D1"/>
    <w:rsid w:val="0077463F"/>
    <w:rsid w:val="00776829"/>
    <w:rsid w:val="00780921"/>
    <w:rsid w:val="007836EA"/>
    <w:rsid w:val="00784CDA"/>
    <w:rsid w:val="00787185"/>
    <w:rsid w:val="007902FF"/>
    <w:rsid w:val="0079054A"/>
    <w:rsid w:val="007906C4"/>
    <w:rsid w:val="007940EA"/>
    <w:rsid w:val="007967E8"/>
    <w:rsid w:val="00797ACA"/>
    <w:rsid w:val="007A178C"/>
    <w:rsid w:val="007A2170"/>
    <w:rsid w:val="007A22BF"/>
    <w:rsid w:val="007A3323"/>
    <w:rsid w:val="007A397E"/>
    <w:rsid w:val="007B1B91"/>
    <w:rsid w:val="007B20C7"/>
    <w:rsid w:val="007B2B66"/>
    <w:rsid w:val="007B2DF1"/>
    <w:rsid w:val="007B72B8"/>
    <w:rsid w:val="007B7A58"/>
    <w:rsid w:val="007C18BA"/>
    <w:rsid w:val="007C21B5"/>
    <w:rsid w:val="007C2610"/>
    <w:rsid w:val="007C28D6"/>
    <w:rsid w:val="007C5FEC"/>
    <w:rsid w:val="007C77A0"/>
    <w:rsid w:val="007D1AED"/>
    <w:rsid w:val="007D3C5F"/>
    <w:rsid w:val="007D3F7C"/>
    <w:rsid w:val="007D4E34"/>
    <w:rsid w:val="007D5BB2"/>
    <w:rsid w:val="007D6F02"/>
    <w:rsid w:val="007E4BD2"/>
    <w:rsid w:val="007F1F1E"/>
    <w:rsid w:val="007F3AC2"/>
    <w:rsid w:val="007F631A"/>
    <w:rsid w:val="007F78BA"/>
    <w:rsid w:val="00801393"/>
    <w:rsid w:val="00802F88"/>
    <w:rsid w:val="008035D8"/>
    <w:rsid w:val="00804BF3"/>
    <w:rsid w:val="00810D7B"/>
    <w:rsid w:val="0081293E"/>
    <w:rsid w:val="00815465"/>
    <w:rsid w:val="0081774B"/>
    <w:rsid w:val="00817E9A"/>
    <w:rsid w:val="00821002"/>
    <w:rsid w:val="008256C9"/>
    <w:rsid w:val="008306BD"/>
    <w:rsid w:val="00831A80"/>
    <w:rsid w:val="00833743"/>
    <w:rsid w:val="008340A4"/>
    <w:rsid w:val="008369DD"/>
    <w:rsid w:val="0084362B"/>
    <w:rsid w:val="0084378A"/>
    <w:rsid w:val="00850F20"/>
    <w:rsid w:val="0085281E"/>
    <w:rsid w:val="008547F6"/>
    <w:rsid w:val="00856662"/>
    <w:rsid w:val="00857962"/>
    <w:rsid w:val="008659E9"/>
    <w:rsid w:val="00870E06"/>
    <w:rsid w:val="0087135F"/>
    <w:rsid w:val="00871E0C"/>
    <w:rsid w:val="00872A7B"/>
    <w:rsid w:val="00872D94"/>
    <w:rsid w:val="00876600"/>
    <w:rsid w:val="008779BB"/>
    <w:rsid w:val="00880364"/>
    <w:rsid w:val="0088343E"/>
    <w:rsid w:val="00883FFA"/>
    <w:rsid w:val="008909E1"/>
    <w:rsid w:val="00891592"/>
    <w:rsid w:val="00891E9E"/>
    <w:rsid w:val="008927BA"/>
    <w:rsid w:val="008932D9"/>
    <w:rsid w:val="008A2F68"/>
    <w:rsid w:val="008A3B24"/>
    <w:rsid w:val="008A5290"/>
    <w:rsid w:val="008B021A"/>
    <w:rsid w:val="008B1305"/>
    <w:rsid w:val="008B29FC"/>
    <w:rsid w:val="008B2E44"/>
    <w:rsid w:val="008B4FA6"/>
    <w:rsid w:val="008B5282"/>
    <w:rsid w:val="008B7C17"/>
    <w:rsid w:val="008C0FE9"/>
    <w:rsid w:val="008C2C10"/>
    <w:rsid w:val="008C2D01"/>
    <w:rsid w:val="008C40E6"/>
    <w:rsid w:val="008C54EC"/>
    <w:rsid w:val="008C5EF5"/>
    <w:rsid w:val="008D0D25"/>
    <w:rsid w:val="008D0E81"/>
    <w:rsid w:val="008D0F7A"/>
    <w:rsid w:val="008D2662"/>
    <w:rsid w:val="008D2FC5"/>
    <w:rsid w:val="008D3291"/>
    <w:rsid w:val="008D3744"/>
    <w:rsid w:val="008D68E4"/>
    <w:rsid w:val="008E0190"/>
    <w:rsid w:val="008E0506"/>
    <w:rsid w:val="008E0CFF"/>
    <w:rsid w:val="008E2723"/>
    <w:rsid w:val="008E44C3"/>
    <w:rsid w:val="008E5D6B"/>
    <w:rsid w:val="008E76F0"/>
    <w:rsid w:val="008E7F79"/>
    <w:rsid w:val="008F15FE"/>
    <w:rsid w:val="008F2D29"/>
    <w:rsid w:val="008F5187"/>
    <w:rsid w:val="008F60D8"/>
    <w:rsid w:val="008F77F0"/>
    <w:rsid w:val="00902727"/>
    <w:rsid w:val="0090312B"/>
    <w:rsid w:val="00910DEF"/>
    <w:rsid w:val="00912C88"/>
    <w:rsid w:val="00914036"/>
    <w:rsid w:val="00914794"/>
    <w:rsid w:val="0091736D"/>
    <w:rsid w:val="00921D0D"/>
    <w:rsid w:val="00922E73"/>
    <w:rsid w:val="009232C2"/>
    <w:rsid w:val="009250F5"/>
    <w:rsid w:val="0093037A"/>
    <w:rsid w:val="0093395A"/>
    <w:rsid w:val="00936304"/>
    <w:rsid w:val="00940319"/>
    <w:rsid w:val="0094154D"/>
    <w:rsid w:val="00945EC8"/>
    <w:rsid w:val="00946321"/>
    <w:rsid w:val="0095155F"/>
    <w:rsid w:val="00951F9F"/>
    <w:rsid w:val="00953C54"/>
    <w:rsid w:val="00954429"/>
    <w:rsid w:val="00955D9F"/>
    <w:rsid w:val="00955F5F"/>
    <w:rsid w:val="009563CE"/>
    <w:rsid w:val="00960B34"/>
    <w:rsid w:val="00966DEA"/>
    <w:rsid w:val="0097172A"/>
    <w:rsid w:val="00971B84"/>
    <w:rsid w:val="00972C74"/>
    <w:rsid w:val="00976328"/>
    <w:rsid w:val="0097680D"/>
    <w:rsid w:val="009801BE"/>
    <w:rsid w:val="0098030F"/>
    <w:rsid w:val="00982438"/>
    <w:rsid w:val="0098404C"/>
    <w:rsid w:val="00985283"/>
    <w:rsid w:val="009862EC"/>
    <w:rsid w:val="00987FC2"/>
    <w:rsid w:val="0099293D"/>
    <w:rsid w:val="00993534"/>
    <w:rsid w:val="00995992"/>
    <w:rsid w:val="009A03E5"/>
    <w:rsid w:val="009A0F3B"/>
    <w:rsid w:val="009A1BB4"/>
    <w:rsid w:val="009A2628"/>
    <w:rsid w:val="009A3200"/>
    <w:rsid w:val="009A5AD3"/>
    <w:rsid w:val="009A7BFB"/>
    <w:rsid w:val="009B0897"/>
    <w:rsid w:val="009B3A0E"/>
    <w:rsid w:val="009B776C"/>
    <w:rsid w:val="009B7BD9"/>
    <w:rsid w:val="009C4248"/>
    <w:rsid w:val="009C6DD0"/>
    <w:rsid w:val="009C7DD5"/>
    <w:rsid w:val="009D1409"/>
    <w:rsid w:val="009D3FF4"/>
    <w:rsid w:val="009D77B3"/>
    <w:rsid w:val="009E14FD"/>
    <w:rsid w:val="009E205C"/>
    <w:rsid w:val="009E227D"/>
    <w:rsid w:val="009E37CE"/>
    <w:rsid w:val="009E5019"/>
    <w:rsid w:val="009F09A4"/>
    <w:rsid w:val="009F09EC"/>
    <w:rsid w:val="009F158C"/>
    <w:rsid w:val="009F17EC"/>
    <w:rsid w:val="009F2BBA"/>
    <w:rsid w:val="009F4308"/>
    <w:rsid w:val="009F6CDA"/>
    <w:rsid w:val="009F7246"/>
    <w:rsid w:val="00A0106D"/>
    <w:rsid w:val="00A04F1B"/>
    <w:rsid w:val="00A0501B"/>
    <w:rsid w:val="00A067F0"/>
    <w:rsid w:val="00A101D9"/>
    <w:rsid w:val="00A14947"/>
    <w:rsid w:val="00A15FA2"/>
    <w:rsid w:val="00A16041"/>
    <w:rsid w:val="00A17447"/>
    <w:rsid w:val="00A2408E"/>
    <w:rsid w:val="00A25376"/>
    <w:rsid w:val="00A27E94"/>
    <w:rsid w:val="00A32295"/>
    <w:rsid w:val="00A32A83"/>
    <w:rsid w:val="00A3309C"/>
    <w:rsid w:val="00A33CBB"/>
    <w:rsid w:val="00A368DB"/>
    <w:rsid w:val="00A3696D"/>
    <w:rsid w:val="00A423AA"/>
    <w:rsid w:val="00A42F5B"/>
    <w:rsid w:val="00A4641D"/>
    <w:rsid w:val="00A53CBE"/>
    <w:rsid w:val="00A53EC6"/>
    <w:rsid w:val="00A5495E"/>
    <w:rsid w:val="00A55C0F"/>
    <w:rsid w:val="00A62C4D"/>
    <w:rsid w:val="00A63667"/>
    <w:rsid w:val="00A65F3B"/>
    <w:rsid w:val="00A664E5"/>
    <w:rsid w:val="00A67F0A"/>
    <w:rsid w:val="00A805CF"/>
    <w:rsid w:val="00A81CAC"/>
    <w:rsid w:val="00A821F1"/>
    <w:rsid w:val="00A836F8"/>
    <w:rsid w:val="00A84712"/>
    <w:rsid w:val="00A84CE8"/>
    <w:rsid w:val="00A8567F"/>
    <w:rsid w:val="00A862DE"/>
    <w:rsid w:val="00A86850"/>
    <w:rsid w:val="00A8713F"/>
    <w:rsid w:val="00A90BA1"/>
    <w:rsid w:val="00A9110C"/>
    <w:rsid w:val="00A97A9A"/>
    <w:rsid w:val="00A97DDA"/>
    <w:rsid w:val="00AA0671"/>
    <w:rsid w:val="00AA2531"/>
    <w:rsid w:val="00AA4F99"/>
    <w:rsid w:val="00AB1E09"/>
    <w:rsid w:val="00AB297A"/>
    <w:rsid w:val="00AB3E9C"/>
    <w:rsid w:val="00AB5330"/>
    <w:rsid w:val="00AB7747"/>
    <w:rsid w:val="00AB7C27"/>
    <w:rsid w:val="00AC14CE"/>
    <w:rsid w:val="00AC2A56"/>
    <w:rsid w:val="00AC4E5B"/>
    <w:rsid w:val="00AC4EEC"/>
    <w:rsid w:val="00AD055E"/>
    <w:rsid w:val="00AD47A7"/>
    <w:rsid w:val="00AD78DD"/>
    <w:rsid w:val="00AD7FB9"/>
    <w:rsid w:val="00AE1057"/>
    <w:rsid w:val="00AE6439"/>
    <w:rsid w:val="00AF0CBF"/>
    <w:rsid w:val="00AF257F"/>
    <w:rsid w:val="00AF268C"/>
    <w:rsid w:val="00AF33CF"/>
    <w:rsid w:val="00AF3F88"/>
    <w:rsid w:val="00AF4D50"/>
    <w:rsid w:val="00AF6179"/>
    <w:rsid w:val="00B02F98"/>
    <w:rsid w:val="00B03D58"/>
    <w:rsid w:val="00B11A38"/>
    <w:rsid w:val="00B11EC1"/>
    <w:rsid w:val="00B1295A"/>
    <w:rsid w:val="00B14850"/>
    <w:rsid w:val="00B16AAB"/>
    <w:rsid w:val="00B20A45"/>
    <w:rsid w:val="00B211DE"/>
    <w:rsid w:val="00B21CB0"/>
    <w:rsid w:val="00B22B9F"/>
    <w:rsid w:val="00B22C5C"/>
    <w:rsid w:val="00B24F30"/>
    <w:rsid w:val="00B31ABF"/>
    <w:rsid w:val="00B31F5C"/>
    <w:rsid w:val="00B3227C"/>
    <w:rsid w:val="00B32D35"/>
    <w:rsid w:val="00B33BE3"/>
    <w:rsid w:val="00B341E1"/>
    <w:rsid w:val="00B417BD"/>
    <w:rsid w:val="00B41F3E"/>
    <w:rsid w:val="00B42E76"/>
    <w:rsid w:val="00B4424D"/>
    <w:rsid w:val="00B453F1"/>
    <w:rsid w:val="00B46409"/>
    <w:rsid w:val="00B5016D"/>
    <w:rsid w:val="00B5105C"/>
    <w:rsid w:val="00B5348E"/>
    <w:rsid w:val="00B536E2"/>
    <w:rsid w:val="00B53A5C"/>
    <w:rsid w:val="00B53B5D"/>
    <w:rsid w:val="00B5536E"/>
    <w:rsid w:val="00B55961"/>
    <w:rsid w:val="00B55A6D"/>
    <w:rsid w:val="00B5656A"/>
    <w:rsid w:val="00B57677"/>
    <w:rsid w:val="00B6055E"/>
    <w:rsid w:val="00B60E80"/>
    <w:rsid w:val="00B62D69"/>
    <w:rsid w:val="00B6317D"/>
    <w:rsid w:val="00B651F1"/>
    <w:rsid w:val="00B67C2F"/>
    <w:rsid w:val="00B7678E"/>
    <w:rsid w:val="00B7723F"/>
    <w:rsid w:val="00B774D1"/>
    <w:rsid w:val="00B775F4"/>
    <w:rsid w:val="00B80534"/>
    <w:rsid w:val="00B8433C"/>
    <w:rsid w:val="00B84673"/>
    <w:rsid w:val="00B84886"/>
    <w:rsid w:val="00B84FD1"/>
    <w:rsid w:val="00B87491"/>
    <w:rsid w:val="00B87ADF"/>
    <w:rsid w:val="00B93CFC"/>
    <w:rsid w:val="00B9487E"/>
    <w:rsid w:val="00B9517D"/>
    <w:rsid w:val="00B95328"/>
    <w:rsid w:val="00BA20A9"/>
    <w:rsid w:val="00BA29E9"/>
    <w:rsid w:val="00BA5AEA"/>
    <w:rsid w:val="00BA5FDF"/>
    <w:rsid w:val="00BA7142"/>
    <w:rsid w:val="00BB1C0C"/>
    <w:rsid w:val="00BB237C"/>
    <w:rsid w:val="00BB2EC5"/>
    <w:rsid w:val="00BB41A3"/>
    <w:rsid w:val="00BB758B"/>
    <w:rsid w:val="00BB7BAD"/>
    <w:rsid w:val="00BC32DC"/>
    <w:rsid w:val="00BC35B6"/>
    <w:rsid w:val="00BD1131"/>
    <w:rsid w:val="00BD1B51"/>
    <w:rsid w:val="00BD2EAE"/>
    <w:rsid w:val="00BD4596"/>
    <w:rsid w:val="00BD5FB8"/>
    <w:rsid w:val="00BE0E18"/>
    <w:rsid w:val="00BE1405"/>
    <w:rsid w:val="00BE312D"/>
    <w:rsid w:val="00BE577E"/>
    <w:rsid w:val="00BF043E"/>
    <w:rsid w:val="00BF1C20"/>
    <w:rsid w:val="00BF2582"/>
    <w:rsid w:val="00BF6B50"/>
    <w:rsid w:val="00C00E9A"/>
    <w:rsid w:val="00C05C41"/>
    <w:rsid w:val="00C10578"/>
    <w:rsid w:val="00C11750"/>
    <w:rsid w:val="00C12E0B"/>
    <w:rsid w:val="00C12F12"/>
    <w:rsid w:val="00C135BC"/>
    <w:rsid w:val="00C15C95"/>
    <w:rsid w:val="00C22037"/>
    <w:rsid w:val="00C25345"/>
    <w:rsid w:val="00C2596A"/>
    <w:rsid w:val="00C27537"/>
    <w:rsid w:val="00C2792C"/>
    <w:rsid w:val="00C303F7"/>
    <w:rsid w:val="00C326F1"/>
    <w:rsid w:val="00C328FE"/>
    <w:rsid w:val="00C33507"/>
    <w:rsid w:val="00C35065"/>
    <w:rsid w:val="00C3689D"/>
    <w:rsid w:val="00C378B3"/>
    <w:rsid w:val="00C4059E"/>
    <w:rsid w:val="00C4409D"/>
    <w:rsid w:val="00C44406"/>
    <w:rsid w:val="00C44E72"/>
    <w:rsid w:val="00C45A06"/>
    <w:rsid w:val="00C473BA"/>
    <w:rsid w:val="00C47E5B"/>
    <w:rsid w:val="00C5044F"/>
    <w:rsid w:val="00C53302"/>
    <w:rsid w:val="00C53E1D"/>
    <w:rsid w:val="00C61E4B"/>
    <w:rsid w:val="00C64BFF"/>
    <w:rsid w:val="00C704E9"/>
    <w:rsid w:val="00C7094E"/>
    <w:rsid w:val="00C70D88"/>
    <w:rsid w:val="00C718CB"/>
    <w:rsid w:val="00C763C9"/>
    <w:rsid w:val="00C77804"/>
    <w:rsid w:val="00C80057"/>
    <w:rsid w:val="00C82232"/>
    <w:rsid w:val="00C82913"/>
    <w:rsid w:val="00C84AB7"/>
    <w:rsid w:val="00C90BB9"/>
    <w:rsid w:val="00C972B1"/>
    <w:rsid w:val="00CA0D3D"/>
    <w:rsid w:val="00CA2CCE"/>
    <w:rsid w:val="00CA43FD"/>
    <w:rsid w:val="00CA759C"/>
    <w:rsid w:val="00CA7EF8"/>
    <w:rsid w:val="00CB150E"/>
    <w:rsid w:val="00CB1BF9"/>
    <w:rsid w:val="00CB6832"/>
    <w:rsid w:val="00CC0C47"/>
    <w:rsid w:val="00CC35F8"/>
    <w:rsid w:val="00CC489B"/>
    <w:rsid w:val="00CD2BCD"/>
    <w:rsid w:val="00CD35A9"/>
    <w:rsid w:val="00CD3A4C"/>
    <w:rsid w:val="00CD56F8"/>
    <w:rsid w:val="00CD5C85"/>
    <w:rsid w:val="00CE10E9"/>
    <w:rsid w:val="00CE1668"/>
    <w:rsid w:val="00CE2910"/>
    <w:rsid w:val="00CE32F8"/>
    <w:rsid w:val="00CE442E"/>
    <w:rsid w:val="00CE4AFB"/>
    <w:rsid w:val="00CE5393"/>
    <w:rsid w:val="00CE5651"/>
    <w:rsid w:val="00CF2C56"/>
    <w:rsid w:val="00CF2CDF"/>
    <w:rsid w:val="00CF36BE"/>
    <w:rsid w:val="00CF4901"/>
    <w:rsid w:val="00CF6000"/>
    <w:rsid w:val="00D003F3"/>
    <w:rsid w:val="00D01E7E"/>
    <w:rsid w:val="00D034C6"/>
    <w:rsid w:val="00D0364F"/>
    <w:rsid w:val="00D03E27"/>
    <w:rsid w:val="00D04E68"/>
    <w:rsid w:val="00D06834"/>
    <w:rsid w:val="00D14D0B"/>
    <w:rsid w:val="00D205AD"/>
    <w:rsid w:val="00D21E38"/>
    <w:rsid w:val="00D22867"/>
    <w:rsid w:val="00D308ED"/>
    <w:rsid w:val="00D36D86"/>
    <w:rsid w:val="00D40499"/>
    <w:rsid w:val="00D428AA"/>
    <w:rsid w:val="00D47A98"/>
    <w:rsid w:val="00D50A34"/>
    <w:rsid w:val="00D52D51"/>
    <w:rsid w:val="00D530D9"/>
    <w:rsid w:val="00D53EFA"/>
    <w:rsid w:val="00D57124"/>
    <w:rsid w:val="00D6058C"/>
    <w:rsid w:val="00D64A95"/>
    <w:rsid w:val="00D65AF8"/>
    <w:rsid w:val="00D66063"/>
    <w:rsid w:val="00D71274"/>
    <w:rsid w:val="00D712F2"/>
    <w:rsid w:val="00D720D7"/>
    <w:rsid w:val="00D75733"/>
    <w:rsid w:val="00D75FDB"/>
    <w:rsid w:val="00D7626F"/>
    <w:rsid w:val="00D764A2"/>
    <w:rsid w:val="00D804BD"/>
    <w:rsid w:val="00D8172D"/>
    <w:rsid w:val="00D84CE4"/>
    <w:rsid w:val="00D874C5"/>
    <w:rsid w:val="00D94A7C"/>
    <w:rsid w:val="00D95896"/>
    <w:rsid w:val="00D96690"/>
    <w:rsid w:val="00DA0043"/>
    <w:rsid w:val="00DA01B4"/>
    <w:rsid w:val="00DA5D07"/>
    <w:rsid w:val="00DA68C5"/>
    <w:rsid w:val="00DB2955"/>
    <w:rsid w:val="00DB2983"/>
    <w:rsid w:val="00DB490C"/>
    <w:rsid w:val="00DB5378"/>
    <w:rsid w:val="00DB57B3"/>
    <w:rsid w:val="00DC1257"/>
    <w:rsid w:val="00DC3DC0"/>
    <w:rsid w:val="00DC5B2B"/>
    <w:rsid w:val="00DD033C"/>
    <w:rsid w:val="00DD318D"/>
    <w:rsid w:val="00DD4A8B"/>
    <w:rsid w:val="00DD4B20"/>
    <w:rsid w:val="00DD6BED"/>
    <w:rsid w:val="00DE5D5F"/>
    <w:rsid w:val="00DE7C65"/>
    <w:rsid w:val="00DF2E12"/>
    <w:rsid w:val="00DF2E41"/>
    <w:rsid w:val="00DF514A"/>
    <w:rsid w:val="00DF6690"/>
    <w:rsid w:val="00DF6804"/>
    <w:rsid w:val="00DF7BAB"/>
    <w:rsid w:val="00E0358D"/>
    <w:rsid w:val="00E04323"/>
    <w:rsid w:val="00E067BD"/>
    <w:rsid w:val="00E070A2"/>
    <w:rsid w:val="00E07B5F"/>
    <w:rsid w:val="00E1598B"/>
    <w:rsid w:val="00E15F00"/>
    <w:rsid w:val="00E167D1"/>
    <w:rsid w:val="00E20BA8"/>
    <w:rsid w:val="00E21F4C"/>
    <w:rsid w:val="00E2283B"/>
    <w:rsid w:val="00E23418"/>
    <w:rsid w:val="00E2656A"/>
    <w:rsid w:val="00E374B7"/>
    <w:rsid w:val="00E4001A"/>
    <w:rsid w:val="00E412D0"/>
    <w:rsid w:val="00E43270"/>
    <w:rsid w:val="00E459E5"/>
    <w:rsid w:val="00E46439"/>
    <w:rsid w:val="00E4670C"/>
    <w:rsid w:val="00E51F8E"/>
    <w:rsid w:val="00E56322"/>
    <w:rsid w:val="00E5757D"/>
    <w:rsid w:val="00E6079A"/>
    <w:rsid w:val="00E60982"/>
    <w:rsid w:val="00E60A9C"/>
    <w:rsid w:val="00E62C62"/>
    <w:rsid w:val="00E654C1"/>
    <w:rsid w:val="00E65D97"/>
    <w:rsid w:val="00E6742E"/>
    <w:rsid w:val="00E719F4"/>
    <w:rsid w:val="00E72329"/>
    <w:rsid w:val="00E724DB"/>
    <w:rsid w:val="00E72A5A"/>
    <w:rsid w:val="00E73341"/>
    <w:rsid w:val="00E73354"/>
    <w:rsid w:val="00E74B40"/>
    <w:rsid w:val="00E8047F"/>
    <w:rsid w:val="00E81D19"/>
    <w:rsid w:val="00E87ADA"/>
    <w:rsid w:val="00E9242D"/>
    <w:rsid w:val="00E96CB5"/>
    <w:rsid w:val="00EA0021"/>
    <w:rsid w:val="00EA238E"/>
    <w:rsid w:val="00EA2F1C"/>
    <w:rsid w:val="00EA34DB"/>
    <w:rsid w:val="00EA48CE"/>
    <w:rsid w:val="00EA6D59"/>
    <w:rsid w:val="00EB06A9"/>
    <w:rsid w:val="00EB5255"/>
    <w:rsid w:val="00EB5C47"/>
    <w:rsid w:val="00EB6479"/>
    <w:rsid w:val="00EB6E3E"/>
    <w:rsid w:val="00EB7831"/>
    <w:rsid w:val="00EC06C4"/>
    <w:rsid w:val="00EC14F2"/>
    <w:rsid w:val="00EC1B3A"/>
    <w:rsid w:val="00EC5C34"/>
    <w:rsid w:val="00ED0639"/>
    <w:rsid w:val="00ED1FD1"/>
    <w:rsid w:val="00ED5632"/>
    <w:rsid w:val="00EE46DA"/>
    <w:rsid w:val="00EF45D7"/>
    <w:rsid w:val="00EF4755"/>
    <w:rsid w:val="00EF7135"/>
    <w:rsid w:val="00F0087F"/>
    <w:rsid w:val="00F00EA7"/>
    <w:rsid w:val="00F027DB"/>
    <w:rsid w:val="00F0494B"/>
    <w:rsid w:val="00F051FC"/>
    <w:rsid w:val="00F068AC"/>
    <w:rsid w:val="00F14239"/>
    <w:rsid w:val="00F14A7A"/>
    <w:rsid w:val="00F22985"/>
    <w:rsid w:val="00F24524"/>
    <w:rsid w:val="00F263E0"/>
    <w:rsid w:val="00F306DC"/>
    <w:rsid w:val="00F3383E"/>
    <w:rsid w:val="00F40FE3"/>
    <w:rsid w:val="00F465A7"/>
    <w:rsid w:val="00F50B7C"/>
    <w:rsid w:val="00F5242A"/>
    <w:rsid w:val="00F550E6"/>
    <w:rsid w:val="00F62D90"/>
    <w:rsid w:val="00F62E2D"/>
    <w:rsid w:val="00F62EA6"/>
    <w:rsid w:val="00F6399B"/>
    <w:rsid w:val="00F63E1A"/>
    <w:rsid w:val="00F65E5E"/>
    <w:rsid w:val="00F7050F"/>
    <w:rsid w:val="00F716F1"/>
    <w:rsid w:val="00F741C5"/>
    <w:rsid w:val="00F74345"/>
    <w:rsid w:val="00F74724"/>
    <w:rsid w:val="00F77D3F"/>
    <w:rsid w:val="00F80A0A"/>
    <w:rsid w:val="00F82B19"/>
    <w:rsid w:val="00F833D9"/>
    <w:rsid w:val="00F84318"/>
    <w:rsid w:val="00F85B73"/>
    <w:rsid w:val="00F85E1F"/>
    <w:rsid w:val="00F8662C"/>
    <w:rsid w:val="00F9212D"/>
    <w:rsid w:val="00F928A9"/>
    <w:rsid w:val="00F96497"/>
    <w:rsid w:val="00F965DA"/>
    <w:rsid w:val="00FA1855"/>
    <w:rsid w:val="00FA2703"/>
    <w:rsid w:val="00FA27EB"/>
    <w:rsid w:val="00FA406A"/>
    <w:rsid w:val="00FA42B4"/>
    <w:rsid w:val="00FA5B91"/>
    <w:rsid w:val="00FB503A"/>
    <w:rsid w:val="00FB516C"/>
    <w:rsid w:val="00FB62C4"/>
    <w:rsid w:val="00FB7F99"/>
    <w:rsid w:val="00FC04D2"/>
    <w:rsid w:val="00FD0236"/>
    <w:rsid w:val="00FD17DB"/>
    <w:rsid w:val="00FD18F4"/>
    <w:rsid w:val="00FD22D7"/>
    <w:rsid w:val="00FD54DB"/>
    <w:rsid w:val="00FD619F"/>
    <w:rsid w:val="00FE1FE0"/>
    <w:rsid w:val="00FE2306"/>
    <w:rsid w:val="00FE4B0C"/>
    <w:rsid w:val="00FE4D37"/>
    <w:rsid w:val="00FE657F"/>
    <w:rsid w:val="00FF45B6"/>
    <w:rsid w:val="00FF529C"/>
    <w:rsid w:val="00FF68D5"/>
    <w:rsid w:val="01290F7E"/>
    <w:rsid w:val="01321144"/>
    <w:rsid w:val="015D1E09"/>
    <w:rsid w:val="0200389B"/>
    <w:rsid w:val="02524E16"/>
    <w:rsid w:val="02581525"/>
    <w:rsid w:val="02697903"/>
    <w:rsid w:val="02C95AD7"/>
    <w:rsid w:val="02F96569"/>
    <w:rsid w:val="034F4BFC"/>
    <w:rsid w:val="03BB7FBE"/>
    <w:rsid w:val="03DA77B6"/>
    <w:rsid w:val="03EA7B21"/>
    <w:rsid w:val="040B68C0"/>
    <w:rsid w:val="04BA0275"/>
    <w:rsid w:val="04E76AA2"/>
    <w:rsid w:val="051E3A90"/>
    <w:rsid w:val="05236321"/>
    <w:rsid w:val="054A6D5C"/>
    <w:rsid w:val="05C200C5"/>
    <w:rsid w:val="05E5281B"/>
    <w:rsid w:val="05F83EAE"/>
    <w:rsid w:val="061B2869"/>
    <w:rsid w:val="063E7D85"/>
    <w:rsid w:val="065C6A89"/>
    <w:rsid w:val="069933FC"/>
    <w:rsid w:val="06D53145"/>
    <w:rsid w:val="06E20753"/>
    <w:rsid w:val="07032AE5"/>
    <w:rsid w:val="07293586"/>
    <w:rsid w:val="07295285"/>
    <w:rsid w:val="073F0403"/>
    <w:rsid w:val="075C75B8"/>
    <w:rsid w:val="07636392"/>
    <w:rsid w:val="07770C56"/>
    <w:rsid w:val="07A764F7"/>
    <w:rsid w:val="07D61CA0"/>
    <w:rsid w:val="07E6312F"/>
    <w:rsid w:val="07E85AF8"/>
    <w:rsid w:val="08362826"/>
    <w:rsid w:val="08F560BD"/>
    <w:rsid w:val="092217DD"/>
    <w:rsid w:val="092959CA"/>
    <w:rsid w:val="0934787D"/>
    <w:rsid w:val="093A7294"/>
    <w:rsid w:val="096856B8"/>
    <w:rsid w:val="09B71227"/>
    <w:rsid w:val="09D708EF"/>
    <w:rsid w:val="09DF2739"/>
    <w:rsid w:val="0A234099"/>
    <w:rsid w:val="0A263993"/>
    <w:rsid w:val="0A2D3AC2"/>
    <w:rsid w:val="0A4C5E14"/>
    <w:rsid w:val="0A4E0F72"/>
    <w:rsid w:val="0A816F70"/>
    <w:rsid w:val="0A8C6210"/>
    <w:rsid w:val="0A9756DA"/>
    <w:rsid w:val="0A9F4EBB"/>
    <w:rsid w:val="0AA755DF"/>
    <w:rsid w:val="0ACE0DDF"/>
    <w:rsid w:val="0B0853A8"/>
    <w:rsid w:val="0B120D44"/>
    <w:rsid w:val="0B4A7C52"/>
    <w:rsid w:val="0BAF5E50"/>
    <w:rsid w:val="0BD27BF6"/>
    <w:rsid w:val="0C3B3C7D"/>
    <w:rsid w:val="0C974DEB"/>
    <w:rsid w:val="0CAB2EAE"/>
    <w:rsid w:val="0CDA4523"/>
    <w:rsid w:val="0CF00476"/>
    <w:rsid w:val="0CFB70C7"/>
    <w:rsid w:val="0D105365"/>
    <w:rsid w:val="0D277019"/>
    <w:rsid w:val="0D621C7D"/>
    <w:rsid w:val="0D774F56"/>
    <w:rsid w:val="0DA22D17"/>
    <w:rsid w:val="0DA835BB"/>
    <w:rsid w:val="0DB02216"/>
    <w:rsid w:val="0DF77E44"/>
    <w:rsid w:val="0E142854"/>
    <w:rsid w:val="0E73034D"/>
    <w:rsid w:val="0E810F76"/>
    <w:rsid w:val="0EC8358F"/>
    <w:rsid w:val="0F13775A"/>
    <w:rsid w:val="0F216FC8"/>
    <w:rsid w:val="0F5F45FE"/>
    <w:rsid w:val="0F6459AD"/>
    <w:rsid w:val="0F9A112B"/>
    <w:rsid w:val="0FED59A3"/>
    <w:rsid w:val="105759AF"/>
    <w:rsid w:val="106D2F64"/>
    <w:rsid w:val="10B63710"/>
    <w:rsid w:val="10EF12A7"/>
    <w:rsid w:val="10F10820"/>
    <w:rsid w:val="110A60E1"/>
    <w:rsid w:val="111C2F7A"/>
    <w:rsid w:val="11665CA1"/>
    <w:rsid w:val="1183691A"/>
    <w:rsid w:val="118E3A13"/>
    <w:rsid w:val="119A56B6"/>
    <w:rsid w:val="11A27578"/>
    <w:rsid w:val="11E626AA"/>
    <w:rsid w:val="124E6A14"/>
    <w:rsid w:val="126857B5"/>
    <w:rsid w:val="12931AF8"/>
    <w:rsid w:val="129904C8"/>
    <w:rsid w:val="13232C54"/>
    <w:rsid w:val="132C79A5"/>
    <w:rsid w:val="13371E98"/>
    <w:rsid w:val="13896222"/>
    <w:rsid w:val="13951726"/>
    <w:rsid w:val="139606BE"/>
    <w:rsid w:val="13D36C5E"/>
    <w:rsid w:val="13E50ED3"/>
    <w:rsid w:val="140D6DBC"/>
    <w:rsid w:val="14396509"/>
    <w:rsid w:val="14B06F9F"/>
    <w:rsid w:val="14DD2C3C"/>
    <w:rsid w:val="154067D4"/>
    <w:rsid w:val="1559567A"/>
    <w:rsid w:val="155E603F"/>
    <w:rsid w:val="157D51B7"/>
    <w:rsid w:val="15CB1165"/>
    <w:rsid w:val="15CC6EFF"/>
    <w:rsid w:val="16087E1D"/>
    <w:rsid w:val="16504596"/>
    <w:rsid w:val="16511E5F"/>
    <w:rsid w:val="169D1CBC"/>
    <w:rsid w:val="16B020C0"/>
    <w:rsid w:val="16B136A2"/>
    <w:rsid w:val="16DF6DDB"/>
    <w:rsid w:val="1703565C"/>
    <w:rsid w:val="17326391"/>
    <w:rsid w:val="17544B07"/>
    <w:rsid w:val="17701D14"/>
    <w:rsid w:val="17735226"/>
    <w:rsid w:val="18024EBE"/>
    <w:rsid w:val="18635FBC"/>
    <w:rsid w:val="18671969"/>
    <w:rsid w:val="187D3118"/>
    <w:rsid w:val="189F624C"/>
    <w:rsid w:val="18A46999"/>
    <w:rsid w:val="18C6442E"/>
    <w:rsid w:val="18DD40DB"/>
    <w:rsid w:val="19267830"/>
    <w:rsid w:val="194E71A3"/>
    <w:rsid w:val="19AD2C95"/>
    <w:rsid w:val="19D40477"/>
    <w:rsid w:val="1A1C66C0"/>
    <w:rsid w:val="1A1D03C7"/>
    <w:rsid w:val="1A42393B"/>
    <w:rsid w:val="1AAD45DE"/>
    <w:rsid w:val="1AE312C8"/>
    <w:rsid w:val="1B046F80"/>
    <w:rsid w:val="1B1D5F8C"/>
    <w:rsid w:val="1B3267B5"/>
    <w:rsid w:val="1B347287"/>
    <w:rsid w:val="1B40161D"/>
    <w:rsid w:val="1B441859"/>
    <w:rsid w:val="1B4740C2"/>
    <w:rsid w:val="1B574618"/>
    <w:rsid w:val="1B6606B1"/>
    <w:rsid w:val="1B6B3C20"/>
    <w:rsid w:val="1B93768E"/>
    <w:rsid w:val="1BB37D4B"/>
    <w:rsid w:val="1C187068"/>
    <w:rsid w:val="1C5E7925"/>
    <w:rsid w:val="1C627DA4"/>
    <w:rsid w:val="1C856C21"/>
    <w:rsid w:val="1CAE142C"/>
    <w:rsid w:val="1CBE6A3A"/>
    <w:rsid w:val="1CFD070F"/>
    <w:rsid w:val="1D4D7A81"/>
    <w:rsid w:val="1D5F6196"/>
    <w:rsid w:val="1D6132A5"/>
    <w:rsid w:val="1D635858"/>
    <w:rsid w:val="1D8B145A"/>
    <w:rsid w:val="1D8E56D5"/>
    <w:rsid w:val="1DAC2E18"/>
    <w:rsid w:val="1DCC253C"/>
    <w:rsid w:val="1E5733A8"/>
    <w:rsid w:val="1E5B1C03"/>
    <w:rsid w:val="1E764DB5"/>
    <w:rsid w:val="1E7A43DA"/>
    <w:rsid w:val="1E8C6387"/>
    <w:rsid w:val="1F2612E6"/>
    <w:rsid w:val="1F6C2AA1"/>
    <w:rsid w:val="1F865C2C"/>
    <w:rsid w:val="1FE7539E"/>
    <w:rsid w:val="20226E08"/>
    <w:rsid w:val="20671BE0"/>
    <w:rsid w:val="206978B6"/>
    <w:rsid w:val="20847C0A"/>
    <w:rsid w:val="20963CB8"/>
    <w:rsid w:val="209C3705"/>
    <w:rsid w:val="20A12823"/>
    <w:rsid w:val="20A81A1B"/>
    <w:rsid w:val="20B07FB6"/>
    <w:rsid w:val="20B646FB"/>
    <w:rsid w:val="20D81D57"/>
    <w:rsid w:val="213B74B1"/>
    <w:rsid w:val="21582E98"/>
    <w:rsid w:val="215A2310"/>
    <w:rsid w:val="21727A96"/>
    <w:rsid w:val="21D06ED2"/>
    <w:rsid w:val="21DE318A"/>
    <w:rsid w:val="21E07116"/>
    <w:rsid w:val="21EF5B80"/>
    <w:rsid w:val="22004353"/>
    <w:rsid w:val="221026C4"/>
    <w:rsid w:val="22576990"/>
    <w:rsid w:val="22AD0279"/>
    <w:rsid w:val="22CC1448"/>
    <w:rsid w:val="22DD5403"/>
    <w:rsid w:val="22F47480"/>
    <w:rsid w:val="22F756CF"/>
    <w:rsid w:val="23040E22"/>
    <w:rsid w:val="235F7681"/>
    <w:rsid w:val="23801546"/>
    <w:rsid w:val="23A45F21"/>
    <w:rsid w:val="23DE1C48"/>
    <w:rsid w:val="240210CD"/>
    <w:rsid w:val="24222C5E"/>
    <w:rsid w:val="242552B4"/>
    <w:rsid w:val="24BF09F7"/>
    <w:rsid w:val="24FB2346"/>
    <w:rsid w:val="25044B67"/>
    <w:rsid w:val="25150C86"/>
    <w:rsid w:val="252D53FE"/>
    <w:rsid w:val="25446E5A"/>
    <w:rsid w:val="25463F2B"/>
    <w:rsid w:val="25847246"/>
    <w:rsid w:val="259324EC"/>
    <w:rsid w:val="25DA094C"/>
    <w:rsid w:val="25EC2D81"/>
    <w:rsid w:val="262242E7"/>
    <w:rsid w:val="26882E4A"/>
    <w:rsid w:val="26A10E3D"/>
    <w:rsid w:val="26E74AA2"/>
    <w:rsid w:val="26F52B8D"/>
    <w:rsid w:val="277057A2"/>
    <w:rsid w:val="27792608"/>
    <w:rsid w:val="27E56B08"/>
    <w:rsid w:val="280E3F56"/>
    <w:rsid w:val="280F3538"/>
    <w:rsid w:val="283D6356"/>
    <w:rsid w:val="286C3A08"/>
    <w:rsid w:val="288B346B"/>
    <w:rsid w:val="28D23530"/>
    <w:rsid w:val="28EF5E90"/>
    <w:rsid w:val="29206EB8"/>
    <w:rsid w:val="293926EA"/>
    <w:rsid w:val="29595666"/>
    <w:rsid w:val="29874881"/>
    <w:rsid w:val="29C933E6"/>
    <w:rsid w:val="29DB6414"/>
    <w:rsid w:val="29E325E0"/>
    <w:rsid w:val="2A452503"/>
    <w:rsid w:val="2ADB4D7F"/>
    <w:rsid w:val="2B0E5C88"/>
    <w:rsid w:val="2B3F0ED1"/>
    <w:rsid w:val="2B6B55D7"/>
    <w:rsid w:val="2B824D9A"/>
    <w:rsid w:val="2BA936A8"/>
    <w:rsid w:val="2C0E033F"/>
    <w:rsid w:val="2C315A5A"/>
    <w:rsid w:val="2C4B1C25"/>
    <w:rsid w:val="2C733B7D"/>
    <w:rsid w:val="2C7F577D"/>
    <w:rsid w:val="2C81685E"/>
    <w:rsid w:val="2CB64F0C"/>
    <w:rsid w:val="2CBB3B8C"/>
    <w:rsid w:val="2D106281"/>
    <w:rsid w:val="2D410C84"/>
    <w:rsid w:val="2D83129D"/>
    <w:rsid w:val="2D9E56F5"/>
    <w:rsid w:val="2E667F96"/>
    <w:rsid w:val="2E8226AB"/>
    <w:rsid w:val="2EF13F17"/>
    <w:rsid w:val="2F397228"/>
    <w:rsid w:val="2F3E1BE9"/>
    <w:rsid w:val="2F6620F1"/>
    <w:rsid w:val="2FD065E6"/>
    <w:rsid w:val="2FD96870"/>
    <w:rsid w:val="302A1EA4"/>
    <w:rsid w:val="30353851"/>
    <w:rsid w:val="30580BC9"/>
    <w:rsid w:val="30BA4FD6"/>
    <w:rsid w:val="30D61497"/>
    <w:rsid w:val="31012C04"/>
    <w:rsid w:val="311E2ED7"/>
    <w:rsid w:val="311F119A"/>
    <w:rsid w:val="31253DDC"/>
    <w:rsid w:val="313F6AFD"/>
    <w:rsid w:val="315619EE"/>
    <w:rsid w:val="315C449C"/>
    <w:rsid w:val="316136A3"/>
    <w:rsid w:val="318F0210"/>
    <w:rsid w:val="31973569"/>
    <w:rsid w:val="31B1596F"/>
    <w:rsid w:val="31B82709"/>
    <w:rsid w:val="31C93089"/>
    <w:rsid w:val="31D05482"/>
    <w:rsid w:val="31D73965"/>
    <w:rsid w:val="31F27E56"/>
    <w:rsid w:val="320C1861"/>
    <w:rsid w:val="320C7AB3"/>
    <w:rsid w:val="32400B34"/>
    <w:rsid w:val="32591540"/>
    <w:rsid w:val="329926F0"/>
    <w:rsid w:val="329E6876"/>
    <w:rsid w:val="32B37488"/>
    <w:rsid w:val="330369A7"/>
    <w:rsid w:val="33064502"/>
    <w:rsid w:val="333015F2"/>
    <w:rsid w:val="334B6320"/>
    <w:rsid w:val="336D27D3"/>
    <w:rsid w:val="33746867"/>
    <w:rsid w:val="33D934D4"/>
    <w:rsid w:val="33FE2F6A"/>
    <w:rsid w:val="340E07E5"/>
    <w:rsid w:val="34235BF7"/>
    <w:rsid w:val="342A2472"/>
    <w:rsid w:val="34480AEB"/>
    <w:rsid w:val="345629A3"/>
    <w:rsid w:val="34AE2035"/>
    <w:rsid w:val="34B8182C"/>
    <w:rsid w:val="34FB51A8"/>
    <w:rsid w:val="351647A5"/>
    <w:rsid w:val="351E3DBE"/>
    <w:rsid w:val="35357321"/>
    <w:rsid w:val="353D6A1E"/>
    <w:rsid w:val="3572412D"/>
    <w:rsid w:val="358C5FA8"/>
    <w:rsid w:val="35B538E8"/>
    <w:rsid w:val="35C15DF1"/>
    <w:rsid w:val="35CE4E14"/>
    <w:rsid w:val="35FF4BF1"/>
    <w:rsid w:val="36074A7F"/>
    <w:rsid w:val="361C154B"/>
    <w:rsid w:val="365F257B"/>
    <w:rsid w:val="367227F7"/>
    <w:rsid w:val="36923549"/>
    <w:rsid w:val="36AC6230"/>
    <w:rsid w:val="36B75FBF"/>
    <w:rsid w:val="36BD0C45"/>
    <w:rsid w:val="36C02C1A"/>
    <w:rsid w:val="36C94D6E"/>
    <w:rsid w:val="36CD211E"/>
    <w:rsid w:val="36D55BD5"/>
    <w:rsid w:val="36DE3B9A"/>
    <w:rsid w:val="36E05589"/>
    <w:rsid w:val="379529C1"/>
    <w:rsid w:val="37B759A8"/>
    <w:rsid w:val="37E00298"/>
    <w:rsid w:val="380652D8"/>
    <w:rsid w:val="38936EC5"/>
    <w:rsid w:val="38B302F9"/>
    <w:rsid w:val="38CD7948"/>
    <w:rsid w:val="38E54BBA"/>
    <w:rsid w:val="38F12CD3"/>
    <w:rsid w:val="38F94775"/>
    <w:rsid w:val="3905060C"/>
    <w:rsid w:val="3905563F"/>
    <w:rsid w:val="39282C51"/>
    <w:rsid w:val="392971ED"/>
    <w:rsid w:val="39325651"/>
    <w:rsid w:val="393B0C7E"/>
    <w:rsid w:val="396C4D85"/>
    <w:rsid w:val="3978678E"/>
    <w:rsid w:val="398F3560"/>
    <w:rsid w:val="3A1C285D"/>
    <w:rsid w:val="3A355F37"/>
    <w:rsid w:val="3A8237B1"/>
    <w:rsid w:val="3A872856"/>
    <w:rsid w:val="3A974F41"/>
    <w:rsid w:val="3AD10BF3"/>
    <w:rsid w:val="3B1E77A1"/>
    <w:rsid w:val="3B251BE5"/>
    <w:rsid w:val="3B3763D1"/>
    <w:rsid w:val="3B490455"/>
    <w:rsid w:val="3B5D4AFE"/>
    <w:rsid w:val="3BEB0739"/>
    <w:rsid w:val="3C2F6E1E"/>
    <w:rsid w:val="3C3739FB"/>
    <w:rsid w:val="3C3B116F"/>
    <w:rsid w:val="3C476E14"/>
    <w:rsid w:val="3C4B2A92"/>
    <w:rsid w:val="3C4F64BA"/>
    <w:rsid w:val="3C8B5399"/>
    <w:rsid w:val="3CDA245A"/>
    <w:rsid w:val="3D1E06B7"/>
    <w:rsid w:val="3D4B0E9F"/>
    <w:rsid w:val="3D5B544A"/>
    <w:rsid w:val="3D8B76A3"/>
    <w:rsid w:val="3DC65F30"/>
    <w:rsid w:val="3DCD2763"/>
    <w:rsid w:val="3DD0408A"/>
    <w:rsid w:val="3E042481"/>
    <w:rsid w:val="3E837AD0"/>
    <w:rsid w:val="3EB2553E"/>
    <w:rsid w:val="3EDA0523"/>
    <w:rsid w:val="3F4C3118"/>
    <w:rsid w:val="4010063C"/>
    <w:rsid w:val="4024421A"/>
    <w:rsid w:val="40416B7A"/>
    <w:rsid w:val="407671A0"/>
    <w:rsid w:val="407A6407"/>
    <w:rsid w:val="40E439A9"/>
    <w:rsid w:val="414322FD"/>
    <w:rsid w:val="419D3989"/>
    <w:rsid w:val="41A31E6A"/>
    <w:rsid w:val="41CC7C17"/>
    <w:rsid w:val="41CE67D4"/>
    <w:rsid w:val="41FD11C6"/>
    <w:rsid w:val="4200449D"/>
    <w:rsid w:val="421714B5"/>
    <w:rsid w:val="423A3BCC"/>
    <w:rsid w:val="424E57D2"/>
    <w:rsid w:val="426C648E"/>
    <w:rsid w:val="42B26C49"/>
    <w:rsid w:val="4301090E"/>
    <w:rsid w:val="43152C09"/>
    <w:rsid w:val="431E13F4"/>
    <w:rsid w:val="433A6FE6"/>
    <w:rsid w:val="43480868"/>
    <w:rsid w:val="4350713C"/>
    <w:rsid w:val="436653E0"/>
    <w:rsid w:val="43672D9B"/>
    <w:rsid w:val="436C22D5"/>
    <w:rsid w:val="43980CA1"/>
    <w:rsid w:val="43C1030D"/>
    <w:rsid w:val="43C4431A"/>
    <w:rsid w:val="43F839F3"/>
    <w:rsid w:val="44357E2E"/>
    <w:rsid w:val="4499139C"/>
    <w:rsid w:val="44995133"/>
    <w:rsid w:val="44B951CC"/>
    <w:rsid w:val="44CD14E0"/>
    <w:rsid w:val="44E421C9"/>
    <w:rsid w:val="44F015CD"/>
    <w:rsid w:val="44F20B0B"/>
    <w:rsid w:val="451800DA"/>
    <w:rsid w:val="45284A0F"/>
    <w:rsid w:val="452E5F4C"/>
    <w:rsid w:val="453749EF"/>
    <w:rsid w:val="45612018"/>
    <w:rsid w:val="456B0C9E"/>
    <w:rsid w:val="458946E9"/>
    <w:rsid w:val="45A47C0E"/>
    <w:rsid w:val="45EA1A61"/>
    <w:rsid w:val="46171BE8"/>
    <w:rsid w:val="463D19E3"/>
    <w:rsid w:val="46577FD6"/>
    <w:rsid w:val="465D297D"/>
    <w:rsid w:val="46B60358"/>
    <w:rsid w:val="46D955A7"/>
    <w:rsid w:val="46FC379C"/>
    <w:rsid w:val="46FD5ED5"/>
    <w:rsid w:val="47133957"/>
    <w:rsid w:val="47307948"/>
    <w:rsid w:val="477729D5"/>
    <w:rsid w:val="478D08F6"/>
    <w:rsid w:val="47A07E0C"/>
    <w:rsid w:val="47B265AF"/>
    <w:rsid w:val="47BB1826"/>
    <w:rsid w:val="485756B9"/>
    <w:rsid w:val="485C1B3B"/>
    <w:rsid w:val="4870272E"/>
    <w:rsid w:val="488C2595"/>
    <w:rsid w:val="48DD35B8"/>
    <w:rsid w:val="48DD3AFF"/>
    <w:rsid w:val="48F7696F"/>
    <w:rsid w:val="49374FBE"/>
    <w:rsid w:val="49877112"/>
    <w:rsid w:val="49C24952"/>
    <w:rsid w:val="49DC7715"/>
    <w:rsid w:val="49FA1EB4"/>
    <w:rsid w:val="4A023139"/>
    <w:rsid w:val="4A325785"/>
    <w:rsid w:val="4A4719D1"/>
    <w:rsid w:val="4A5406C0"/>
    <w:rsid w:val="4A5907F7"/>
    <w:rsid w:val="4A7B576F"/>
    <w:rsid w:val="4A8E413B"/>
    <w:rsid w:val="4AC72371"/>
    <w:rsid w:val="4ACC36A4"/>
    <w:rsid w:val="4AF26E32"/>
    <w:rsid w:val="4AF561A9"/>
    <w:rsid w:val="4B467CDB"/>
    <w:rsid w:val="4B710AE2"/>
    <w:rsid w:val="4B865D88"/>
    <w:rsid w:val="4BBE3774"/>
    <w:rsid w:val="4BF8764F"/>
    <w:rsid w:val="4C4A0649"/>
    <w:rsid w:val="4C7E5ECA"/>
    <w:rsid w:val="4C876AA5"/>
    <w:rsid w:val="4CAE1A3B"/>
    <w:rsid w:val="4CC144B2"/>
    <w:rsid w:val="4CF90E14"/>
    <w:rsid w:val="4D0E00FB"/>
    <w:rsid w:val="4D176606"/>
    <w:rsid w:val="4D183024"/>
    <w:rsid w:val="4D955878"/>
    <w:rsid w:val="4DAE1F81"/>
    <w:rsid w:val="4DD76D6F"/>
    <w:rsid w:val="4DEC4FB0"/>
    <w:rsid w:val="4DFE1BEF"/>
    <w:rsid w:val="4E075D8A"/>
    <w:rsid w:val="4E1E6C22"/>
    <w:rsid w:val="4E51034E"/>
    <w:rsid w:val="4E833ADE"/>
    <w:rsid w:val="4EC00FAD"/>
    <w:rsid w:val="4F1A33B7"/>
    <w:rsid w:val="4F560168"/>
    <w:rsid w:val="4F5D1EB7"/>
    <w:rsid w:val="4F9843DC"/>
    <w:rsid w:val="4FC62A8C"/>
    <w:rsid w:val="4FCC0218"/>
    <w:rsid w:val="4FDC68BF"/>
    <w:rsid w:val="4FE20F0D"/>
    <w:rsid w:val="4FE51552"/>
    <w:rsid w:val="4FF202B4"/>
    <w:rsid w:val="504128EA"/>
    <w:rsid w:val="50504C4B"/>
    <w:rsid w:val="509C6E7C"/>
    <w:rsid w:val="50BD6CE2"/>
    <w:rsid w:val="50F27791"/>
    <w:rsid w:val="5162104E"/>
    <w:rsid w:val="51833CE2"/>
    <w:rsid w:val="530C3017"/>
    <w:rsid w:val="5349426B"/>
    <w:rsid w:val="53547139"/>
    <w:rsid w:val="5394035D"/>
    <w:rsid w:val="53952E53"/>
    <w:rsid w:val="53A039CC"/>
    <w:rsid w:val="53A1505A"/>
    <w:rsid w:val="53BC14AE"/>
    <w:rsid w:val="53C4784A"/>
    <w:rsid w:val="53E421E6"/>
    <w:rsid w:val="53EF7B49"/>
    <w:rsid w:val="54063E08"/>
    <w:rsid w:val="54085283"/>
    <w:rsid w:val="54136627"/>
    <w:rsid w:val="543437E8"/>
    <w:rsid w:val="54B366B5"/>
    <w:rsid w:val="54BA0218"/>
    <w:rsid w:val="54C4392D"/>
    <w:rsid w:val="54F73313"/>
    <w:rsid w:val="54F80955"/>
    <w:rsid w:val="55023308"/>
    <w:rsid w:val="550A5C7C"/>
    <w:rsid w:val="555170A7"/>
    <w:rsid w:val="55540CA5"/>
    <w:rsid w:val="5587536D"/>
    <w:rsid w:val="559B174B"/>
    <w:rsid w:val="55CE0CF4"/>
    <w:rsid w:val="5604334C"/>
    <w:rsid w:val="563570F8"/>
    <w:rsid w:val="56861332"/>
    <w:rsid w:val="56B22A9C"/>
    <w:rsid w:val="570109B9"/>
    <w:rsid w:val="57542405"/>
    <w:rsid w:val="577C0114"/>
    <w:rsid w:val="577E200A"/>
    <w:rsid w:val="57B72A76"/>
    <w:rsid w:val="57BF677B"/>
    <w:rsid w:val="57C3426C"/>
    <w:rsid w:val="57C5644A"/>
    <w:rsid w:val="57CE1F93"/>
    <w:rsid w:val="58001CA6"/>
    <w:rsid w:val="58590AD0"/>
    <w:rsid w:val="586C60FC"/>
    <w:rsid w:val="588743D1"/>
    <w:rsid w:val="5887701A"/>
    <w:rsid w:val="58A3586D"/>
    <w:rsid w:val="58AA1C14"/>
    <w:rsid w:val="58B55EFF"/>
    <w:rsid w:val="58BA1767"/>
    <w:rsid w:val="58FF5734"/>
    <w:rsid w:val="598A001D"/>
    <w:rsid w:val="59C0439F"/>
    <w:rsid w:val="5A230B9F"/>
    <w:rsid w:val="5A256EAB"/>
    <w:rsid w:val="5A6E7DCF"/>
    <w:rsid w:val="5A7F7AFB"/>
    <w:rsid w:val="5ABE2233"/>
    <w:rsid w:val="5B0F2223"/>
    <w:rsid w:val="5B4026A7"/>
    <w:rsid w:val="5BB47799"/>
    <w:rsid w:val="5BC14BBB"/>
    <w:rsid w:val="5BDF5D95"/>
    <w:rsid w:val="5BFE7528"/>
    <w:rsid w:val="5D2F352B"/>
    <w:rsid w:val="5D4F60A9"/>
    <w:rsid w:val="5D6871E3"/>
    <w:rsid w:val="5D6950E1"/>
    <w:rsid w:val="5D811C3D"/>
    <w:rsid w:val="5DFA538E"/>
    <w:rsid w:val="5E1C667C"/>
    <w:rsid w:val="5E2467F1"/>
    <w:rsid w:val="5E4A70E9"/>
    <w:rsid w:val="5E563FAA"/>
    <w:rsid w:val="5E9534D9"/>
    <w:rsid w:val="5EDE1EC4"/>
    <w:rsid w:val="5EEB337D"/>
    <w:rsid w:val="5F0E3623"/>
    <w:rsid w:val="5F1A2B43"/>
    <w:rsid w:val="5F555D46"/>
    <w:rsid w:val="5F802EF2"/>
    <w:rsid w:val="5FB837BB"/>
    <w:rsid w:val="604A33D1"/>
    <w:rsid w:val="606306D7"/>
    <w:rsid w:val="606E6EED"/>
    <w:rsid w:val="60CC405A"/>
    <w:rsid w:val="60EB1E1F"/>
    <w:rsid w:val="60FA04C0"/>
    <w:rsid w:val="611D0AE5"/>
    <w:rsid w:val="612D7285"/>
    <w:rsid w:val="613010DB"/>
    <w:rsid w:val="61410DD1"/>
    <w:rsid w:val="61730705"/>
    <w:rsid w:val="61A134C4"/>
    <w:rsid w:val="61E215D8"/>
    <w:rsid w:val="621B3775"/>
    <w:rsid w:val="62364782"/>
    <w:rsid w:val="62A4243E"/>
    <w:rsid w:val="62B110FA"/>
    <w:rsid w:val="62B334AF"/>
    <w:rsid w:val="62C77B6E"/>
    <w:rsid w:val="633703D6"/>
    <w:rsid w:val="6378292B"/>
    <w:rsid w:val="6394356A"/>
    <w:rsid w:val="63B76FCF"/>
    <w:rsid w:val="63C61B2C"/>
    <w:rsid w:val="63D40BE9"/>
    <w:rsid w:val="64010CB3"/>
    <w:rsid w:val="64102431"/>
    <w:rsid w:val="64124205"/>
    <w:rsid w:val="64A10C94"/>
    <w:rsid w:val="64A5243A"/>
    <w:rsid w:val="64B46724"/>
    <w:rsid w:val="64F12200"/>
    <w:rsid w:val="64F531DE"/>
    <w:rsid w:val="65064B67"/>
    <w:rsid w:val="65373578"/>
    <w:rsid w:val="654A2147"/>
    <w:rsid w:val="65640A91"/>
    <w:rsid w:val="65935507"/>
    <w:rsid w:val="659A0ECE"/>
    <w:rsid w:val="65A31FF0"/>
    <w:rsid w:val="65AC18A9"/>
    <w:rsid w:val="65C32374"/>
    <w:rsid w:val="65C9158F"/>
    <w:rsid w:val="660E4EA0"/>
    <w:rsid w:val="6612547C"/>
    <w:rsid w:val="666D3E90"/>
    <w:rsid w:val="668A3648"/>
    <w:rsid w:val="67117B4E"/>
    <w:rsid w:val="671F124A"/>
    <w:rsid w:val="677A33C6"/>
    <w:rsid w:val="67C44955"/>
    <w:rsid w:val="67FE1F67"/>
    <w:rsid w:val="681F6961"/>
    <w:rsid w:val="684C04B5"/>
    <w:rsid w:val="68610A2F"/>
    <w:rsid w:val="686314D3"/>
    <w:rsid w:val="68662D72"/>
    <w:rsid w:val="68805514"/>
    <w:rsid w:val="68DB3284"/>
    <w:rsid w:val="68EA39A3"/>
    <w:rsid w:val="68EB0929"/>
    <w:rsid w:val="68FD36D6"/>
    <w:rsid w:val="690F7B4E"/>
    <w:rsid w:val="69316E2F"/>
    <w:rsid w:val="694E2071"/>
    <w:rsid w:val="69766163"/>
    <w:rsid w:val="697A3B33"/>
    <w:rsid w:val="697C57B7"/>
    <w:rsid w:val="69912E82"/>
    <w:rsid w:val="69A973BA"/>
    <w:rsid w:val="69D44760"/>
    <w:rsid w:val="69D837FB"/>
    <w:rsid w:val="6A0F5D3F"/>
    <w:rsid w:val="6A1865B5"/>
    <w:rsid w:val="6A3E2734"/>
    <w:rsid w:val="6A520EC7"/>
    <w:rsid w:val="6A537326"/>
    <w:rsid w:val="6A5E63F6"/>
    <w:rsid w:val="6AF87E20"/>
    <w:rsid w:val="6B322639"/>
    <w:rsid w:val="6B922225"/>
    <w:rsid w:val="6B962BD1"/>
    <w:rsid w:val="6BCA634C"/>
    <w:rsid w:val="6BD462EA"/>
    <w:rsid w:val="6C636C38"/>
    <w:rsid w:val="6C746E29"/>
    <w:rsid w:val="6CFB6EC1"/>
    <w:rsid w:val="6D2F5E28"/>
    <w:rsid w:val="6D4D62AE"/>
    <w:rsid w:val="6D617FAC"/>
    <w:rsid w:val="6D8B786A"/>
    <w:rsid w:val="6D8F215B"/>
    <w:rsid w:val="6DA7485D"/>
    <w:rsid w:val="6DB1683D"/>
    <w:rsid w:val="6DB34098"/>
    <w:rsid w:val="6DB545B6"/>
    <w:rsid w:val="6DC041DF"/>
    <w:rsid w:val="6DE02FB4"/>
    <w:rsid w:val="6E514CED"/>
    <w:rsid w:val="6E600263"/>
    <w:rsid w:val="6E796CB6"/>
    <w:rsid w:val="6E7F5897"/>
    <w:rsid w:val="6EB563D5"/>
    <w:rsid w:val="6EBC3B07"/>
    <w:rsid w:val="6ED92677"/>
    <w:rsid w:val="6F225983"/>
    <w:rsid w:val="6F963581"/>
    <w:rsid w:val="6FFC5590"/>
    <w:rsid w:val="706D1DD0"/>
    <w:rsid w:val="70820965"/>
    <w:rsid w:val="70856B87"/>
    <w:rsid w:val="70BF74C3"/>
    <w:rsid w:val="70D527EE"/>
    <w:rsid w:val="70DA21C9"/>
    <w:rsid w:val="715B5300"/>
    <w:rsid w:val="719E357C"/>
    <w:rsid w:val="71D27F8A"/>
    <w:rsid w:val="71D862C3"/>
    <w:rsid w:val="71FF6EA4"/>
    <w:rsid w:val="722231D5"/>
    <w:rsid w:val="722A58F0"/>
    <w:rsid w:val="72553024"/>
    <w:rsid w:val="729B1CD5"/>
    <w:rsid w:val="72A14A93"/>
    <w:rsid w:val="72B56D23"/>
    <w:rsid w:val="73122968"/>
    <w:rsid w:val="731F5D5E"/>
    <w:rsid w:val="73244101"/>
    <w:rsid w:val="733B0C35"/>
    <w:rsid w:val="737F118B"/>
    <w:rsid w:val="73C51AD5"/>
    <w:rsid w:val="73E3796C"/>
    <w:rsid w:val="741E793C"/>
    <w:rsid w:val="74481B5A"/>
    <w:rsid w:val="745E3944"/>
    <w:rsid w:val="74DD37CB"/>
    <w:rsid w:val="75282325"/>
    <w:rsid w:val="75826D11"/>
    <w:rsid w:val="762C5A1A"/>
    <w:rsid w:val="762E5F75"/>
    <w:rsid w:val="7635099D"/>
    <w:rsid w:val="76607052"/>
    <w:rsid w:val="766C3C49"/>
    <w:rsid w:val="76F82FA7"/>
    <w:rsid w:val="77193756"/>
    <w:rsid w:val="771B11CB"/>
    <w:rsid w:val="77286443"/>
    <w:rsid w:val="77762421"/>
    <w:rsid w:val="77940D39"/>
    <w:rsid w:val="77B56B1F"/>
    <w:rsid w:val="77B61EFC"/>
    <w:rsid w:val="780F09F4"/>
    <w:rsid w:val="7840713B"/>
    <w:rsid w:val="7879264D"/>
    <w:rsid w:val="789366E3"/>
    <w:rsid w:val="78A90480"/>
    <w:rsid w:val="78ED49C2"/>
    <w:rsid w:val="79125E10"/>
    <w:rsid w:val="794E756A"/>
    <w:rsid w:val="798E7AA1"/>
    <w:rsid w:val="79AE4F07"/>
    <w:rsid w:val="79B30800"/>
    <w:rsid w:val="79EA1671"/>
    <w:rsid w:val="7A2F7467"/>
    <w:rsid w:val="7A364017"/>
    <w:rsid w:val="7A4078C7"/>
    <w:rsid w:val="7A724F55"/>
    <w:rsid w:val="7A8265E1"/>
    <w:rsid w:val="7AC72E1E"/>
    <w:rsid w:val="7AFC6D17"/>
    <w:rsid w:val="7AFF472E"/>
    <w:rsid w:val="7B686D42"/>
    <w:rsid w:val="7B841746"/>
    <w:rsid w:val="7B847483"/>
    <w:rsid w:val="7C1F04D2"/>
    <w:rsid w:val="7C402039"/>
    <w:rsid w:val="7C407D8D"/>
    <w:rsid w:val="7C4511FA"/>
    <w:rsid w:val="7C6C5AC7"/>
    <w:rsid w:val="7C8F68E3"/>
    <w:rsid w:val="7CC6544B"/>
    <w:rsid w:val="7D0239FF"/>
    <w:rsid w:val="7D3B05D1"/>
    <w:rsid w:val="7D5E40CD"/>
    <w:rsid w:val="7DA40413"/>
    <w:rsid w:val="7DCD56F2"/>
    <w:rsid w:val="7EE34D2C"/>
    <w:rsid w:val="7F001CE7"/>
    <w:rsid w:val="7F0974E4"/>
    <w:rsid w:val="7F1A723E"/>
    <w:rsid w:val="7F214DD5"/>
    <w:rsid w:val="7F81059C"/>
    <w:rsid w:val="7F8261FA"/>
    <w:rsid w:val="7F952D4C"/>
    <w:rsid w:val="7FA20E0C"/>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9"/>
    <w:pPr>
      <w:keepNext/>
      <w:overflowPunct w:val="0"/>
      <w:snapToGrid w:val="0"/>
      <w:spacing w:before="120" w:after="60" w:line="240" w:lineRule="auto"/>
      <w:ind w:firstLine="0" w:firstLineChars="0"/>
      <w:jc w:val="center"/>
      <w:outlineLvl w:val="0"/>
    </w:pPr>
    <w:rPr>
      <w:b/>
      <w:bCs/>
      <w:color w:val="000000"/>
      <w:kern w:val="44"/>
      <w:sz w:val="28"/>
      <w:szCs w:val="30"/>
    </w:rPr>
  </w:style>
  <w:style w:type="paragraph" w:styleId="3">
    <w:name w:val="heading 2"/>
    <w:basedOn w:val="1"/>
    <w:next w:val="4"/>
    <w:link w:val="37"/>
    <w:unhideWhenUsed/>
    <w:qFormat/>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5">
    <w:name w:val="heading 3"/>
    <w:basedOn w:val="1"/>
    <w:next w:val="1"/>
    <w:link w:val="39"/>
    <w:unhideWhenUsed/>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40"/>
      <w:jc w:val="left"/>
      <w:outlineLvl w:val="3"/>
    </w:pPr>
    <w:rPr>
      <w:rFonts w:ascii="宋体" w:hAnsi="宋体" w:eastAsia="宋体"/>
      <w:color w:val="000000"/>
      <w:sz w:val="30"/>
    </w:rPr>
  </w:style>
  <w:style w:type="character" w:default="1" w:styleId="30">
    <w:name w:val="Default Paragraph Font"/>
    <w:semiHidden/>
    <w:qFormat/>
    <w:uiPriority w:val="0"/>
  </w:style>
  <w:style w:type="table" w:default="1" w:styleId="2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4">
    <w:name w:val="【正文】"/>
    <w:link w:val="38"/>
    <w:qFormat/>
    <w:uiPriority w:val="0"/>
    <w:pPr>
      <w:widowControl w:val="0"/>
      <w:topLinePunct/>
      <w:adjustRightInd w:val="0"/>
      <w:snapToGrid w:val="0"/>
      <w:spacing w:line="500" w:lineRule="exact"/>
      <w:ind w:firstLine="480" w:firstLineChars="200"/>
      <w:jc w:val="both"/>
    </w:pPr>
    <w:rPr>
      <w:rFonts w:ascii="Times New Roman" w:hAnsi="Times New Roman" w:eastAsia="宋体" w:cs="宋体"/>
      <w:kern w:val="21"/>
      <w:sz w:val="24"/>
      <w:szCs w:val="24"/>
    </w:rPr>
  </w:style>
  <w:style w:type="paragraph" w:styleId="7">
    <w:name w:val="Normal Indent"/>
    <w:basedOn w:val="1"/>
    <w:link w:val="40"/>
    <w:qFormat/>
    <w:uiPriority w:val="0"/>
    <w:pPr>
      <w:ind w:firstLine="420" w:firstLineChars="200"/>
    </w:pPr>
  </w:style>
  <w:style w:type="paragraph" w:styleId="8">
    <w:name w:val="caption"/>
    <w:basedOn w:val="1"/>
    <w:next w:val="1"/>
    <w:qFormat/>
    <w:uiPriority w:val="0"/>
    <w:pPr>
      <w:spacing w:before="152" w:after="160"/>
    </w:pPr>
    <w:rPr>
      <w:rFonts w:ascii="Arial" w:hAnsi="Arial" w:eastAsia="黑体" w:cs="Arial"/>
      <w:sz w:val="20"/>
      <w:szCs w:val="20"/>
    </w:rPr>
  </w:style>
  <w:style w:type="paragraph" w:styleId="9">
    <w:name w:val="annotation text"/>
    <w:basedOn w:val="1"/>
    <w:link w:val="41"/>
    <w:semiHidden/>
    <w:qFormat/>
    <w:uiPriority w:val="0"/>
    <w:pPr>
      <w:jc w:val="left"/>
    </w:pPr>
    <w:rPr>
      <w:kern w:val="0"/>
      <w:sz w:val="24"/>
      <w:szCs w:val="20"/>
    </w:rPr>
  </w:style>
  <w:style w:type="paragraph" w:styleId="10">
    <w:name w:val="Body Text"/>
    <w:basedOn w:val="1"/>
    <w:link w:val="42"/>
    <w:qFormat/>
    <w:uiPriority w:val="0"/>
    <w:pPr>
      <w:widowControl/>
      <w:snapToGrid w:val="0"/>
      <w:spacing w:before="60" w:after="160" w:line="259" w:lineRule="auto"/>
      <w:ind w:right="113"/>
    </w:pPr>
    <w:rPr>
      <w:kern w:val="0"/>
      <w:sz w:val="18"/>
      <w:szCs w:val="20"/>
    </w:rPr>
  </w:style>
  <w:style w:type="paragraph" w:styleId="11">
    <w:name w:val="Body Text Indent"/>
    <w:basedOn w:val="1"/>
    <w:next w:val="6"/>
    <w:link w:val="43"/>
    <w:qFormat/>
    <w:uiPriority w:val="0"/>
    <w:pPr>
      <w:spacing w:after="120"/>
      <w:ind w:left="420" w:leftChars="200"/>
    </w:pPr>
    <w:rPr>
      <w:kern w:val="0"/>
      <w:sz w:val="24"/>
      <w:szCs w:val="20"/>
    </w:rPr>
  </w:style>
  <w:style w:type="paragraph" w:styleId="12">
    <w:name w:val="Block Text"/>
    <w:basedOn w:val="1"/>
    <w:qFormat/>
    <w:uiPriority w:val="0"/>
    <w:pPr>
      <w:spacing w:line="240" w:lineRule="auto"/>
      <w:ind w:left="420" w:right="-175" w:rightChars="-73" w:firstLine="0" w:firstLineChars="0"/>
    </w:pPr>
    <w:rPr>
      <w:rFonts w:ascii="宋体" w:hAnsi="Arial"/>
      <w:szCs w:val="20"/>
    </w:rPr>
  </w:style>
  <w:style w:type="paragraph" w:styleId="13">
    <w:name w:val="Date"/>
    <w:basedOn w:val="1"/>
    <w:next w:val="1"/>
    <w:link w:val="44"/>
    <w:qFormat/>
    <w:uiPriority w:val="0"/>
    <w:pPr>
      <w:ind w:left="100" w:leftChars="2500"/>
    </w:pPr>
    <w:rPr>
      <w:kern w:val="0"/>
      <w:sz w:val="24"/>
      <w:szCs w:val="20"/>
    </w:rPr>
  </w:style>
  <w:style w:type="paragraph" w:styleId="14">
    <w:name w:val="Body Text Indent 2"/>
    <w:basedOn w:val="1"/>
    <w:qFormat/>
    <w:uiPriority w:val="0"/>
    <w:pPr>
      <w:spacing w:after="120" w:line="480" w:lineRule="auto"/>
      <w:ind w:left="420" w:leftChars="200"/>
    </w:pPr>
  </w:style>
  <w:style w:type="paragraph" w:styleId="15">
    <w:name w:val="Balloon Text"/>
    <w:basedOn w:val="1"/>
    <w:link w:val="45"/>
    <w:semiHidden/>
    <w:qFormat/>
    <w:uiPriority w:val="0"/>
    <w:rPr>
      <w:kern w:val="0"/>
      <w:sz w:val="18"/>
      <w:szCs w:val="20"/>
    </w:rPr>
  </w:style>
  <w:style w:type="paragraph" w:styleId="16">
    <w:name w:val="footer"/>
    <w:basedOn w:val="1"/>
    <w:link w:val="46"/>
    <w:qFormat/>
    <w:uiPriority w:val="99"/>
    <w:pPr>
      <w:tabs>
        <w:tab w:val="center" w:pos="4153"/>
        <w:tab w:val="right" w:pos="8306"/>
      </w:tabs>
      <w:snapToGrid w:val="0"/>
      <w:jc w:val="left"/>
    </w:pPr>
    <w:rPr>
      <w:kern w:val="0"/>
      <w:sz w:val="18"/>
      <w:szCs w:val="20"/>
    </w:rPr>
  </w:style>
  <w:style w:type="paragraph" w:styleId="17">
    <w:name w:val="header"/>
    <w:basedOn w:val="1"/>
    <w:next w:val="18"/>
    <w:link w:val="47"/>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index heading"/>
    <w:basedOn w:val="1"/>
    <w:next w:val="19"/>
    <w:qFormat/>
    <w:uiPriority w:val="0"/>
    <w:rPr>
      <w:rFonts w:ascii="等线 Light" w:hAnsi="等线 Light" w:eastAsia="等线 Light" w:cs="Times New Roman"/>
      <w:b/>
      <w:bCs/>
    </w:rPr>
  </w:style>
  <w:style w:type="paragraph" w:styleId="19">
    <w:name w:val="index 1"/>
    <w:basedOn w:val="1"/>
    <w:next w:val="1"/>
    <w:qFormat/>
    <w:uiPriority w:val="0"/>
    <w:pPr>
      <w:ind w:firstLine="0"/>
    </w:pPr>
  </w:style>
  <w:style w:type="paragraph" w:styleId="20">
    <w:name w:val="List Continue 4"/>
    <w:basedOn w:val="1"/>
    <w:next w:val="1"/>
    <w:qFormat/>
    <w:uiPriority w:val="0"/>
    <w:pPr>
      <w:tabs>
        <w:tab w:val="left" w:pos="425"/>
      </w:tabs>
      <w:spacing w:after="120"/>
      <w:ind w:left="1680" w:leftChars="800"/>
    </w:pPr>
  </w:style>
  <w:style w:type="paragraph" w:styleId="21">
    <w:name w:val="List"/>
    <w:basedOn w:val="1"/>
    <w:next w:val="1"/>
    <w:qFormat/>
    <w:uiPriority w:val="0"/>
    <w:pPr>
      <w:ind w:left="200" w:hanging="200" w:hangingChars="200"/>
      <w:contextualSpacing/>
    </w:pPr>
  </w:style>
  <w:style w:type="paragraph" w:styleId="22">
    <w:name w:val="Body Text Indent 3"/>
    <w:basedOn w:val="1"/>
    <w:link w:val="48"/>
    <w:qFormat/>
    <w:uiPriority w:val="0"/>
    <w:pPr>
      <w:spacing w:after="120"/>
      <w:ind w:left="420" w:leftChars="200"/>
    </w:pPr>
    <w:rPr>
      <w:sz w:val="16"/>
      <w:szCs w:val="16"/>
    </w:rPr>
  </w:style>
  <w:style w:type="paragraph" w:styleId="23">
    <w:name w:val="Normal (Web)"/>
    <w:basedOn w:val="1"/>
    <w:link w:val="49"/>
    <w:qFormat/>
    <w:uiPriority w:val="0"/>
    <w:pPr>
      <w:widowControl/>
      <w:spacing w:before="100" w:beforeAutospacing="1" w:after="100" w:afterAutospacing="1"/>
      <w:jc w:val="left"/>
    </w:pPr>
    <w:rPr>
      <w:rFonts w:ascii="宋体" w:hAnsi="宋体"/>
      <w:kern w:val="0"/>
      <w:sz w:val="24"/>
      <w:szCs w:val="20"/>
    </w:rPr>
  </w:style>
  <w:style w:type="paragraph" w:styleId="24">
    <w:name w:val="Title"/>
    <w:basedOn w:val="1"/>
    <w:next w:val="1"/>
    <w:link w:val="54"/>
    <w:qFormat/>
    <w:uiPriority w:val="0"/>
    <w:pPr>
      <w:spacing w:line="360" w:lineRule="auto"/>
      <w:ind w:firstLine="0" w:firstLineChars="0"/>
      <w:jc w:val="left"/>
      <w:outlineLvl w:val="1"/>
    </w:pPr>
    <w:rPr>
      <w:rFonts w:ascii="Times New Roman" w:hAnsi="Times New Roman" w:eastAsia="宋体" w:cs="Times New Roman"/>
      <w:b/>
      <w:bCs/>
      <w:szCs w:val="32"/>
    </w:rPr>
  </w:style>
  <w:style w:type="paragraph" w:styleId="25">
    <w:name w:val="annotation subject"/>
    <w:basedOn w:val="9"/>
    <w:next w:val="9"/>
    <w:link w:val="51"/>
    <w:semiHidden/>
    <w:qFormat/>
    <w:uiPriority w:val="0"/>
    <w:rPr>
      <w:b/>
      <w:sz w:val="24"/>
      <w:szCs w:val="20"/>
    </w:rPr>
  </w:style>
  <w:style w:type="paragraph" w:styleId="26">
    <w:name w:val="Body Text First Indent"/>
    <w:basedOn w:val="10"/>
    <w:next w:val="27"/>
    <w:link w:val="52"/>
    <w:qFormat/>
    <w:uiPriority w:val="0"/>
    <w:pPr>
      <w:widowControl w:val="0"/>
      <w:snapToGrid/>
      <w:spacing w:before="0" w:after="120" w:line="360" w:lineRule="auto"/>
      <w:ind w:right="0" w:firstLine="420" w:firstLineChars="100"/>
    </w:pPr>
    <w:rPr>
      <w:kern w:val="2"/>
      <w:sz w:val="24"/>
      <w:szCs w:val="24"/>
    </w:rPr>
  </w:style>
  <w:style w:type="paragraph" w:styleId="27">
    <w:name w:val="Body Text First Indent 2"/>
    <w:basedOn w:val="11"/>
    <w:next w:val="26"/>
    <w:link w:val="53"/>
    <w:qFormat/>
    <w:uiPriority w:val="0"/>
    <w:pPr>
      <w:ind w:firstLine="420" w:firstLineChars="200"/>
    </w:pPr>
    <w:rPr>
      <w:kern w:val="2"/>
      <w:sz w:val="21"/>
      <w:szCs w:val="24"/>
    </w:rPr>
  </w:style>
  <w:style w:type="table" w:styleId="29">
    <w:name w:val="Table Grid"/>
    <w:basedOn w:val="2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Hyperlink"/>
    <w:basedOn w:val="30"/>
    <w:qFormat/>
    <w:uiPriority w:val="0"/>
    <w:rPr>
      <w:color w:val="0000FF"/>
      <w:u w:val="single"/>
    </w:rPr>
  </w:style>
  <w:style w:type="character" w:styleId="34">
    <w:name w:val="annotation reference"/>
    <w:semiHidden/>
    <w:qFormat/>
    <w:uiPriority w:val="0"/>
    <w:rPr>
      <w:sz w:val="21"/>
    </w:rPr>
  </w:style>
  <w:style w:type="paragraph" w:customStyle="1" w:styleId="35">
    <w:name w:val="表格"/>
    <w:basedOn w:val="1"/>
    <w:link w:val="36"/>
    <w:qFormat/>
    <w:uiPriority w:val="0"/>
    <w:pPr>
      <w:adjustRightInd w:val="0"/>
      <w:snapToGrid w:val="0"/>
      <w:spacing w:line="240" w:lineRule="auto"/>
      <w:ind w:firstLine="0" w:firstLineChars="0"/>
      <w:jc w:val="center"/>
    </w:pPr>
    <w:rPr>
      <w:rFonts w:ascii="宋体" w:hAnsi="宋体" w:eastAsia="宋体"/>
      <w:kern w:val="0"/>
      <w:szCs w:val="20"/>
    </w:rPr>
  </w:style>
  <w:style w:type="character" w:customStyle="1" w:styleId="36">
    <w:name w:val="表格 Char"/>
    <w:link w:val="35"/>
    <w:qFormat/>
    <w:uiPriority w:val="0"/>
    <w:rPr>
      <w:rFonts w:ascii="宋体" w:hAnsi="宋体" w:eastAsia="宋体"/>
      <w:sz w:val="21"/>
    </w:rPr>
  </w:style>
  <w:style w:type="character" w:customStyle="1" w:styleId="37">
    <w:name w:val="标题 2 字符"/>
    <w:link w:val="3"/>
    <w:semiHidden/>
    <w:qFormat/>
    <w:uiPriority w:val="0"/>
    <w:rPr>
      <w:rFonts w:ascii="等线 Light" w:hAnsi="等线 Light" w:eastAsia="等线 Light" w:cs="Times New Roman"/>
      <w:b/>
      <w:bCs/>
      <w:kern w:val="2"/>
      <w:sz w:val="32"/>
      <w:szCs w:val="32"/>
    </w:rPr>
  </w:style>
  <w:style w:type="character" w:customStyle="1" w:styleId="38">
    <w:name w:val="【正文】 Char"/>
    <w:link w:val="4"/>
    <w:qFormat/>
    <w:uiPriority w:val="0"/>
    <w:rPr>
      <w:rFonts w:ascii="Times New Roman" w:hAnsi="Times New Roman" w:eastAsia="宋体" w:cs="宋体"/>
      <w:kern w:val="21"/>
      <w:sz w:val="24"/>
      <w:szCs w:val="24"/>
    </w:rPr>
  </w:style>
  <w:style w:type="character" w:customStyle="1" w:styleId="39">
    <w:name w:val="标题 3 字符"/>
    <w:link w:val="5"/>
    <w:semiHidden/>
    <w:qFormat/>
    <w:uiPriority w:val="0"/>
    <w:rPr>
      <w:b/>
      <w:bCs/>
      <w:kern w:val="2"/>
      <w:sz w:val="32"/>
      <w:szCs w:val="32"/>
    </w:rPr>
  </w:style>
  <w:style w:type="character" w:customStyle="1" w:styleId="40">
    <w:name w:val="正文缩进 字符"/>
    <w:link w:val="7"/>
    <w:qFormat/>
    <w:uiPriority w:val="0"/>
    <w:rPr>
      <w:kern w:val="2"/>
      <w:sz w:val="24"/>
      <w:szCs w:val="24"/>
    </w:rPr>
  </w:style>
  <w:style w:type="character" w:customStyle="1" w:styleId="41">
    <w:name w:val="批注文字 字符"/>
    <w:link w:val="9"/>
    <w:qFormat/>
    <w:uiPriority w:val="0"/>
    <w:rPr>
      <w:rFonts w:ascii="Times New Roman" w:hAnsi="Times New Roman" w:eastAsia="宋体"/>
      <w:sz w:val="24"/>
    </w:rPr>
  </w:style>
  <w:style w:type="character" w:customStyle="1" w:styleId="42">
    <w:name w:val="正文文本 字符"/>
    <w:link w:val="10"/>
    <w:qFormat/>
    <w:uiPriority w:val="0"/>
    <w:rPr>
      <w:sz w:val="18"/>
    </w:rPr>
  </w:style>
  <w:style w:type="character" w:customStyle="1" w:styleId="43">
    <w:name w:val="正文文本缩进 字符"/>
    <w:link w:val="11"/>
    <w:semiHidden/>
    <w:qFormat/>
    <w:uiPriority w:val="0"/>
    <w:rPr>
      <w:rFonts w:ascii="Times New Roman" w:hAnsi="Times New Roman" w:eastAsia="宋体"/>
      <w:sz w:val="24"/>
    </w:rPr>
  </w:style>
  <w:style w:type="character" w:customStyle="1" w:styleId="44">
    <w:name w:val="日期 字符1"/>
    <w:link w:val="13"/>
    <w:qFormat/>
    <w:uiPriority w:val="0"/>
    <w:rPr>
      <w:rFonts w:ascii="Times New Roman" w:hAnsi="Times New Roman" w:eastAsia="宋体"/>
      <w:sz w:val="24"/>
    </w:rPr>
  </w:style>
  <w:style w:type="character" w:customStyle="1" w:styleId="45">
    <w:name w:val="批注框文本 字符"/>
    <w:link w:val="15"/>
    <w:semiHidden/>
    <w:qFormat/>
    <w:uiPriority w:val="0"/>
    <w:rPr>
      <w:rFonts w:ascii="Times New Roman" w:hAnsi="Times New Roman" w:eastAsia="宋体"/>
      <w:sz w:val="18"/>
    </w:rPr>
  </w:style>
  <w:style w:type="character" w:customStyle="1" w:styleId="46">
    <w:name w:val="页脚 字符1"/>
    <w:link w:val="16"/>
    <w:qFormat/>
    <w:uiPriority w:val="99"/>
    <w:rPr>
      <w:sz w:val="18"/>
    </w:rPr>
  </w:style>
  <w:style w:type="character" w:customStyle="1" w:styleId="47">
    <w:name w:val="页眉 字符"/>
    <w:link w:val="17"/>
    <w:qFormat/>
    <w:uiPriority w:val="0"/>
    <w:rPr>
      <w:sz w:val="18"/>
    </w:rPr>
  </w:style>
  <w:style w:type="character" w:customStyle="1" w:styleId="48">
    <w:name w:val="正文文本缩进 3 字符"/>
    <w:link w:val="22"/>
    <w:qFormat/>
    <w:uiPriority w:val="0"/>
    <w:rPr>
      <w:kern w:val="2"/>
      <w:sz w:val="16"/>
      <w:szCs w:val="16"/>
    </w:rPr>
  </w:style>
  <w:style w:type="character" w:customStyle="1" w:styleId="49">
    <w:name w:val="普通(网站) 字符"/>
    <w:link w:val="23"/>
    <w:qFormat/>
    <w:uiPriority w:val="0"/>
    <w:rPr>
      <w:rFonts w:ascii="宋体" w:hAnsi="宋体" w:eastAsia="宋体"/>
      <w:sz w:val="24"/>
    </w:rPr>
  </w:style>
  <w:style w:type="character" w:customStyle="1" w:styleId="50">
    <w:name w:val="标题 字符"/>
    <w:link w:val="24"/>
    <w:qFormat/>
    <w:uiPriority w:val="0"/>
    <w:rPr>
      <w:rFonts w:ascii="Times New Roman" w:hAnsi="Times New Roman" w:eastAsia="宋体" w:cs="Times New Roman"/>
      <w:b/>
      <w:bCs/>
      <w:szCs w:val="32"/>
    </w:rPr>
  </w:style>
  <w:style w:type="character" w:customStyle="1" w:styleId="51">
    <w:name w:val="批注主题 字符"/>
    <w:link w:val="25"/>
    <w:semiHidden/>
    <w:qFormat/>
    <w:uiPriority w:val="0"/>
    <w:rPr>
      <w:rFonts w:ascii="Times New Roman" w:hAnsi="Times New Roman" w:eastAsia="宋体"/>
      <w:b/>
      <w:kern w:val="2"/>
      <w:sz w:val="24"/>
    </w:rPr>
  </w:style>
  <w:style w:type="character" w:customStyle="1" w:styleId="52">
    <w:name w:val="正文文本首行缩进 字符"/>
    <w:link w:val="26"/>
    <w:qFormat/>
    <w:uiPriority w:val="0"/>
    <w:rPr>
      <w:kern w:val="2"/>
      <w:sz w:val="24"/>
      <w:szCs w:val="24"/>
    </w:rPr>
  </w:style>
  <w:style w:type="character" w:customStyle="1" w:styleId="53">
    <w:name w:val="正文文本首行缩进 2 字符"/>
    <w:link w:val="27"/>
    <w:qFormat/>
    <w:uiPriority w:val="0"/>
    <w:rPr>
      <w:rFonts w:ascii="Times New Roman" w:hAnsi="Times New Roman" w:eastAsia="宋体"/>
      <w:kern w:val="2"/>
      <w:sz w:val="21"/>
      <w:szCs w:val="24"/>
    </w:rPr>
  </w:style>
  <w:style w:type="character" w:customStyle="1" w:styleId="54">
    <w:name w:val="标题 字符1"/>
    <w:link w:val="24"/>
    <w:qFormat/>
    <w:uiPriority w:val="0"/>
    <w:rPr>
      <w:rFonts w:ascii="Times New Roman" w:hAnsi="Times New Roman" w:eastAsia="宋体"/>
      <w:b/>
      <w:bCs/>
      <w:kern w:val="2"/>
      <w:sz w:val="24"/>
      <w:szCs w:val="32"/>
    </w:rPr>
  </w:style>
  <w:style w:type="paragraph" w:customStyle="1" w:styleId="55">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snapToGrid w:val="0"/>
      <w:color w:val="000000"/>
      <w:kern w:val="0"/>
      <w:sz w:val="27"/>
      <w:szCs w:val="27"/>
      <w:lang w:eastAsia="en-US"/>
    </w:rPr>
  </w:style>
  <w:style w:type="paragraph" w:customStyle="1" w:styleId="56">
    <w:name w:val="Default"/>
    <w:basedOn w:val="57"/>
    <w:qFormat/>
    <w:uiPriority w:val="0"/>
    <w:pPr>
      <w:widowControl/>
      <w:autoSpaceDE w:val="0"/>
      <w:autoSpaceDN w:val="0"/>
      <w:adjustRightInd w:val="0"/>
      <w:jc w:val="left"/>
    </w:pPr>
    <w:rPr>
      <w:rFonts w:ascii="宋体" w:cs="宋体"/>
      <w:color w:val="000000"/>
      <w:kern w:val="0"/>
      <w:sz w:val="24"/>
    </w:rPr>
  </w:style>
  <w:style w:type="paragraph" w:customStyle="1" w:styleId="57">
    <w:name w:val="A-表格文字"/>
    <w:basedOn w:val="1"/>
    <w:next w:val="1"/>
    <w:qFormat/>
    <w:uiPriority w:val="0"/>
    <w:pPr>
      <w:autoSpaceDE w:val="0"/>
      <w:autoSpaceDN w:val="0"/>
      <w:adjustRightInd w:val="0"/>
      <w:jc w:val="center"/>
      <w:textAlignment w:val="center"/>
    </w:pPr>
    <w:rPr>
      <w:rFonts w:ascii="Times New Roman" w:hAnsi="Times New Roman"/>
      <w:kern w:val="0"/>
      <w:szCs w:val="21"/>
    </w:rPr>
  </w:style>
  <w:style w:type="paragraph" w:customStyle="1" w:styleId="58">
    <w:name w:val="1 表头"/>
    <w:basedOn w:val="1"/>
    <w:qFormat/>
    <w:uiPriority w:val="0"/>
    <w:pPr>
      <w:spacing w:line="240" w:lineRule="auto"/>
      <w:ind w:firstLine="0" w:firstLineChars="0"/>
      <w:jc w:val="center"/>
    </w:pPr>
    <w:rPr>
      <w:b/>
      <w:color w:val="000000"/>
      <w:sz w:val="21"/>
      <w:szCs w:val="21"/>
    </w:rPr>
  </w:style>
  <w:style w:type="character" w:customStyle="1" w:styleId="59">
    <w:name w:val="页脚 字符"/>
    <w:basedOn w:val="30"/>
    <w:qFormat/>
    <w:uiPriority w:val="99"/>
  </w:style>
  <w:style w:type="character" w:customStyle="1" w:styleId="60">
    <w:name w:val="正文文本 字符1"/>
    <w:semiHidden/>
    <w:qFormat/>
    <w:uiPriority w:val="0"/>
    <w:rPr>
      <w:rFonts w:ascii="Times New Roman" w:hAnsi="Times New Roman" w:eastAsia="宋体"/>
      <w:sz w:val="24"/>
    </w:rPr>
  </w:style>
  <w:style w:type="character" w:customStyle="1" w:styleId="61">
    <w:name w:val="日期 字符"/>
    <w:semiHidden/>
    <w:qFormat/>
    <w:uiPriority w:val="0"/>
    <w:rPr>
      <w:rFonts w:ascii="Times New Roman" w:hAnsi="Times New Roman" w:eastAsia="宋体"/>
      <w:sz w:val="24"/>
    </w:rPr>
  </w:style>
  <w:style w:type="character" w:customStyle="1" w:styleId="62">
    <w:name w:val="批注文字 字符1"/>
    <w:semiHidden/>
    <w:qFormat/>
    <w:uiPriority w:val="0"/>
    <w:rPr>
      <w:rFonts w:ascii="Times New Roman" w:hAnsi="Times New Roman" w:eastAsia="宋体"/>
      <w:sz w:val="24"/>
    </w:rPr>
  </w:style>
  <w:style w:type="paragraph" w:customStyle="1" w:styleId="6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65">
    <w:name w:val="表头 Char"/>
    <w:link w:val="66"/>
    <w:qFormat/>
    <w:uiPriority w:val="0"/>
    <w:rPr>
      <w:rFonts w:ascii="Times New Roman" w:hAnsi="Times New Roman" w:eastAsia="宋体"/>
      <w:b/>
      <w:sz w:val="21"/>
    </w:rPr>
  </w:style>
  <w:style w:type="paragraph" w:customStyle="1" w:styleId="66">
    <w:name w:val="表头"/>
    <w:basedOn w:val="1"/>
    <w:next w:val="1"/>
    <w:link w:val="65"/>
    <w:qFormat/>
    <w:uiPriority w:val="0"/>
    <w:pPr>
      <w:adjustRightInd w:val="0"/>
      <w:spacing w:line="240" w:lineRule="auto"/>
      <w:ind w:firstLine="0" w:firstLineChars="0"/>
      <w:jc w:val="center"/>
      <w:textAlignment w:val="baseline"/>
    </w:pPr>
    <w:rPr>
      <w:rFonts w:ascii="Times New Roman" w:hAnsi="Times New Roman" w:eastAsia="宋体"/>
      <w:b/>
      <w:kern w:val="0"/>
      <w:sz w:val="21"/>
      <w:szCs w:val="20"/>
    </w:rPr>
  </w:style>
  <w:style w:type="paragraph" w:customStyle="1" w:styleId="67">
    <w:name w:val="无间隔1"/>
    <w:basedOn w:val="1"/>
    <w:qFormat/>
    <w:uiPriority w:val="0"/>
    <w:pPr>
      <w:jc w:val="center"/>
    </w:pPr>
  </w:style>
  <w:style w:type="paragraph" w:styleId="68">
    <w:name w:val="No Spacing"/>
    <w:basedOn w:val="21"/>
    <w:next w:val="1"/>
    <w:link w:val="69"/>
    <w:qFormat/>
    <w:uiPriority w:val="1"/>
    <w:pPr>
      <w:spacing w:line="240" w:lineRule="auto"/>
      <w:ind w:left="0" w:firstLine="0" w:firstLineChars="0"/>
      <w:jc w:val="center"/>
      <w:textAlignment w:val="center"/>
    </w:pPr>
    <w:rPr>
      <w:sz w:val="21"/>
      <w:szCs w:val="22"/>
    </w:rPr>
  </w:style>
  <w:style w:type="character" w:customStyle="1" w:styleId="69">
    <w:name w:val="无间隔 字符"/>
    <w:link w:val="68"/>
    <w:qFormat/>
    <w:uiPriority w:val="1"/>
    <w:rPr>
      <w:kern w:val="2"/>
      <w:sz w:val="21"/>
      <w:szCs w:val="22"/>
    </w:rPr>
  </w:style>
  <w:style w:type="paragraph" w:customStyle="1" w:styleId="70">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71">
    <w:name w:val="正文3 Char"/>
    <w:link w:val="72"/>
    <w:qFormat/>
    <w:uiPriority w:val="0"/>
    <w:rPr>
      <w:rFonts w:ascii="宋体" w:hAnsi="宋体"/>
      <w:bCs/>
      <w:snapToGrid/>
      <w:color w:val="000000"/>
      <w:sz w:val="24"/>
      <w:szCs w:val="28"/>
      <w:lang w:val="zh-CN"/>
    </w:rPr>
  </w:style>
  <w:style w:type="paragraph" w:customStyle="1" w:styleId="72">
    <w:name w:val="正文3"/>
    <w:link w:val="71"/>
    <w:qFormat/>
    <w:uiPriority w:val="0"/>
    <w:pPr>
      <w:widowControl w:val="0"/>
      <w:suppressAutoHyphens/>
      <w:overflowPunct w:val="0"/>
      <w:topLinePunct/>
      <w:spacing w:line="480" w:lineRule="exact"/>
      <w:ind w:firstLine="200" w:firstLineChars="200"/>
      <w:jc w:val="both"/>
    </w:pPr>
    <w:rPr>
      <w:rFonts w:ascii="宋体" w:hAnsi="宋体" w:eastAsia="宋体" w:cs="Times New Roman"/>
      <w:bCs/>
      <w:snapToGrid w:val="0"/>
      <w:color w:val="000000"/>
      <w:sz w:val="24"/>
      <w:szCs w:val="28"/>
      <w:lang w:val="zh-CN" w:eastAsia="zh-CN" w:bidi="ar-SA"/>
    </w:rPr>
  </w:style>
  <w:style w:type="paragraph" w:customStyle="1" w:styleId="73">
    <w:name w:val="1"/>
    <w:basedOn w:val="1"/>
    <w:next w:val="7"/>
    <w:qFormat/>
    <w:uiPriority w:val="0"/>
    <w:pPr>
      <w:adjustRightInd w:val="0"/>
      <w:spacing w:line="360" w:lineRule="auto"/>
      <w:ind w:firstLine="420"/>
      <w:jc w:val="left"/>
      <w:textAlignment w:val="baseline"/>
    </w:pPr>
    <w:rPr>
      <w:sz w:val="28"/>
      <w:szCs w:val="20"/>
    </w:rPr>
  </w:style>
  <w:style w:type="paragraph" w:customStyle="1" w:styleId="74">
    <w:name w:val="表文居中"/>
    <w:basedOn w:val="1"/>
    <w:qFormat/>
    <w:uiPriority w:val="0"/>
    <w:pPr>
      <w:autoSpaceDE w:val="0"/>
      <w:autoSpaceDN w:val="0"/>
      <w:adjustRightInd w:val="0"/>
      <w:spacing w:before="20" w:line="240" w:lineRule="exact"/>
      <w:jc w:val="center"/>
      <w:textAlignment w:val="baseline"/>
    </w:pPr>
    <w:rPr>
      <w:rFonts w:ascii="宋体" w:hAnsi="宋体"/>
      <w:color w:val="000000"/>
      <w:kern w:val="0"/>
      <w:szCs w:val="21"/>
    </w:rPr>
  </w:style>
  <w:style w:type="table" w:customStyle="1" w:styleId="75">
    <w:name w:val="Table Normal"/>
    <w:unhideWhenUsed/>
    <w:qFormat/>
    <w:uiPriority w:val="0"/>
    <w:tblPr>
      <w:tblCellMar>
        <w:top w:w="0" w:type="dxa"/>
        <w:left w:w="0" w:type="dxa"/>
        <w:bottom w:w="0" w:type="dxa"/>
        <w:right w:w="0" w:type="dxa"/>
      </w:tblCellMar>
    </w:tblPr>
  </w:style>
  <w:style w:type="paragraph" w:customStyle="1" w:styleId="76">
    <w:name w:val="表中文字"/>
    <w:basedOn w:val="1"/>
    <w:qFormat/>
    <w:uiPriority w:val="0"/>
    <w:pPr>
      <w:autoSpaceDE w:val="0"/>
      <w:autoSpaceDN w:val="0"/>
      <w:spacing w:line="240" w:lineRule="auto"/>
      <w:ind w:firstLine="0" w:firstLineChars="0"/>
      <w:jc w:val="center"/>
      <w:textAlignment w:val="bottom"/>
    </w:pPr>
    <w:rPr>
      <w:bCs/>
      <w:color w:val="000000"/>
      <w:sz w:val="21"/>
      <w:szCs w:val="21"/>
    </w:rPr>
  </w:style>
  <w:style w:type="paragraph" w:customStyle="1" w:styleId="77">
    <w:name w:val="图表名称"/>
    <w:next w:val="1"/>
    <w:qFormat/>
    <w:uiPriority w:val="0"/>
    <w:pPr>
      <w:adjustRightInd w:val="0"/>
      <w:snapToGrid w:val="0"/>
      <w:spacing w:line="360" w:lineRule="auto"/>
      <w:jc w:val="center"/>
    </w:pPr>
    <w:rPr>
      <w:rFonts w:ascii="宋体" w:hAnsi="宋体" w:eastAsia="Times New Roman" w:cs="Times New Roman"/>
      <w:b/>
      <w:bCs/>
      <w:kern w:val="2"/>
      <w:sz w:val="24"/>
      <w:szCs w:val="24"/>
      <w:lang w:val="en-US" w:eastAsia="zh-CN" w:bidi="ar-SA"/>
    </w:rPr>
  </w:style>
  <w:style w:type="paragraph" w:customStyle="1" w:styleId="78">
    <w:name w:val="表格5号居中"/>
    <w:basedOn w:val="1"/>
    <w:qFormat/>
    <w:uiPriority w:val="0"/>
    <w:pPr>
      <w:tabs>
        <w:tab w:val="left" w:pos="5400"/>
      </w:tabs>
      <w:adjustRightInd w:val="0"/>
      <w:spacing w:line="240" w:lineRule="auto"/>
      <w:ind w:firstLine="0" w:firstLineChars="0"/>
      <w:jc w:val="center"/>
      <w:textAlignment w:val="baseline"/>
    </w:pPr>
    <w:rPr>
      <w:iCs/>
      <w:spacing w:val="-6"/>
      <w:kern w:val="0"/>
      <w:sz w:val="21"/>
      <w:szCs w:val="21"/>
    </w:rPr>
  </w:style>
  <w:style w:type="paragraph" w:customStyle="1" w:styleId="79">
    <w:name w:val="表题"/>
    <w:basedOn w:val="1"/>
    <w:next w:val="1"/>
    <w:qFormat/>
    <w:uiPriority w:val="0"/>
    <w:pPr>
      <w:spacing w:before="50" w:beforeLines="50" w:line="240" w:lineRule="auto"/>
      <w:ind w:firstLine="0" w:firstLineChars="0"/>
      <w:jc w:val="center"/>
      <w:textAlignment w:val="center"/>
    </w:pPr>
    <w:rPr>
      <w:rFonts w:cs="Times New Roman"/>
      <w:b/>
      <w:sz w:val="21"/>
      <w:szCs w:val="22"/>
    </w:rPr>
  </w:style>
  <w:style w:type="paragraph" w:customStyle="1" w:styleId="80">
    <w:name w:val="表格字体"/>
    <w:basedOn w:val="1"/>
    <w:qFormat/>
    <w:uiPriority w:val="99"/>
    <w:pPr>
      <w:adjustRightInd w:val="0"/>
      <w:spacing w:line="240" w:lineRule="auto"/>
      <w:ind w:firstLine="0" w:firstLineChars="0"/>
    </w:pPr>
    <w:rPr>
      <w:sz w:val="21"/>
      <w:szCs w:val="21"/>
    </w:rPr>
  </w:style>
  <w:style w:type="paragraph" w:customStyle="1" w:styleId="81">
    <w:name w:val="0正文"/>
    <w:basedOn w:val="23"/>
    <w:qFormat/>
    <w:uiPriority w:val="0"/>
    <w:pPr>
      <w:adjustRightInd w:val="0"/>
      <w:snapToGrid w:val="0"/>
      <w:spacing w:before="0" w:beforeAutospacing="0" w:after="0" w:afterAutospacing="0" w:line="440" w:lineRule="exact"/>
      <w:ind w:firstLine="200" w:firstLineChars="200"/>
      <w:jc w:val="both"/>
    </w:pPr>
    <w:rPr>
      <w:rFonts w:ascii="Times New Roman" w:hAnsi="Times New Roman" w:cs="Times New Roman"/>
      <w:kern w:val="2"/>
    </w:rPr>
  </w:style>
  <w:style w:type="paragraph" w:customStyle="1" w:styleId="82">
    <w:name w:val="开都河正文"/>
    <w:qFormat/>
    <w:uiPriority w:val="0"/>
    <w:pPr>
      <w:adjustRightInd w:val="0"/>
      <w:snapToGrid w:val="0"/>
      <w:spacing w:line="500" w:lineRule="exact"/>
      <w:ind w:firstLine="1440" w:firstLineChars="200"/>
      <w:jc w:val="both"/>
    </w:pPr>
    <w:rPr>
      <w:rFonts w:ascii="Times New Roman" w:hAnsi="Times New Roman" w:eastAsia="宋体" w:cs="Times New Roman"/>
      <w:color w:val="auto"/>
      <w:sz w:val="24"/>
      <w:szCs w:val="24"/>
    </w:rPr>
  </w:style>
  <w:style w:type="paragraph" w:customStyle="1" w:styleId="83">
    <w:name w:val="表格内容"/>
    <w:basedOn w:val="1"/>
    <w:qFormat/>
    <w:uiPriority w:val="0"/>
    <w:pPr>
      <w:spacing w:line="240" w:lineRule="auto"/>
      <w:ind w:firstLine="0" w:firstLineChars="0"/>
      <w:jc w:val="center"/>
    </w:pPr>
    <w:rPr>
      <w:rFonts w:ascii="仿宋_GB2312" w:hAnsi="华文仿宋" w:eastAsia="仿宋_GB2312" w:cs="Times New Roman"/>
      <w:snapToGrid w:val="0"/>
      <w:spacing w:val="-4"/>
      <w:kern w:val="0"/>
      <w:sz w:val="18"/>
      <w:szCs w:val="18"/>
      <w:lang w:val="zh-CN"/>
    </w:rPr>
  </w:style>
  <w:style w:type="paragraph" w:customStyle="1" w:styleId="84">
    <w:name w:val="【表格】"/>
    <w:next w:val="1"/>
    <w:qFormat/>
    <w:uiPriority w:val="0"/>
    <w:pPr>
      <w:adjustRightInd w:val="0"/>
      <w:snapToGrid w:val="0"/>
      <w:spacing w:line="240" w:lineRule="auto"/>
      <w:jc w:val="center"/>
    </w:pPr>
    <w:rPr>
      <w:rFonts w:ascii="Times New Roman" w:hAnsi="Times New Roman" w:eastAsia="宋体" w:cs="Times New Roman"/>
      <w:color w:val="auto"/>
      <w:sz w:val="21"/>
    </w:rPr>
  </w:style>
  <w:style w:type="paragraph" w:customStyle="1" w:styleId="85">
    <w:name w:val="表格内"/>
    <w:basedOn w:val="1"/>
    <w:qFormat/>
    <w:uiPriority w:val="99"/>
    <w:pPr>
      <w:adjustRightInd w:val="0"/>
      <w:spacing w:line="240" w:lineRule="atLeast"/>
      <w:jc w:val="center"/>
      <w:textAlignment w:val="baseline"/>
    </w:pPr>
    <w:rPr>
      <w:rFonts w:ascii="宋体"/>
      <w:kern w:val="0"/>
      <w:sz w:val="28"/>
      <w:szCs w:val="20"/>
    </w:rPr>
  </w:style>
  <w:style w:type="paragraph" w:customStyle="1" w:styleId="86">
    <w:name w:val="【表内文字-两端对齐】"/>
    <w:qFormat/>
    <w:uiPriority w:val="0"/>
    <w:pPr>
      <w:widowControl w:val="0"/>
      <w:adjustRightInd w:val="0"/>
      <w:snapToGrid w:val="0"/>
      <w:spacing w:line="240" w:lineRule="auto"/>
      <w:ind w:firstLine="0" w:firstLineChars="0"/>
      <w:jc w:val="both"/>
    </w:pPr>
    <w:rPr>
      <w:rFonts w:ascii="Times New Roman" w:hAnsi="Times New Roman" w:eastAsia="宋体" w:cs="Times New Roman"/>
      <w:kern w:val="21"/>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microsoft.com/office/2011/relationships/people" Target="people.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wmf"/><Relationship Id="rId16" Type="http://schemas.openxmlformats.org/officeDocument/2006/relationships/oleObject" Target="embeddings/oleObject2.bin"/><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deeedb94-6623-4bcb-ac78-7c0916558b13</errorID>
      <errorWord>，</errorWord>
      <group>L1_Format</group>
      <groupName>格式问题</groupName>
      <ability>L2_HalfPunc_CN</ability>
      <abilityName>全半角问题</abilityName>
      <candidateList>
        <item>, </item>
      </candidateList>
      <explain>文本全半角错误。</explain>
      <paraID>414FEB5F</paraID>
      <start>14</start>
      <end>15</end>
      <status>ignored</status>
      <modifiedWord/>
      <trackRevisions>false</trackRevisions>
    </reviewItem>
    <reviewItem>
      <errorID>3323ebb9-a148-4e09-9c1a-bfb1071fb964</errorID>
      <errorWord>&lt;</errorWord>
      <group>L1_Format</group>
      <groupName>格式问题</groupName>
      <ability>L2_HalfPunc_CN</ability>
      <abilityName>全半角问题</abilityName>
      <candidateList>
        <item>〈</item>
      </candidateList>
      <explain>文本全半角错误。</explain>
      <paraID>681C2188</paraID>
      <start>13</start>
      <end>14</end>
      <status>ignored</status>
      <modifiedWord/>
      <trackRevisions>false</trackRevisions>
    </reviewItem>
    <reviewItem>
      <errorID>0f87178a-1e6f-4779-bd15-06ee6dbd3489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681C2188</paraID>
      <start>35</start>
      <end>36</end>
      <status>ignored</status>
      <modifiedWord/>
      <trackRevisions>false</trackRevisions>
    </reviewItem>
    <reviewItem>
      <errorID>4ae72b32-dd17-49e7-bc18-3ad936c72fac</errorID>
      <errorWord>&gt;</errorWord>
      <group>L1_Format</group>
      <groupName>格式问题</groupName>
      <ability>L2_HalfPunc_CN</ability>
      <abilityName>全半角问题</abilityName>
      <candidateList>
        <item>〉</item>
      </candidateList>
      <explain>文本全半角错误。</explain>
      <paraID>681C2188</paraID>
      <start>42</start>
      <end>43</end>
      <status>ignored</status>
      <modifiedWord/>
      <trackRevisions>false</trackRevisions>
    </reviewItem>
    <reviewItem>
      <errorID>887541c2-4a09-4249-9091-609043614d43</errorID>
      <errorWord>：/</errorWord>
      <group>L1_Punc</group>
      <groupName>标点问题</groupName>
      <ability>L2_Punc_CN</ability>
      <abilityName>标点符号问题</abilityName>
      <candidateList>
        <item>：</item>
      </candidateList>
      <explain/>
      <paraID>23929D1B</paraID>
      <start>9</start>
      <end>11</end>
      <status>ignored</status>
      <modifiedWord/>
      <trackRevisions>false</trackRevisions>
    </reviewItem>
    <reviewItem>
      <errorID>4258fc5f-561f-44d6-b208-92a945f751ae</errorID>
      <errorWord>：/</errorWord>
      <group>L1_Punc</group>
      <groupName>标点问题</groupName>
      <ability>L2_Punc_CN</ability>
      <abilityName>标点符号问题</abilityName>
      <candidateList>
        <item>：</item>
      </candidateList>
      <explain/>
      <paraID> E3F440A</paraID>
      <start>9</start>
      <end>11</end>
      <status>ignored</status>
      <modifiedWord/>
      <trackRevisions>false</trackRevisions>
    </reviewItem>
    <reviewItem>
      <errorID>2321becb-f03a-4943-8784-b8206bed2083</errorID>
      <errorWord>&lt;</errorWord>
      <group>L1_Format</group>
      <groupName>格式问题</groupName>
      <ability>L2_HalfPunc_CN</ability>
      <abilityName>全半角问题</abilityName>
      <candidateList>
        <item>〈</item>
      </candidateList>
      <explain>文本全半角错误。</explain>
      <paraID>4E66EDFE</paraID>
      <start>13</start>
      <end>14</end>
      <status>ignored</status>
      <modifiedWord/>
      <trackRevisions>false</trackRevisions>
    </reviewItem>
    <reviewItem>
      <errorID>702c308d-8dcc-47a6-a5c2-b6949a57f5cb</errorID>
      <errorWord>&gt;</errorWord>
      <group>L1_Format</group>
      <groupName>格式问题</groupName>
      <ability>L2_HalfPunc_CN</ability>
      <abilityName>全半角问题</abilityName>
      <candidateList>
        <item>〉</item>
      </candidateList>
      <explain>文本全半角错误。</explain>
      <paraID>4E66EDFE</paraID>
      <start>37</start>
      <end>38</end>
      <status>ignored</status>
      <modifiedWord/>
      <trackRevisions>false</trackRevisions>
    </reviewItem>
    <reviewItem>
      <errorID>516c83b7-61f0-4251-ba27-9bba29a7595f</errorID>
      <errorWord>：/</errorWord>
      <group>L1_Punc</group>
      <groupName>标点问题</groupName>
      <ability>L2_Punc_CN</ability>
      <abilityName>标点符号问题</abilityName>
      <candidateList>
        <item>：</item>
      </candidateList>
      <explain/>
      <paraID>6082813D</paraID>
      <start>9</start>
      <end>11</end>
      <status>ignored</status>
      <modifiedWord/>
      <trackRevisions>false</trackRevisions>
    </reviewItem>
    <reviewItem>
      <errorID>b576bfc5-4004-47d0-9ee0-927b48756b2e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5580B572</paraID>
      <start>30</start>
      <end>31</end>
      <status>ignored</status>
      <modifiedWord/>
      <trackRevisions>false</trackRevisions>
    </reviewItem>
    <reviewItem>
      <errorID>b6a48350-d676-425a-af66-91168b5513c4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5FB624A2</paraID>
      <start>35</start>
      <end>36</end>
      <status>ignored</status>
      <modifiedWord/>
      <trackRevisions>false</trackRevisions>
    </reviewItem>
    <reviewItem>
      <errorID>136e53b0-9af3-4c78-8aa4-2ff67b131aba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151B619B</paraID>
      <start>24</start>
      <end>25</end>
      <status>ignored</status>
      <modifiedWord/>
      <trackRevisions>false</trackRevisions>
    </reviewItem>
    <reviewItem>
      <errorID>48850a12-4e58-4d36-9a32-0bf1f8bad0d3</errorID>
      <errorWord>-</errorWord>
      <group>L1_Format</group>
      <groupName>格式问题</groupName>
      <ability>L2_HalfPunc_CN</ability>
      <abilityName>全半角问题</abilityName>
      <candidateList>
        <item>－</item>
      </candidateList>
      <explain>文本全半角错误。</explain>
      <paraID>4DB77D5C</paraID>
      <start>112</start>
      <end>113</end>
      <status>ignored</status>
      <modifiedWord/>
      <trackRevisions>false</trackRevisions>
    </reviewItem>
    <reviewItem>
      <errorID>06b93eb9-b5a2-4332-a083-d071f7b805f4</errorID>
      <errorWord>、和</errorWord>
      <group>L1_Punc</group>
      <groupName>标点问题</groupName>
      <ability>L2_Punc_CN</ability>
      <abilityName>标点符号问题</abilityName>
      <candidateList>
        <item>和</item>
      </candidateList>
      <explain>“及”“和”“等”连词前不宜使用顿号，建议删除（或使用逗号）。</explain>
      <paraID>5CB6978F</paraID>
      <start>93</start>
      <end>95</end>
      <status>ignored</status>
      <modifiedWord/>
      <trackRevisions>false</trackRevisions>
    </reviewItem>
    <reviewItem>
      <errorID>97aa9219-b1e0-422b-9090-a072b1496c36</errorID>
      <errorWord>-</errorWord>
      <group>L1_Format</group>
      <groupName>格式问题</groupName>
      <ability>L2_HalfPunc_CN</ability>
      <abilityName>全半角问题</abilityName>
      <candidateList>
        <item>－</item>
      </candidateList>
      <explain>文本全半角错误。</explain>
      <paraID>369EA55F</paraID>
      <start>91</start>
      <end>92</end>
      <status>ignored</status>
      <modifiedWord/>
      <trackRevisions>false</trackRevisions>
    </reviewItem>
    <reviewItem>
      <errorID>01aaab6e-5d9a-44cc-985b-9a548ee057ac</errorID>
      <errorWord>、和</errorWord>
      <group>L1_Punc</group>
      <groupName>标点问题</groupName>
      <ability>L2_Punc_CN</ability>
      <abilityName>标点符号问题</abilityName>
      <candidateList>
        <item>和</item>
      </candidateList>
      <explain>“及”“和”“等”连词前不宜使用顿号，建议删除（或使用逗号）。</explain>
      <paraID>211963EB</paraID>
      <start>93</start>
      <end>95</end>
      <status>ignored</status>
      <modifiedWord/>
      <trackRevisions>false</trackRevisions>
    </reviewItem>
    <reviewItem>
      <errorID>cab9b181-c033-4cac-b2e3-8d4b425b7ff6</errorID>
      <errorWord>资金投入到</errorWord>
      <group>L1_Word</group>
      <groupName>字词问题</groupName>
      <ability>L2_Typo</ability>
      <abilityName>字词错误</abilityName>
      <candidateList>
        <item>资金投入</item>
      </candidateList>
      <explain/>
      <paraID>7B4A02A1</paraID>
      <start>72</start>
      <end>76</end>
      <status>modified</status>
      <modifiedWord>资金投入</modifiedWord>
      <trackRevisions>false</trackRevisions>
    </reviewItem>
    <reviewItem>
      <errorID>1bd79967-14f8-47a3-8d86-4450678d7bd3</errorID>
      <errorWord>、和</errorWord>
      <group>L1_Punc</group>
      <groupName>标点问题</groupName>
      <ability>L2_Punc_CN</ability>
      <abilityName>标点符号问题</abilityName>
      <candidateList>
        <item>和</item>
      </candidateList>
      <explain>“及”“和”“等”连词前不宜使用顿号，建议删除（或使用逗号）。</explain>
      <paraID>43F2050F</paraID>
      <start>121</start>
      <end>123</end>
      <status>ignored</status>
      <modifiedWord/>
      <trackRevisions>false</trackRevisions>
    </reviewItem>
    <reviewItem>
      <errorID>b8043526-ad7a-40d7-8e6c-321d009576ef</errorID>
      <errorWord>-</errorWord>
      <group>L1_Format</group>
      <groupName>格式问题</groupName>
      <ability>L2_HalfPunc_CN</ability>
      <abilityName>全半角问题</abilityName>
      <candidateList>
        <item>－</item>
      </candidateList>
      <explain>文本全半角错误。</explain>
      <paraID>43F2050F</paraID>
      <start>124</start>
      <end>125</end>
      <status>ignored</status>
      <modifiedWord/>
      <trackRevisions>false</trackRevisions>
    </reviewItem>
    <reviewItem>
      <errorID>02606dca-02b7-4501-b60c-5c91894c0fb7</errorID>
      <errorWord>其它</errorWord>
      <group>L1_Word</group>
      <groupName>字词问题</groupName>
      <ability>L2_Alias</ability>
      <abilityName>也作/曾用词</abilityName>
      <candidateList>
        <item>其他</item>
      </candidateList>
      <explain>词汇[其它]为不规范表述或旧称，其规范书面表述为[其他]。</explain>
      <paraID> 7ACDA42</paraID>
      <start>4</start>
      <end>6</end>
      <status>ignored</status>
      <modifiedWord/>
      <trackRevisions>false</trackRevisions>
    </reviewItem>
    <reviewItem>
      <errorID>4502c8b9-b85d-4e33-8ee1-519b32cce401</errorID>
      <errorWord>II类</errorWord>
      <group>L1_Knowledge</group>
      <groupName>知识性问题</groupName>
      <ability>L2_Knowledge</ability>
      <abilityName>其他知识</abilityName>
      <candidateList>
        <item>Ⅱ类</item>
      </candidateList>
      <explain>中文环境下罗马数字格式错误。</explain>
      <paraID>1CED2039</paraID>
      <start>48</start>
      <end>51</end>
      <status>ignored</status>
      <modifiedWord/>
      <trackRevisions>false</trackRevisions>
    </reviewItem>
    <reviewItem>
      <errorID>955e62cd-1053-418a-ab3f-89e732f20e30</errorID>
      <errorWord>上线</errorWord>
      <group>L1_Word</group>
      <groupName>字词问题</groupName>
      <ability>L2_Typo</ability>
      <abilityName>字词错误</abilityName>
      <candidateList>
        <item>上限</item>
      </candidateList>
      <explain>存在发音相同字词的误用。</explain>
      <paraID>213ECFDA</paraID>
      <start>4</start>
      <end>6</end>
      <status>ignored</status>
      <modifiedWord/>
      <trackRevisions>false</trackRevisions>
    </reviewItem>
    <reviewItem>
      <errorID>3173cb5c-da7f-410c-aee8-525a9c9b9953</errorID>
      <errorWord>碳达峰和碳中和</errorWord>
      <group>L1_Political</group>
      <groupName>政治性问题</groupName>
      <ability>L2_Keyword</ability>
      <abilityName>固定表述</abilityName>
      <candidateList>
        <item>碳达峰碳中和</item>
      </candidateList>
      <explain>词汇“碳达峰碳中和”在特定场景下为固定表述形式，请确认此处的“碳达峰和碳中和”是否存在不当。</explain>
      <paraID>47A885CB</paraID>
      <start>73</start>
      <end>79</end>
      <status>modified</status>
      <modifiedWord>碳达峰碳中和</modifiedWord>
      <trackRevisions>false</trackRevisions>
    </reviewItem>
    <reviewItem>
      <errorID>df6dbf42-a923-4c7a-9a7f-f84d8ab87374</errorID>
      <errorWord>古</errorWord>
      <group>L1_Word</group>
      <groupName>字词问题</groupName>
      <ability>L2_Typo</ability>
      <abilityName>字词错误</abilityName>
      <candidateList>
        <item>古族</item>
      </candidateList>
      <explain/>
      <paraID> 5C0DBE5</paraID>
      <start>6</start>
      <end>7</end>
      <status>ignored</status>
      <modifiedWord/>
      <trackRevisions>false</trackRevisions>
    </reviewItem>
    <reviewItem>
      <errorID>4e75a52d-c7cc-4f01-a846-40b4c5c063da</errorID>
      <errorWord>、和</errorWord>
      <group>L1_Punc</group>
      <groupName>标点问题</groupName>
      <ability>L2_Punc_CN</ability>
      <abilityName>标点符号问题</abilityName>
      <candidateList>
        <item>和</item>
      </candidateList>
      <explain>“及”“和”“等”连词前不宜使用顿号，建议删除（或使用逗号）。</explain>
      <paraID> C785710</paraID>
      <start>93</start>
      <end>95</end>
      <status>ignored</status>
      <modifiedWord/>
      <trackRevisions>false</trackRevisions>
    </reviewItem>
    <reviewItem>
      <errorID>c505bdce-0101-4220-9dcb-274a458a3395</errorID>
      <errorWord>古</errorWord>
      <group>L1_Word</group>
      <groupName>字词问题</groupName>
      <ability>L2_Typo</ability>
      <abilityName>字词错误</abilityName>
      <candidateList>
        <item>古族</item>
      </candidateList>
      <explain/>
      <paraID>4CEDC1D3</paraID>
      <start>6</start>
      <end>7</end>
      <status>ignored</status>
      <modifiedWord/>
      <trackRevisions>false</trackRevisions>
    </reviewItem>
    <reviewItem>
      <errorID>2607fdb2-397f-45c1-81f0-c5846e1a7477</errorID>
      <errorWord>勘查</errorWord>
      <group>L1_Word</group>
      <groupName>字词问题</groupName>
      <ability>L2_Typo</ability>
      <abilityName>字词错误</abilityName>
      <candidateList>
        <item>勘察</item>
      </candidateList>
      <explain/>
      <paraID>774F3FB1</paraID>
      <start>101</start>
      <end>103</end>
      <status>ignored</status>
      <modifiedWord/>
      <trackRevisions>false</trackRevisions>
    </reviewItem>
    <reviewItem>
      <errorID>50770acf-0fc2-48f9-9a1e-011f52b8fbfd</errorID>
      <errorWord>融入到</errorWord>
      <group>L1_Word</group>
      <groupName>字词问题</groupName>
      <ability>L2_Typo</ability>
      <abilityName>字词错误</abilityName>
      <candidateList>
        <item>融入</item>
      </candidateList>
      <explain/>
      <paraID>774F3FB1</paraID>
      <start>117</start>
      <end>119</end>
      <status>modified</status>
      <modifiedWord>融入</modifiedWord>
      <trackRevisions>false</trackRevisions>
    </reviewItem>
    <reviewItem>
      <errorID>5ccf7acc-2d3c-4591-afbf-87cafe81735d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37C679C</paraID>
      <start>54</start>
      <end>55</end>
      <status>ignored</status>
      <modifiedWord/>
      <trackRevisions>false</trackRevisions>
    </reviewItem>
    <reviewItem>
      <errorID>6aa86d66-c3d8-44e2-8f85-2c99819f0e42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37C679C</paraID>
      <start>66</start>
      <end>67</end>
      <status>ignored</status>
      <modifiedWord/>
      <trackRevisions>false</trackRevisions>
    </reviewItem>
    <reviewItem>
      <errorID>6a2980f0-569b-454f-b5ff-2e264c301288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714861F5</paraID>
      <start>262</start>
      <end>263</end>
      <status>ignored</status>
      <modifiedWord/>
      <trackRevisions>false</trackRevisions>
    </reviewItem>
    <reviewItem>
      <errorID>92c0193d-2f7d-4c67-99cc-210af635f827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714861F5</paraID>
      <start>274</start>
      <end>275</end>
      <status>ignored</status>
      <modifiedWord/>
      <trackRevisions>false</trackRevisions>
    </reviewItem>
    <reviewItem>
      <errorID>bdd1b486-4f86-4ada-aae6-96776e5793c2</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7C97FAA5</paraID>
      <start>5</start>
      <end>12</end>
      <status>ignored</status>
      <modifiedWord/>
      <trackRevisions>false</trackRevisions>
    </reviewItem>
    <reviewItem>
      <errorID>1a770cd6-828c-48fb-ac88-2e593b6e199a</errorID>
      <errorWord>(</errorWord>
      <group>L1_Format</group>
      <groupName>格式问题</groupName>
      <ability>L2_HalfPunc_CN</ability>
      <abilityName>全半角问题</abilityName>
      <candidateList>
        <item>（</item>
      </candidateList>
      <explain>文本全半角错误。</explain>
      <paraID>672FCE2B</paraID>
      <start>77</start>
      <end>78</end>
      <status>modified</status>
      <modifiedWord>（</modifiedWord>
      <trackRevisions>false</trackRevisions>
    </reviewItem>
    <reviewItem>
      <errorID>cdec0ef3-01bd-454f-b446-1c356d3ba6bf</errorID>
      <errorWord>)</errorWord>
      <group>L1_Format</group>
      <groupName>格式问题</groupName>
      <ability>L2_HalfPunc_CN</ability>
      <abilityName>全半角问题</abilityName>
      <candidateList>
        <item>）</item>
      </candidateList>
      <explain>文本全半角错误。</explain>
      <paraID>672FCE2B</paraID>
      <start>81</start>
      <end>82</end>
      <status>modified</status>
      <modifiedWord>）</modifiedWord>
      <trackRevisions>false</trackRevisions>
    </reviewItem>
    <reviewItem>
      <errorID>000b50e3-7b2b-46c3-8db4-483ff9dd5968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F96617D</paraID>
      <start>42</start>
      <end>43</end>
      <status>ignored</status>
      <modifiedWord/>
      <trackRevisions>false</trackRevisions>
    </reviewItem>
    <reviewItem>
      <errorID>badfe167-078b-4b12-8d32-d1688af85290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F96617D</paraID>
      <start>79</start>
      <end>80</end>
      <status>ignored</status>
      <modifiedWord/>
      <trackRevisions>false</trackRevisions>
    </reviewItem>
    <reviewItem>
      <errorID>4138fffc-4606-4598-9460-1e24e0910843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F96617D</paraID>
      <start>123</start>
      <end>124</end>
      <status>ignored</status>
      <modifiedWord/>
      <trackRevisions>false</trackRevisions>
    </reviewItem>
    <reviewItem>
      <errorID>5cf15693-6dc7-4d78-a025-54a9b73178f6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F96617D</paraID>
      <start>163</start>
      <end>164</end>
      <status>ignored</status>
      <modifiedWord/>
      <trackRevisions>false</trackRevisions>
    </reviewItem>
    <reviewItem>
      <errorID>42c303ac-2a7f-44ca-9faf-6e1bc3f6f9f3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F96617D</paraID>
      <start>189</start>
      <end>190</end>
      <status>ignored</status>
      <modifiedWord/>
      <trackRevisions>false</trackRevisions>
    </reviewItem>
    <reviewItem>
      <errorID>3c4e1deb-1e23-4089-a095-ecbe7b4859e9</errorID>
      <errorWord>（</errorWord>
      <group>L1_Punc</group>
      <groupName>标点问题</groupName>
      <ability>L2_Punc_CN</ability>
      <abilityName>标点符号问题</abilityName>
      <candidateList/>
      <explain>同一形式括号套用。</explain>
      <paraID>41A1CCC6</paraID>
      <start>203</start>
      <end>204</end>
      <status>ignored</status>
      <modifiedWord/>
      <trackRevisions>false</trackRevisions>
    </reviewItem>
    <reviewItem>
      <errorID>fc0bc920-37a6-44ad-89dd-f42184f23430</errorID>
      <errorWord>）</errorWord>
      <group>L1_Punc</group>
      <groupName>标点问题</groupName>
      <ability>L2_Punc_CN</ability>
      <abilityName>标点符号问题</abilityName>
      <candidateList/>
      <explain>同一形式括号套用。</explain>
      <paraID>41A1CCC6</paraID>
      <start>213</start>
      <end>214</end>
      <status>ignored</status>
      <modifiedWord/>
      <trackRevisions>false</trackRevisions>
    </reviewItem>
    <reviewItem>
      <errorID>f372ac16-b013-4c3f-97a6-5a7030079365</errorID>
      <errorWord>。</errorWord>
      <group>L1_Format</group>
      <groupName>格式问题</groupName>
      <ability>L2_HalfPunc_CN</ability>
      <abilityName>全半角问题</abilityName>
      <candidateList>
        <item>.</item>
      </candidateList>
      <explain>文本全半角错误。</explain>
      <paraID>646AB8E7</paraID>
      <start>24</start>
      <end>25</end>
      <status>ignored</status>
      <modifiedWord/>
      <trackRevisions>false</trackRevisions>
    </reviewItem>
    <reviewItem>
      <errorID>0c1a86f6-ff34-4d6c-bf5b-19a457feb64c</errorID>
      <errorWord>一某种</errorWord>
      <group>L1_Word</group>
      <groupName>字词问题</groupName>
      <ability>L2_Typo</ability>
      <abilityName>字词错误</abilityName>
      <candidateList>
        <item>一种</item>
      </candidateList>
      <explain/>
      <paraID>72A5EC25</paraID>
      <start>3</start>
      <end>6</end>
      <status>ignored</status>
      <modifiedWord/>
      <trackRevisions>false</trackRevisions>
    </reviewItem>
    <reviewItem>
      <errorID>e4ae93ff-1cb3-4b02-9bb7-b0254d28b70c</errorID>
      <errorWord>（</errorWord>
      <group>L1_Format</group>
      <groupName>格式问题</groupName>
      <ability>L2_HalfPunc_CN</ability>
      <abilityName>全半角问题</abilityName>
      <candidateList>
        <item>(</item>
      </candidateList>
      <explain>文本全半角错误。</explain>
      <paraID>61BBCBBA</paraID>
      <start>2</start>
      <end>3</end>
      <status>ignored</status>
      <modifiedWord/>
      <trackRevisions>false</trackRevisions>
    </reviewItem>
    <reviewItem>
      <errorID>2b9bf02f-523e-4362-bc5c-3bee60d78e1b</errorID>
      <errorWord>）</errorWord>
      <group>L1_Format</group>
      <groupName>格式问题</groupName>
      <ability>L2_HalfPunc_CN</ability>
      <abilityName>全半角问题</abilityName>
      <candidateList>
        <item>)</item>
      </candidateList>
      <explain>文本全半角错误。</explain>
      <paraID>61BBCBBA</paraID>
      <start>8</start>
      <end>9</end>
      <status>ignored</status>
      <modifiedWord/>
      <trackRevisions>false</trackRevisions>
    </reviewItem>
    <reviewItem>
      <errorID>a66558c1-3a4e-412a-8893-803eb8411af7</errorID>
      <errorWord>（</errorWord>
      <group>L1_Punc</group>
      <groupName>标点问题</groupName>
      <ability>L2_Punc_CN</ability>
      <abilityName>标点符号问题</abilityName>
      <candidateList/>
      <explain>同一形式括号套用。</explain>
      <paraID>6747DB42</paraID>
      <start>86</start>
      <end>87</end>
      <status>ignored</status>
      <modifiedWord/>
      <trackRevisions>false</trackRevisions>
    </reviewItem>
    <reviewItem>
      <errorID>085918f3-def9-4642-b93b-e6650271edcd</errorID>
      <errorWord>）</errorWord>
      <group>L1_Punc</group>
      <groupName>标点问题</groupName>
      <ability>L2_Punc_CN</ability>
      <abilityName>标点符号问题</abilityName>
      <candidateList/>
      <explain>同一形式括号套用。</explain>
      <paraID>6747DB42</paraID>
      <start>97</start>
      <end>98</end>
      <status>ignored</status>
      <modifiedWord/>
      <trackRevisions>false</trackRevisions>
    </reviewItem>
    <reviewItem>
      <errorID>61f4ea15-ce96-4fe2-a89c-0526669cb622</errorID>
      <errorWord>劣V类水体</errorWord>
      <group>L1_Political</group>
      <groupName>政治性问题</groupName>
      <ability>L2_Keyword</ability>
      <abilityName>固定表述</abilityName>
      <candidateList>
        <item>劣Ⅴ类水体</item>
      </candidateList>
      <explain>词汇“劣Ⅴ类水体”在特定场景下为固定表述形式，请确认此处的“劣V类水体”是否存在不当。</explain>
      <paraID>78022736</paraID>
      <start>129</start>
      <end>134</end>
      <status>ignored</status>
      <modifiedWord/>
      <trackRevisions>false</trackRevisions>
    </reviewItem>
    <reviewItem>
      <errorID>fc893298-8180-40c3-82fc-74a5bea7f34e</errorID>
      <errorWord>新疆自治区</errorWord>
      <group>L1_Other</group>
      <groupName>其他问题</groupName>
      <ability>L2_UserTypo</ability>
      <abilityName>自定义错误</abilityName>
      <candidateList>
        <item>新疆维吾尔自治区</item>
      </candidateList>
      <explain>来自自定义错词库。</explain>
      <paraID>64D46C0C</paraID>
      <start>86</start>
      <end>91</end>
      <status>ignored</status>
      <modifiedWord/>
      <trackRevisions>false</trackRevisions>
    </reviewItem>
    <reviewItem>
      <errorID>3f85ae25-9f90-4944-ab6d-0ab490f3e127</errorID>
      <errorWord>国家质量监督检验检疫总局</errorWord>
      <group>L1_Knowledge</group>
      <groupName>知识性问题</groupName>
      <ability>L2_Organization</ability>
      <abilityName>机构检查</abilityName>
      <candidateList/>
      <explain>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56766719</paraID>
      <start>17</start>
      <end>29</end>
      <status>ignored</status>
      <modifiedWord/>
      <trackRevisions>false</trackRevisions>
    </reviewItem>
    <reviewItem>
      <errorID>0bc3f7d0-1636-49c3-885b-bb3cb245f828</errorID>
      <errorWord>（</errorWord>
      <group>L1_Format</group>
      <groupName>格式问题</groupName>
      <ability>L2_HalfPunc_CN</ability>
      <abilityName>全半角问题</abilityName>
      <candidateList>
        <item>(</item>
      </candidateList>
      <explain>文本全半角错误。</explain>
      <paraID>306367BD</paraID>
      <start>2</start>
      <end>3</end>
      <status>ignored</status>
      <modifiedWord/>
      <trackRevisions>false</trackRevisions>
    </reviewItem>
    <reviewItem>
      <errorID>f99fbc94-c1c9-4002-9b91-a912b90f1b75</errorID>
      <errorWord>）</errorWord>
      <group>L1_Format</group>
      <groupName>格式问题</groupName>
      <ability>L2_HalfPunc_CN</ability>
      <abilityName>全半角问题</abilityName>
      <candidateList>
        <item>)</item>
      </candidateList>
      <explain>文本全半角错误。</explain>
      <paraID>306367BD</paraID>
      <start>8</start>
      <end>9</end>
      <status>ignored</status>
      <modifiedWord/>
      <trackRevisions>false</trackRevisions>
    </reviewItem>
    <reviewItem>
      <errorID>6473b61a-5ec4-41ad-b36f-6f2768ccb3bb</errorID>
      <errorWord>（</errorWord>
      <group>L1_Format</group>
      <groupName>格式问题</groupName>
      <ability>L2_HalfPunc_CN</ability>
      <abilityName>全半角问题</abilityName>
      <candidateList>
        <item>(</item>
      </candidateList>
      <explain>文本全半角错误。</explain>
      <paraID>29FF8B40</paraID>
      <start>6</start>
      <end>7</end>
      <status>ignored</status>
      <modifiedWord/>
      <trackRevisions>false</trackRevisions>
    </reviewItem>
    <reviewItem>
      <errorID>fac063f8-10fc-40d1-a6e4-1f51b4ddda10</errorID>
      <errorWord>）</errorWord>
      <group>L1_Format</group>
      <groupName>格式问题</groupName>
      <ability>L2_HalfPunc_CN</ability>
      <abilityName>全半角问题</abilityName>
      <candidateList>
        <item>)</item>
      </candidateList>
      <explain>文本全半角错误。</explain>
      <paraID>29FF8B40</paraID>
      <start>12</start>
      <end>13</end>
      <status>ignored</status>
      <modifiedWord/>
      <trackRevisions>false</trackRevisions>
    </reviewItem>
    <reviewItem>
      <errorID>bc7790d2-a5f2-4e43-8f6a-8f981d1e6de1</errorID>
      <errorWord>（</errorWord>
      <group>L1_Format</group>
      <groupName>格式问题</groupName>
      <ability>L2_HalfPunc_CN</ability>
      <abilityName>全半角问题</abilityName>
      <candidateList>
        <item>(</item>
      </candidateList>
      <explain>文本全半角错误。</explain>
      <paraID>53285843</paraID>
      <start>2</start>
      <end>3</end>
      <status>ignored</status>
      <modifiedWord/>
      <trackRevisions>false</trackRevisions>
    </reviewItem>
    <reviewItem>
      <errorID>97bfd1e6-a181-4a66-852f-28b5ca3c5647</errorID>
      <errorWord>）</errorWord>
      <group>L1_Format</group>
      <groupName>格式问题</groupName>
      <ability>L2_HalfPunc_CN</ability>
      <abilityName>全半角问题</abilityName>
      <candidateList>
        <item>)</item>
      </candidateList>
      <explain>文本全半角错误。</explain>
      <paraID>53285843</paraID>
      <start>8</start>
      <end>9</end>
      <status>ignored</status>
      <modifiedWord/>
      <trackRevisions>false</trackRevisions>
    </reviewItem>
    <reviewItem>
      <errorID>9e45e64c-4506-46d8-9c33-9d04e91c0944</errorID>
      <errorWord>，</errorWord>
      <group>L1_Format</group>
      <groupName>格式问题</groupName>
      <ability>L2_HalfPunc_CN</ability>
      <abilityName>全半角问题</abilityName>
      <candidateList>
        <item>,</item>
      </candidateList>
      <explain>文本全半角错误。</explain>
      <paraID>361A52EE</paraID>
      <start>7</start>
      <end>8</end>
      <status>ignored</status>
      <modifiedWord/>
      <trackRevisions>false</trackRevisions>
    </reviewItem>
    <reviewItem>
      <errorID>b0d934be-c8f2-4afd-85b2-589d89824ab3</errorID>
      <errorWord>，</errorWord>
      <group>L1_Format</group>
      <groupName>格式问题</groupName>
      <ability>L2_HalfPunc_CN</ability>
      <abilityName>全半角问题</abilityName>
      <candidateList>
        <item>,</item>
      </candidateList>
      <explain>文本全半角错误。</explain>
      <paraID>7430424D</paraID>
      <start>5</start>
      <end>6</end>
      <status>ignored</status>
      <modifiedWord/>
      <trackRevisions>false</trackRevisions>
    </reviewItem>
    <reviewItem>
      <errorID>21c2b699-5ee1-483f-ab42-6045b917a598</errorID>
      <errorWord>勘查</errorWord>
      <group>L1_Word</group>
      <groupName>字词问题</groupName>
      <ability>L2_Typo</ability>
      <abilityName>字词错误</abilityName>
      <candidateList>
        <item>勘察</item>
      </candidateList>
      <explain>存在发音相同字词的误用。</explain>
      <paraID>4398650E</paraID>
      <start>3</start>
      <end>5</end>
      <status>ignored</status>
      <modifiedWord/>
      <trackRevisions>false</trackRevisions>
    </reviewItem>
    <reviewItem>
      <errorID>709cfbec-6c4f-4a6a-8c0f-9bd5c5548174</errorID>
      <errorWord>…..</errorWord>
      <group>L1_Punc</group>
      <groupName>标点问题</groupName>
      <ability>L2_Punc_CN</ability>
      <abilityName>标点符号问题</abilityName>
      <candidateList>
        <item>…</item>
      </candidateList>
      <explain/>
      <paraID>61F5B5F7</paraID>
      <start>8</start>
      <end>11</end>
      <status>ignored</status>
      <modifiedWord/>
      <trackRevisions>false</trackRevisions>
    </reviewItem>
    <reviewItem>
      <errorID>0723bdbd-9ea9-4886-9dea-ac03c81c9ed6</errorID>
      <errorWord>，…..</errorWord>
      <group>L1_Punc</group>
      <groupName>标点问题</groupName>
      <ability>L2_Punc_CN</ability>
      <abilityName>标点符号问题</abilityName>
      <candidateList>
        <item>，</item>
      </candidateList>
      <explain/>
      <paraID>1883BD14</paraID>
      <start>5</start>
      <end>9</end>
      <status>ignored</status>
      <modifiedWord/>
      <trackRevisions>false</trackRevisions>
    </reviewItem>
    <reviewItem>
      <errorID>879d2f87-d17a-4d8c-be33-7bccf59d53fa</errorID>
      <errorWord>IV</errorWord>
      <group>L1_Knowledge</group>
      <groupName>知识性问题</groupName>
      <ability>L2_Knowledge</ability>
      <abilityName>其他知识</abilityName>
      <candidateList>
        <item>Ⅳ</item>
      </candidateList>
      <explain>中文环境下罗马数字格式错误。</explain>
      <paraID>270E546B</paraID>
      <start>14</start>
      <end>16</end>
      <status>ignored</status>
      <modifiedWord/>
      <trackRevisions>false</trackRevisions>
    </reviewItem>
    <reviewItem>
      <errorID>5ddf85e0-4fbd-4aae-bc8f-9359deb21578</errorID>
      <errorWord>；</errorWord>
      <group>L1_Format</group>
      <groupName>格式问题</groupName>
      <ability>L2_HalfPunc_CN</ability>
      <abilityName>全半角问题</abilityName>
      <candidateList>
        <item>; </item>
      </candidateList>
      <explain>文本全半角错误。</explain>
      <paraID>1E02C9CF</paraID>
      <start>9</start>
      <end>10</end>
      <status>ignored</status>
      <modifiedWord/>
      <trackRevisions>false</trackRevisions>
    </reviewItem>
    <reviewItem>
      <errorID>1a3cb188-eb4f-46ea-b68d-07d45e573a23</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711968F0</paraID>
      <start>57</start>
      <end>60</end>
      <status>ignored</status>
      <modifiedWord/>
      <trackRevisions>false</trackRevisions>
    </reviewItem>
    <reviewItem>
      <errorID>5bbf0d2b-4ace-4118-bdb2-f116269894ec</errorID>
      <errorWord>其它</errorWord>
      <group>L1_Word</group>
      <groupName>字词问题</groupName>
      <ability>L2_Alias</ability>
      <abilityName>也作/曾用词</abilityName>
      <candidateList>
        <item>其他</item>
      </candidateList>
      <explain>词汇[其它]为不规范表述或旧称，其规范书面表述为[其他]。</explain>
      <paraID>618BAB2D</paraID>
      <start>41</start>
      <end>43</end>
      <status>ignored</status>
      <modifiedWord/>
      <trackRevisions>false</trackRevisions>
    </reviewItem>
    <reviewItem>
      <errorID>f45e45a2-3271-4444-848c-a5350f577faf</errorID>
      <errorWord>；</errorWord>
      <group>L1_Format</group>
      <groupName>格式问题</groupName>
      <ability>L2_HalfPunc_CN</ability>
      <abilityName>全半角问题</abilityName>
      <candidateList>
        <item>; </item>
      </candidateList>
      <explain>文本全半角错误。</explain>
      <paraID>70D0A162</paraID>
      <start>14</start>
      <end>15</end>
      <status>ignored</status>
      <modifiedWord/>
      <trackRevisions>false</trackRevisions>
    </reviewItem>
    <reviewItem>
      <errorID>6c24ab0a-8e81-44cd-9196-02c1ffb79583</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19E7BCC0</paraID>
      <start>93</start>
      <end>96</end>
      <status>ignored</status>
      <modifiedWord/>
      <trackRevisions>false</trackRevisions>
    </reviewItem>
    <reviewItem>
      <errorID>596fecc1-e7a2-4d8d-8da7-4607dc468c0c</errorID>
      <errorWord>物质</errorWord>
      <group>L1_Word</group>
      <groupName>字词问题</groupName>
      <ability>L2_Typo</ability>
      <abilityName>字词错误</abilityName>
      <candidateList>
        <item>物资</item>
      </candidateList>
      <explain/>
      <paraID>4544C06A</paraID>
      <start>110</start>
      <end>112</end>
      <status>ignored</status>
      <modifiedWord/>
      <trackRevisions>false</trackRevisions>
    </reviewItem>
    <reviewItem>
      <errorID>53b5097d-e095-4183-99c2-973d78523a65</errorID>
      <errorWord>勘查</errorWord>
      <group>L1_Word</group>
      <groupName>字词问题</groupName>
      <ability>L2_Typo</ability>
      <abilityName>字词错误</abilityName>
      <candidateList>
        <item>勘察</item>
      </candidateList>
      <explain>存在发音相同字词的误用。</explain>
      <paraID> A2FE17A</paraID>
      <start>124</start>
      <end>126</end>
      <status>ignored</status>
      <modifiedWord/>
      <trackRevisions>false</trackRevisions>
    </reviewItem>
    <reviewItem>
      <errorID>7a12ea15-5f9d-4eb6-aed3-8b02f6d2b4e7</errorID>
      <errorWord>勘查</errorWord>
      <group>L1_Word</group>
      <groupName>字词问题</groupName>
      <ability>L2_Typo</ability>
      <abilityName>字词错误</abilityName>
      <candidateList>
        <item>勘察</item>
      </candidateList>
      <explain>存在发音相同字词的误用。</explain>
      <paraID>4AFC5131</paraID>
      <start>2</start>
      <end>4</end>
      <status>ignored</status>
      <modifiedWord/>
      <trackRevisions>false</trackRevisions>
    </reviewItem>
    <reviewItem>
      <errorID>738c0518-13c9-4057-b494-f528f45742d4</errorID>
      <errorWord>勘查</errorWord>
      <group>L1_Word</group>
      <groupName>字词问题</groupName>
      <ability>L2_Typo</ability>
      <abilityName>字词错误</abilityName>
      <candidateList>
        <item>勘察</item>
      </candidateList>
      <explain>存在发音相同字词的误用。</explain>
      <paraID> EF3CA39</paraID>
      <start>9</start>
      <end>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6db3bc-6b31-446e-8ff8-35b49ed24e7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65</Pages>
  <Words>41621</Words>
  <Characters>45103</Characters>
  <Lines>246</Lines>
  <Paragraphs>69</Paragraphs>
  <TotalTime>30</TotalTime>
  <ScaleCrop>false</ScaleCrop>
  <LinksUpToDate>false</LinksUpToDate>
  <CharactersWithSpaces>45300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2021-05-10T02:26:00Z</dcterms:created>
  <dc:creator>lhj</dc:creator>
  <cp:lastModifiedBy>Lucky girl</cp:lastModifiedBy>
  <cp:lastPrinted>2021-04-08T05:23:00Z</cp:lastPrinted>
  <dcterms:modified xsi:type="dcterms:W3CDTF">2026-09-14T05:15:32Z</dcterms:modified>
  <dc:title>附件2</dc:title>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CB512A33B0B64165993BD0C09F6BE9C8_13</vt:lpwstr>
  </property>
  <property fmtid="{D5CDD505-2E9C-101B-9397-08002B2CF9AE}" pid="4" name="KSOTemplateDocerSaveRecord">
    <vt:lpwstr>eyJoZGlkIjoiYWZjMjU2YmQzNWQzM2MzNTRlZDkyMjIwMjJiOTQ0ZWIiLCJ1c2VySWQiOiI2MDYzMjUzNDYifQ==</vt:lpwstr>
  </property>
</Properties>
</file>