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0CCDC">
      <w:pPr>
        <w:rPr>
          <w:rFonts w:ascii="仿宋_GB2312" w:hAnsi="仿宋_GB2312" w:eastAsia="仿宋_GB2312" w:cs="仿宋_GB2312"/>
          <w:sz w:val="36"/>
          <w:szCs w:val="36"/>
        </w:rPr>
      </w:pPr>
    </w:p>
    <w:p w14:paraId="195B35F0">
      <w:pPr>
        <w:rPr>
          <w:rFonts w:ascii="仿宋_GB2312" w:hAnsi="仿宋_GB2312" w:eastAsia="仿宋_GB2312" w:cs="仿宋_GB2312"/>
          <w:sz w:val="36"/>
          <w:szCs w:val="36"/>
        </w:rPr>
      </w:pPr>
    </w:p>
    <w:p w14:paraId="044E4EDB">
      <w:pPr>
        <w:rPr>
          <w:rFonts w:ascii="仿宋_GB2312" w:hAnsi="仿宋_GB2312" w:eastAsia="仿宋_GB2312" w:cs="仿宋_GB2312"/>
          <w:sz w:val="36"/>
          <w:szCs w:val="36"/>
        </w:rPr>
      </w:pPr>
    </w:p>
    <w:p w14:paraId="718D0072">
      <w:pPr>
        <w:rPr>
          <w:rFonts w:ascii="仿宋_GB2312" w:hAnsi="仿宋_GB2312" w:eastAsia="仿宋_GB2312" w:cs="仿宋_GB2312"/>
          <w:sz w:val="36"/>
          <w:szCs w:val="36"/>
        </w:rPr>
      </w:pPr>
    </w:p>
    <w:p w14:paraId="1DF476FC">
      <w:pPr>
        <w:rPr>
          <w:rFonts w:hint="eastAsia" w:ascii="仿宋_GB2312" w:hAnsi="仿宋_GB2312" w:eastAsia="仿宋_GB2312" w:cs="仿宋_GB2312"/>
          <w:sz w:val="36"/>
          <w:szCs w:val="36"/>
        </w:rPr>
      </w:pPr>
    </w:p>
    <w:p w14:paraId="24A7165B">
      <w:pPr>
        <w:adjustRightInd w:val="0"/>
        <w:snapToGrid w:val="0"/>
        <w:jc w:val="center"/>
        <w:outlineLvl w:val="0"/>
        <w:rPr>
          <w:rFonts w:hint="eastAsia" w:ascii="方正小标宋_GBK" w:eastAsia="方正小标宋_GBK"/>
          <w:bCs/>
          <w:sz w:val="72"/>
          <w:szCs w:val="72"/>
        </w:rPr>
      </w:pPr>
      <w:r>
        <w:rPr>
          <w:rFonts w:hint="eastAsia" w:ascii="方正小标宋_GBK" w:eastAsia="方正小标宋_GBK"/>
          <w:bCs/>
          <w:sz w:val="72"/>
          <w:szCs w:val="72"/>
        </w:rPr>
        <w:t>建设项目环境影响报告表</w:t>
      </w:r>
    </w:p>
    <w:p w14:paraId="105BB171">
      <w:pPr>
        <w:adjustRightInd w:val="0"/>
        <w:snapToGrid w:val="0"/>
        <w:spacing w:before="192" w:beforeLines="80"/>
        <w:jc w:val="center"/>
        <w:rPr>
          <w:rFonts w:hint="eastAsia" w:ascii="楷体_GB2312" w:eastAsia="楷体_GB2312"/>
          <w:bCs/>
          <w:sz w:val="48"/>
          <w:szCs w:val="48"/>
        </w:rPr>
      </w:pPr>
      <w:r>
        <w:rPr>
          <w:rFonts w:hint="eastAsia" w:ascii="楷体_GB2312" w:eastAsia="楷体_GB2312"/>
          <w:bCs/>
          <w:sz w:val="48"/>
          <w:szCs w:val="48"/>
        </w:rPr>
        <w:t>（污染影响类）</w:t>
      </w:r>
    </w:p>
    <w:p w14:paraId="572C6C9C">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outlineLvl w:val="9"/>
        <w:rPr>
          <w:rFonts w:ascii="华文仿宋" w:hAnsi="华文仿宋" w:eastAsia="华文仿宋" w:cs="华文仿宋"/>
          <w:color w:val="000000"/>
          <w:kern w:val="44"/>
          <w:sz w:val="44"/>
          <w:szCs w:val="44"/>
        </w:rPr>
      </w:pPr>
    </w:p>
    <w:p w14:paraId="7845E3B5">
      <w:pPr>
        <w:keepNext w:val="0"/>
        <w:keepLines w:val="0"/>
        <w:pageBreakBefore w:val="0"/>
        <w:widowControl w:val="0"/>
        <w:kinsoku/>
        <w:wordWrap/>
        <w:overflowPunct/>
        <w:topLinePunct w:val="0"/>
        <w:autoSpaceDE/>
        <w:autoSpaceDN/>
        <w:bidi w:val="0"/>
        <w:jc w:val="center"/>
        <w:textAlignment w:val="auto"/>
        <w:outlineLvl w:val="9"/>
        <w:rPr>
          <w:rFonts w:eastAsia="仿宋"/>
          <w:sz w:val="52"/>
          <w:szCs w:val="52"/>
        </w:rPr>
      </w:pPr>
    </w:p>
    <w:p w14:paraId="1D1AF7C9">
      <w:pPr>
        <w:keepNext w:val="0"/>
        <w:keepLines w:val="0"/>
        <w:pageBreakBefore w:val="0"/>
        <w:widowControl w:val="0"/>
        <w:kinsoku/>
        <w:wordWrap/>
        <w:overflowPunct/>
        <w:topLinePunct w:val="0"/>
        <w:autoSpaceDE/>
        <w:autoSpaceDN/>
        <w:bidi w:val="0"/>
        <w:ind w:firstLine="1040"/>
        <w:textAlignment w:val="auto"/>
        <w:outlineLvl w:val="9"/>
        <w:rPr>
          <w:rFonts w:eastAsia="仿宋"/>
          <w:sz w:val="44"/>
          <w:szCs w:val="44"/>
        </w:rPr>
      </w:pPr>
    </w:p>
    <w:p w14:paraId="576EE520">
      <w:pPr>
        <w:keepNext w:val="0"/>
        <w:keepLines w:val="0"/>
        <w:pageBreakBefore w:val="0"/>
        <w:widowControl w:val="0"/>
        <w:kinsoku/>
        <w:wordWrap/>
        <w:overflowPunct/>
        <w:topLinePunct w:val="0"/>
        <w:autoSpaceDE/>
        <w:autoSpaceDN/>
        <w:bidi w:val="0"/>
        <w:ind w:firstLine="1040"/>
        <w:textAlignment w:val="auto"/>
        <w:outlineLvl w:val="9"/>
        <w:rPr>
          <w:rFonts w:eastAsia="仿宋"/>
          <w:sz w:val="44"/>
          <w:szCs w:val="44"/>
        </w:rPr>
      </w:pPr>
    </w:p>
    <w:p w14:paraId="18CF446C">
      <w:pPr>
        <w:keepNext w:val="0"/>
        <w:keepLines w:val="0"/>
        <w:pageBreakBefore w:val="0"/>
        <w:widowControl w:val="0"/>
        <w:kinsoku/>
        <w:wordWrap/>
        <w:overflowPunct/>
        <w:topLinePunct w:val="0"/>
        <w:autoSpaceDE/>
        <w:autoSpaceDN/>
        <w:bidi w:val="0"/>
        <w:ind w:firstLine="1040"/>
        <w:textAlignment w:val="auto"/>
        <w:outlineLvl w:val="9"/>
        <w:rPr>
          <w:rFonts w:eastAsia="仿宋"/>
          <w:sz w:val="44"/>
          <w:szCs w:val="44"/>
        </w:rPr>
      </w:pPr>
    </w:p>
    <w:p w14:paraId="68A446AD">
      <w:pPr>
        <w:ind w:firstLine="1040"/>
        <w:rPr>
          <w:rFonts w:eastAsia="仿宋"/>
          <w:sz w:val="44"/>
          <w:szCs w:val="44"/>
        </w:rPr>
      </w:pPr>
    </w:p>
    <w:p w14:paraId="1329179B">
      <w:pPr>
        <w:keepNext w:val="0"/>
        <w:keepLines w:val="0"/>
        <w:pageBreakBefore w:val="0"/>
        <w:widowControl w:val="0"/>
        <w:kinsoku/>
        <w:wordWrap/>
        <w:overflowPunct/>
        <w:topLinePunct w:val="0"/>
        <w:autoSpaceDE/>
        <w:autoSpaceDN/>
        <w:bidi w:val="0"/>
        <w:adjustRightInd w:val="0"/>
        <w:snapToGrid w:val="0"/>
        <w:spacing w:line="288" w:lineRule="auto"/>
        <w:ind w:left="359" w:leftChars="171" w:firstLine="900" w:firstLineChars="250"/>
        <w:jc w:val="both"/>
        <w:textAlignment w:val="auto"/>
        <w:rPr>
          <w:rFonts w:hint="default" w:ascii="仿宋_GB2312" w:eastAsia="仿宋_GB2312"/>
          <w:sz w:val="36"/>
          <w:szCs w:val="36"/>
          <w:u w:val="single"/>
          <w:lang w:val="en-US"/>
        </w:rPr>
      </w:pPr>
      <w:r>
        <w:rPr>
          <w:rFonts w:hint="eastAsia" w:ascii="仿宋_GB2312" w:eastAsia="仿宋_GB2312"/>
          <w:sz w:val="36"/>
          <w:szCs w:val="36"/>
        </w:rPr>
        <w:t>项目名称：</w:t>
      </w:r>
      <w:r>
        <w:rPr>
          <w:rFonts w:hint="eastAsia" w:ascii="仿宋_GB2312" w:eastAsia="仿宋_GB2312"/>
          <w:sz w:val="36"/>
          <w:szCs w:val="36"/>
          <w:u w:val="single"/>
          <w:lang w:val="en-US" w:eastAsia="zh-CN"/>
        </w:rPr>
        <w:t xml:space="preserve"> 库尔勒市西城区生活污水处理厂项目 </w:t>
      </w:r>
    </w:p>
    <w:p w14:paraId="21C85CBA">
      <w:pPr>
        <w:keepNext w:val="0"/>
        <w:keepLines w:val="0"/>
        <w:pageBreakBefore w:val="0"/>
        <w:widowControl w:val="0"/>
        <w:kinsoku/>
        <w:wordWrap/>
        <w:overflowPunct/>
        <w:topLinePunct w:val="0"/>
        <w:autoSpaceDE/>
        <w:autoSpaceDN/>
        <w:bidi w:val="0"/>
        <w:adjustRightInd w:val="0"/>
        <w:snapToGrid w:val="0"/>
        <w:spacing w:line="288" w:lineRule="auto"/>
        <w:ind w:firstLine="737"/>
        <w:textAlignment w:val="auto"/>
        <w:rPr>
          <w:rFonts w:ascii="仿宋_GB2312" w:eastAsia="仿宋_GB2312"/>
          <w:sz w:val="36"/>
          <w:szCs w:val="36"/>
          <w:u w:val="single"/>
        </w:rPr>
      </w:pPr>
      <w:r>
        <w:rPr>
          <w:rFonts w:hint="eastAsia" w:ascii="仿宋_GB2312" w:eastAsia="仿宋_GB2312"/>
          <w:sz w:val="36"/>
          <w:szCs w:val="36"/>
        </w:rPr>
        <w:t>建设单位（盖章）：</w:t>
      </w:r>
      <w:r>
        <w:rPr>
          <w:rFonts w:hint="eastAsia" w:ascii="仿宋_GB2312" w:eastAsia="仿宋_GB2312"/>
          <w:sz w:val="36"/>
          <w:szCs w:val="36"/>
          <w:u w:val="single"/>
        </w:rPr>
        <w:t xml:space="preserve"> </w:t>
      </w:r>
      <w:r>
        <w:rPr>
          <w:rFonts w:hint="eastAsia" w:ascii="仿宋_GB2312" w:eastAsia="仿宋_GB2312"/>
          <w:sz w:val="36"/>
          <w:szCs w:val="36"/>
          <w:u w:val="single"/>
          <w:lang w:val="en-US" w:eastAsia="zh-CN"/>
        </w:rPr>
        <w:t xml:space="preserve"> 库尔勒市住房和城乡建设局  </w:t>
      </w:r>
    </w:p>
    <w:p w14:paraId="0F437315">
      <w:pPr>
        <w:keepNext w:val="0"/>
        <w:keepLines w:val="0"/>
        <w:pageBreakBefore w:val="0"/>
        <w:widowControl w:val="0"/>
        <w:kinsoku/>
        <w:wordWrap/>
        <w:overflowPunct/>
        <w:topLinePunct w:val="0"/>
        <w:autoSpaceDE/>
        <w:autoSpaceDN/>
        <w:bidi w:val="0"/>
        <w:adjustRightInd w:val="0"/>
        <w:snapToGrid w:val="0"/>
        <w:spacing w:line="288" w:lineRule="auto"/>
        <w:ind w:firstLine="737"/>
        <w:textAlignment w:val="auto"/>
        <w:rPr>
          <w:rFonts w:hint="eastAsia" w:ascii="仿宋_GB2312" w:eastAsia="仿宋_GB2312"/>
          <w:sz w:val="36"/>
          <w:szCs w:val="36"/>
          <w:u w:val="single"/>
        </w:rPr>
      </w:pPr>
      <w:r>
        <w:rPr>
          <w:rFonts w:hint="eastAsia" w:ascii="仿宋_GB2312" w:eastAsia="仿宋_GB2312"/>
          <w:sz w:val="36"/>
          <w:szCs w:val="36"/>
        </w:rPr>
        <w:t>编制日期：</w:t>
      </w:r>
      <w:r>
        <w:rPr>
          <w:rFonts w:hint="eastAsia" w:ascii="仿宋_GB2312" w:eastAsia="仿宋_GB2312"/>
          <w:sz w:val="36"/>
          <w:szCs w:val="36"/>
          <w:u w:val="single"/>
        </w:rPr>
        <w:t xml:space="preserve"> </w:t>
      </w:r>
      <w:r>
        <w:rPr>
          <w:rFonts w:hint="eastAsia" w:ascii="仿宋_GB2312" w:eastAsia="仿宋_GB2312"/>
          <w:sz w:val="36"/>
          <w:szCs w:val="36"/>
          <w:u w:val="single"/>
          <w:lang w:val="en-US" w:eastAsia="zh-CN"/>
        </w:rPr>
        <w:t xml:space="preserve">         </w:t>
      </w:r>
      <w:r>
        <w:rPr>
          <w:rFonts w:hint="default" w:ascii="Times New Roman" w:hAnsi="Times New Roman" w:eastAsia="仿宋_GB2312" w:cs="Times New Roman"/>
          <w:sz w:val="36"/>
          <w:szCs w:val="36"/>
          <w:u w:val="single"/>
          <w:lang w:val="en-US" w:eastAsia="zh-CN"/>
        </w:rPr>
        <w:t xml:space="preserve"> 2026年8月</w:t>
      </w:r>
      <w:r>
        <w:rPr>
          <w:rFonts w:hint="eastAsia" w:ascii="仿宋_GB2312" w:eastAsia="仿宋_GB2312"/>
          <w:sz w:val="36"/>
          <w:szCs w:val="36"/>
          <w:u w:val="single"/>
          <w:lang w:val="en-US" w:eastAsia="zh-CN"/>
        </w:rPr>
        <w:t xml:space="preserve">  </w:t>
      </w:r>
      <w:r>
        <w:rPr>
          <w:rFonts w:ascii="仿宋_GB2312" w:eastAsia="仿宋_GB2312"/>
          <w:sz w:val="36"/>
          <w:szCs w:val="36"/>
          <w:u w:val="single"/>
        </w:rPr>
        <w:t xml:space="preserve">            </w:t>
      </w:r>
    </w:p>
    <w:p w14:paraId="412EE4EA">
      <w:pPr>
        <w:keepNext w:val="0"/>
        <w:keepLines w:val="0"/>
        <w:pageBreakBefore w:val="0"/>
        <w:widowControl w:val="0"/>
        <w:kinsoku/>
        <w:wordWrap/>
        <w:overflowPunct/>
        <w:topLinePunct w:val="0"/>
        <w:autoSpaceDE/>
        <w:autoSpaceDN/>
        <w:bidi w:val="0"/>
        <w:adjustRightInd w:val="0"/>
        <w:snapToGrid w:val="0"/>
        <w:spacing w:line="288" w:lineRule="auto"/>
        <w:ind w:firstLine="737"/>
        <w:textAlignment w:val="auto"/>
        <w:rPr>
          <w:rFonts w:ascii="仿宋_GB2312" w:eastAsia="仿宋_GB2312"/>
          <w:sz w:val="36"/>
          <w:szCs w:val="36"/>
          <w:u w:val="single"/>
        </w:rPr>
      </w:pPr>
      <w:bookmarkStart w:id="0" w:name="_Hlk57884087"/>
    </w:p>
    <w:p w14:paraId="5B285964">
      <w:pPr>
        <w:adjustRightInd w:val="0"/>
        <w:snapToGrid w:val="0"/>
        <w:spacing w:line="288" w:lineRule="auto"/>
        <w:ind w:firstLine="1040"/>
        <w:rPr>
          <w:rFonts w:ascii="仿宋_GB2312" w:eastAsia="仿宋_GB2312"/>
          <w:sz w:val="36"/>
          <w:szCs w:val="36"/>
        </w:rPr>
      </w:pPr>
    </w:p>
    <w:p w14:paraId="02D97E9C">
      <w:pPr>
        <w:adjustRightInd w:val="0"/>
        <w:snapToGrid w:val="0"/>
        <w:spacing w:line="288" w:lineRule="auto"/>
        <w:ind w:firstLine="1040"/>
        <w:rPr>
          <w:rFonts w:ascii="仿宋_GB2312" w:eastAsia="仿宋_GB2312"/>
          <w:sz w:val="36"/>
          <w:szCs w:val="36"/>
        </w:rPr>
      </w:pPr>
    </w:p>
    <w:p w14:paraId="02F35918">
      <w:pPr>
        <w:adjustRightInd w:val="0"/>
        <w:snapToGrid w:val="0"/>
        <w:spacing w:line="288" w:lineRule="auto"/>
        <w:ind w:firstLine="1040"/>
        <w:rPr>
          <w:rFonts w:hint="eastAsia" w:ascii="仿宋_GB2312" w:eastAsia="仿宋_GB2312"/>
          <w:sz w:val="36"/>
          <w:szCs w:val="36"/>
        </w:rPr>
      </w:pPr>
    </w:p>
    <w:p w14:paraId="44CA4A73">
      <w:pPr>
        <w:adjustRightInd w:val="0"/>
        <w:snapToGrid w:val="0"/>
        <w:spacing w:line="288" w:lineRule="auto"/>
        <w:ind w:firstLine="1040"/>
        <w:rPr>
          <w:rFonts w:hint="eastAsia" w:ascii="仿宋_GB2312" w:eastAsia="仿宋_GB2312"/>
          <w:sz w:val="36"/>
          <w:szCs w:val="36"/>
        </w:rPr>
      </w:pPr>
    </w:p>
    <w:bookmarkEnd w:id="0"/>
    <w:p w14:paraId="404EBCFC">
      <w:pPr>
        <w:adjustRightInd w:val="0"/>
        <w:snapToGrid w:val="0"/>
        <w:spacing w:line="288" w:lineRule="auto"/>
        <w:jc w:val="center"/>
        <w:rPr>
          <w:rFonts w:hint="eastAsia" w:ascii="楷体_GB2312" w:eastAsia="楷体_GB2312"/>
          <w:sz w:val="36"/>
          <w:szCs w:val="36"/>
        </w:rPr>
      </w:pPr>
      <w:r>
        <w:rPr>
          <w:rFonts w:hint="eastAsia" w:ascii="楷体_GB2312" w:eastAsia="楷体_GB2312"/>
          <w:sz w:val="36"/>
          <w:szCs w:val="36"/>
        </w:rPr>
        <w:t>中华人民共和国生态环境部制</w:t>
      </w:r>
    </w:p>
    <w:p w14:paraId="5E546255">
      <w:pPr>
        <w:adjustRightInd w:val="0"/>
        <w:snapToGrid w:val="0"/>
        <w:spacing w:line="288" w:lineRule="auto"/>
        <w:ind w:firstLine="1040"/>
        <w:rPr>
          <w:rFonts w:ascii="仿宋_GB2312" w:eastAsia="仿宋_GB2312"/>
          <w:sz w:val="36"/>
          <w:szCs w:val="36"/>
        </w:rPr>
        <w:sectPr>
          <w:headerReference r:id="rId3" w:type="default"/>
          <w:footerReference r:id="rId4" w:type="default"/>
          <w:footerReference r:id="rId5" w:type="even"/>
          <w:pgSz w:w="11906" w:h="16838"/>
          <w:pgMar w:top="1701" w:right="1531" w:bottom="1701" w:left="1531" w:header="851" w:footer="1077" w:gutter="0"/>
          <w:pgBorders>
            <w:top w:val="none" w:sz="0" w:space="0"/>
            <w:left w:val="none" w:sz="0" w:space="0"/>
            <w:bottom w:val="none" w:sz="0" w:space="0"/>
            <w:right w:val="none" w:sz="0" w:space="0"/>
          </w:pgBorders>
          <w:pgNumType w:fmt="decimal" w:start="3"/>
          <w:cols w:space="720" w:num="1"/>
          <w:docGrid w:linePitch="312" w:charSpace="0"/>
        </w:sectPr>
      </w:pPr>
    </w:p>
    <w:p w14:paraId="16BCDF12">
      <w:pPr>
        <w:adjustRightInd w:val="0"/>
        <w:snapToGrid w:val="0"/>
        <w:spacing w:line="288" w:lineRule="auto"/>
        <w:jc w:val="center"/>
        <w:rPr>
          <w:rFonts w:hint="eastAsia" w:ascii="楷体_GB2312" w:eastAsia="楷体_GB2312"/>
          <w:sz w:val="36"/>
          <w:szCs w:val="36"/>
          <w:highlight w:val="none"/>
        </w:rPr>
      </w:pPr>
    </w:p>
    <w:p w14:paraId="36B905AC">
      <w:pPr>
        <w:adjustRightInd w:val="0"/>
        <w:snapToGrid w:val="0"/>
        <w:spacing w:line="288" w:lineRule="auto"/>
        <w:ind w:firstLine="1040"/>
        <w:rPr>
          <w:rFonts w:ascii="仿宋_GB2312" w:eastAsia="仿宋_GB2312"/>
          <w:sz w:val="36"/>
          <w:szCs w:val="36"/>
          <w:highlight w:val="none"/>
        </w:rPr>
        <w:sectPr>
          <w:footerReference r:id="rId6" w:type="default"/>
          <w:footerReference r:id="rId7" w:type="even"/>
          <w:pgSz w:w="11906" w:h="16838"/>
          <w:pgMar w:top="1701" w:right="1531" w:bottom="1701" w:left="1531" w:header="851" w:footer="1077" w:gutter="0"/>
          <w:pgNumType w:fmt="decimal" w:start="3"/>
          <w:cols w:space="720" w:num="1"/>
          <w:docGrid w:linePitch="312" w:charSpace="0"/>
        </w:sectPr>
      </w:pPr>
    </w:p>
    <w:p w14:paraId="48C6962D">
      <w:pPr>
        <w:widowControl/>
        <w:numPr>
          <w:ilvl w:val="0"/>
          <w:numId w:val="0"/>
        </w:numPr>
        <w:kinsoku w:val="0"/>
        <w:autoSpaceDE w:val="0"/>
        <w:autoSpaceDN w:val="0"/>
        <w:adjustRightInd w:val="0"/>
        <w:snapToGrid w:val="0"/>
        <w:spacing w:before="315" w:line="222" w:lineRule="auto"/>
        <w:ind w:left="3109" w:leftChars="0"/>
        <w:jc w:val="left"/>
        <w:textAlignment w:val="baseline"/>
        <w:outlineLvl w:val="0"/>
        <w:rPr>
          <w:rFonts w:hint="eastAsia" w:ascii="黑体" w:hAnsi="黑体" w:eastAsia="黑体" w:cs="黑体"/>
          <w:snapToGrid w:val="0"/>
          <w:color w:val="000000"/>
          <w:spacing w:val="-2"/>
          <w:kern w:val="0"/>
          <w:sz w:val="30"/>
          <w:szCs w:val="30"/>
          <w:lang w:eastAsia="en-US"/>
        </w:rPr>
      </w:pPr>
      <w:r>
        <w:rPr>
          <w:rFonts w:hint="eastAsia" w:ascii="黑体" w:hAnsi="黑体" w:eastAsia="黑体" w:cs="黑体"/>
          <w:snapToGrid w:val="0"/>
          <w:color w:val="000000"/>
          <w:spacing w:val="-2"/>
          <w:kern w:val="0"/>
          <w:sz w:val="30"/>
          <w:szCs w:val="30"/>
          <w:lang w:val="en-US" w:eastAsia="en-US" w:bidi="ar-SA"/>
        </w:rPr>
        <w:t>一、</w:t>
      </w:r>
      <w:r>
        <w:rPr>
          <w:rFonts w:hint="eastAsia" w:ascii="黑体" w:hAnsi="黑体" w:eastAsia="黑体" w:cs="黑体"/>
          <w:snapToGrid w:val="0"/>
          <w:color w:val="000000"/>
          <w:spacing w:val="-2"/>
          <w:kern w:val="0"/>
          <w:sz w:val="30"/>
          <w:szCs w:val="30"/>
          <w:lang w:eastAsia="en-US"/>
        </w:rPr>
        <w:t>建设项目基本情况</w:t>
      </w:r>
    </w:p>
    <w:tbl>
      <w:tblPr>
        <w:tblStyle w:val="15"/>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739"/>
        <w:gridCol w:w="1946"/>
        <w:gridCol w:w="2304"/>
        <w:gridCol w:w="2881"/>
      </w:tblGrid>
      <w:tr w14:paraId="4A604F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trPr>
        <w:tc>
          <w:tcPr>
            <w:tcW w:w="1739" w:type="dxa"/>
            <w:noWrap w:val="0"/>
            <w:tcMar>
              <w:top w:w="16" w:type="dxa"/>
              <w:left w:w="16" w:type="dxa"/>
              <w:right w:w="16" w:type="dxa"/>
            </w:tcMar>
            <w:vAlign w:val="center"/>
          </w:tcPr>
          <w:p w14:paraId="37C8AAAF">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建设项目名称</w:t>
            </w:r>
          </w:p>
        </w:tc>
        <w:tc>
          <w:tcPr>
            <w:tcW w:w="7131" w:type="dxa"/>
            <w:gridSpan w:val="3"/>
            <w:noWrap w:val="0"/>
            <w:vAlign w:val="center"/>
          </w:tcPr>
          <w:p w14:paraId="02062C39">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lang w:val="en-US" w:eastAsia="zh-CN"/>
              </w:rPr>
              <w:t>库尔勒市西城区生活污水处理厂项目</w:t>
            </w:r>
          </w:p>
        </w:tc>
      </w:tr>
      <w:tr w14:paraId="6FAE86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1739" w:type="dxa"/>
            <w:noWrap w:val="0"/>
            <w:tcMar>
              <w:top w:w="16" w:type="dxa"/>
              <w:left w:w="16" w:type="dxa"/>
              <w:right w:w="16" w:type="dxa"/>
            </w:tcMar>
            <w:vAlign w:val="center"/>
          </w:tcPr>
          <w:p w14:paraId="7584ED6C">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建设项目</w:t>
            </w:r>
          </w:p>
          <w:p w14:paraId="341EAF01">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行业类别</w:t>
            </w:r>
          </w:p>
        </w:tc>
        <w:tc>
          <w:tcPr>
            <w:tcW w:w="1946" w:type="dxa"/>
            <w:noWrap w:val="0"/>
            <w:vAlign w:val="center"/>
          </w:tcPr>
          <w:p w14:paraId="367956FF">
            <w:pPr>
              <w:pStyle w:val="22"/>
              <w:spacing w:before="30" w:line="209" w:lineRule="auto"/>
              <w:ind w:left="16"/>
              <w:rPr>
                <w:rFonts w:hint="default" w:ascii="Times New Roman" w:hAnsi="Times New Roman" w:cs="Times New Roman"/>
                <w:b w:val="0"/>
                <w:bCs w:val="0"/>
                <w:sz w:val="24"/>
                <w:szCs w:val="24"/>
                <w:highlight w:val="none"/>
              </w:rPr>
            </w:pPr>
            <w:r>
              <w:rPr>
                <w:rFonts w:hint="default" w:ascii="Times New Roman" w:hAnsi="Times New Roman" w:eastAsia="宋体" w:cs="Times New Roman"/>
                <w:b w:val="0"/>
                <w:bCs w:val="0"/>
                <w:kern w:val="2"/>
                <w:sz w:val="24"/>
                <w:szCs w:val="24"/>
                <w:highlight w:val="none"/>
                <w:u w:val="none"/>
                <w:lang w:val="en-US" w:eastAsia="zh-CN" w:bidi="ar-SA"/>
              </w:rPr>
              <w:t>四十三、水的生产和供应业95污水处理及其再生利用</w:t>
            </w:r>
          </w:p>
        </w:tc>
        <w:tc>
          <w:tcPr>
            <w:tcW w:w="2304" w:type="dxa"/>
            <w:noWrap w:val="0"/>
            <w:vAlign w:val="center"/>
          </w:tcPr>
          <w:p w14:paraId="5C37FC03">
            <w:pPr>
              <w:adjustRightInd w:val="0"/>
              <w:snapToGrid w:val="0"/>
              <w:jc w:val="center"/>
              <w:rPr>
                <w:rFonts w:hint="default" w:ascii="Times New Roman" w:hAnsi="Times New Roman" w:cs="Times New Roman"/>
                <w:b w:val="0"/>
                <w:bCs w:val="0"/>
                <w:spacing w:val="-6"/>
                <w:sz w:val="24"/>
                <w:szCs w:val="24"/>
                <w:highlight w:val="none"/>
              </w:rPr>
            </w:pPr>
            <w:r>
              <w:rPr>
                <w:rFonts w:hint="default" w:ascii="Times New Roman" w:hAnsi="Times New Roman" w:cs="Times New Roman"/>
                <w:b w:val="0"/>
                <w:bCs w:val="0"/>
                <w:spacing w:val="-6"/>
                <w:sz w:val="24"/>
                <w:szCs w:val="24"/>
                <w:highlight w:val="none"/>
              </w:rPr>
              <w:t>用地（用海）</w:t>
            </w:r>
          </w:p>
          <w:p w14:paraId="1B6ADA9B">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pacing w:val="-6"/>
                <w:sz w:val="24"/>
                <w:szCs w:val="24"/>
                <w:highlight w:val="none"/>
              </w:rPr>
              <w:t>面积（m</w:t>
            </w:r>
            <w:r>
              <w:rPr>
                <w:rFonts w:hint="default" w:ascii="Times New Roman" w:hAnsi="Times New Roman" w:cs="Times New Roman"/>
                <w:b w:val="0"/>
                <w:bCs w:val="0"/>
                <w:spacing w:val="-6"/>
                <w:sz w:val="24"/>
                <w:szCs w:val="24"/>
                <w:highlight w:val="none"/>
                <w:vertAlign w:val="superscript"/>
              </w:rPr>
              <w:t>2</w:t>
            </w:r>
            <w:r>
              <w:rPr>
                <w:rFonts w:hint="default" w:ascii="Times New Roman" w:hAnsi="Times New Roman" w:cs="Times New Roman"/>
                <w:b w:val="0"/>
                <w:bCs w:val="0"/>
                <w:spacing w:val="-6"/>
                <w:sz w:val="24"/>
                <w:szCs w:val="24"/>
                <w:highlight w:val="none"/>
              </w:rPr>
              <w:t>）</w:t>
            </w:r>
          </w:p>
        </w:tc>
        <w:tc>
          <w:tcPr>
            <w:tcW w:w="2881" w:type="dxa"/>
            <w:noWrap w:val="0"/>
            <w:vAlign w:val="center"/>
          </w:tcPr>
          <w:p w14:paraId="3E3F9AAB">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lang w:val="en-US" w:eastAsia="zh-CN"/>
              </w:rPr>
              <w:t>62000（不新增占地）</w:t>
            </w:r>
          </w:p>
        </w:tc>
      </w:tr>
      <w:tr w14:paraId="2D2878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trPr>
        <w:tc>
          <w:tcPr>
            <w:tcW w:w="1739" w:type="dxa"/>
            <w:noWrap w:val="0"/>
            <w:tcMar>
              <w:top w:w="16" w:type="dxa"/>
              <w:left w:w="16" w:type="dxa"/>
              <w:right w:w="16" w:type="dxa"/>
            </w:tcMar>
            <w:vAlign w:val="center"/>
          </w:tcPr>
          <w:p w14:paraId="1AA716EC">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建设性质</w:t>
            </w:r>
          </w:p>
        </w:tc>
        <w:tc>
          <w:tcPr>
            <w:tcW w:w="1946" w:type="dxa"/>
            <w:noWrap w:val="0"/>
            <w:vAlign w:val="center"/>
          </w:tcPr>
          <w:p w14:paraId="055A9254">
            <w:pPr>
              <w:jc w:val="left"/>
              <w:rPr>
                <w:rFonts w:hint="default" w:ascii="Times New Roman" w:hAnsi="Times New Roman" w:cs="Times New Roman"/>
                <w:b w:val="0"/>
                <w:bCs w:val="0"/>
                <w:sz w:val="24"/>
                <w:szCs w:val="24"/>
                <w:highlight w:val="none"/>
              </w:rPr>
            </w:pPr>
            <w:r>
              <w:rPr>
                <w:rFonts w:hint="eastAsia" w:cs="Times New Roman"/>
                <w:b w:val="0"/>
                <w:bCs w:val="0"/>
                <w:sz w:val="24"/>
                <w:szCs w:val="24"/>
                <w:highlight w:val="none"/>
                <w:lang w:eastAsia="zh-CN"/>
              </w:rPr>
              <w:t>☑</w:t>
            </w:r>
            <w:r>
              <w:rPr>
                <w:rFonts w:hint="default" w:ascii="Times New Roman" w:hAnsi="Times New Roman" w:cs="Times New Roman"/>
                <w:b w:val="0"/>
                <w:bCs w:val="0"/>
                <w:sz w:val="24"/>
                <w:szCs w:val="24"/>
                <w:highlight w:val="none"/>
              </w:rPr>
              <w:t>新建（迁建）</w:t>
            </w:r>
          </w:p>
          <w:p w14:paraId="7DEF2E98">
            <w:pPr>
              <w:jc w:val="left"/>
              <w:rPr>
                <w:rFonts w:hint="default" w:ascii="Times New Roman" w:hAnsi="Times New Roman" w:cs="Times New Roman"/>
                <w:b w:val="0"/>
                <w:bCs w:val="0"/>
                <w:sz w:val="24"/>
                <w:szCs w:val="24"/>
                <w:highlight w:val="none"/>
              </w:rPr>
            </w:pPr>
            <w:r>
              <w:rPr>
                <w:rFonts w:hint="eastAsia" w:cs="Times New Roman"/>
                <w:b w:val="0"/>
                <w:bCs w:val="0"/>
                <w:sz w:val="24"/>
                <w:szCs w:val="24"/>
                <w:highlight w:val="none"/>
                <w:lang w:eastAsia="zh-CN"/>
              </w:rPr>
              <w:t>□</w:t>
            </w:r>
            <w:r>
              <w:rPr>
                <w:rFonts w:hint="default" w:ascii="Times New Roman" w:hAnsi="Times New Roman" w:cs="Times New Roman"/>
                <w:b w:val="0"/>
                <w:bCs w:val="0"/>
                <w:sz w:val="24"/>
                <w:szCs w:val="24"/>
                <w:highlight w:val="none"/>
              </w:rPr>
              <w:t>改建</w:t>
            </w:r>
          </w:p>
          <w:p w14:paraId="01BB87A4">
            <w:pPr>
              <w:jc w:val="left"/>
              <w:rPr>
                <w:rFonts w:hint="default" w:ascii="Times New Roman" w:hAnsi="Times New Roman" w:cs="Times New Roman"/>
                <w:b w:val="0"/>
                <w:bCs w:val="0"/>
                <w:sz w:val="24"/>
                <w:szCs w:val="24"/>
                <w:highlight w:val="none"/>
              </w:rPr>
            </w:pPr>
            <w:r>
              <w:rPr>
                <w:rFonts w:hint="eastAsia" w:cs="Times New Roman"/>
                <w:b w:val="0"/>
                <w:bCs w:val="0"/>
                <w:sz w:val="24"/>
                <w:szCs w:val="24"/>
                <w:highlight w:val="none"/>
                <w:lang w:eastAsia="zh-CN"/>
              </w:rPr>
              <w:t>□</w:t>
            </w:r>
            <w:r>
              <w:rPr>
                <w:rFonts w:hint="default" w:ascii="Times New Roman" w:hAnsi="Times New Roman" w:cs="Times New Roman"/>
                <w:b w:val="0"/>
                <w:bCs w:val="0"/>
                <w:sz w:val="24"/>
                <w:szCs w:val="24"/>
                <w:highlight w:val="none"/>
              </w:rPr>
              <w:t>扩建</w:t>
            </w:r>
          </w:p>
          <w:p w14:paraId="23706F56">
            <w:pPr>
              <w:jc w:val="left"/>
              <w:rPr>
                <w:rFonts w:hint="default" w:ascii="Times New Roman" w:hAnsi="Times New Roman" w:cs="Times New Roman"/>
                <w:b w:val="0"/>
                <w:bCs w:val="0"/>
                <w:sz w:val="24"/>
                <w:szCs w:val="24"/>
                <w:highlight w:val="none"/>
              </w:rPr>
            </w:pPr>
            <w:r>
              <w:rPr>
                <w:rFonts w:hint="eastAsia" w:cs="Times New Roman"/>
                <w:b w:val="0"/>
                <w:bCs w:val="0"/>
                <w:sz w:val="24"/>
                <w:szCs w:val="24"/>
                <w:highlight w:val="none"/>
                <w:lang w:eastAsia="zh-CN"/>
              </w:rPr>
              <w:t>□</w:t>
            </w:r>
            <w:r>
              <w:rPr>
                <w:rFonts w:hint="default" w:ascii="Times New Roman" w:hAnsi="Times New Roman" w:cs="Times New Roman"/>
                <w:b w:val="0"/>
                <w:bCs w:val="0"/>
                <w:sz w:val="24"/>
                <w:szCs w:val="24"/>
                <w:highlight w:val="none"/>
              </w:rPr>
              <w:t>技术改造</w:t>
            </w:r>
          </w:p>
        </w:tc>
        <w:tc>
          <w:tcPr>
            <w:tcW w:w="2304" w:type="dxa"/>
            <w:noWrap w:val="0"/>
            <w:vAlign w:val="center"/>
          </w:tcPr>
          <w:p w14:paraId="53E20179">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建设项目申报情形</w:t>
            </w:r>
          </w:p>
        </w:tc>
        <w:tc>
          <w:tcPr>
            <w:tcW w:w="2881" w:type="dxa"/>
            <w:noWrap w:val="0"/>
            <w:vAlign w:val="center"/>
          </w:tcPr>
          <w:p w14:paraId="66F2A9A8">
            <w:pPr>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52"/>
            </w:r>
            <w:r>
              <w:rPr>
                <w:rFonts w:hint="default" w:ascii="Times New Roman" w:hAnsi="Times New Roman" w:cs="Times New Roman"/>
                <w:sz w:val="24"/>
                <w:szCs w:val="24"/>
                <w:highlight w:val="none"/>
              </w:rPr>
              <w:t>首次申报项目</w:t>
            </w:r>
          </w:p>
          <w:p w14:paraId="41C86E03">
            <w:pPr>
              <w:jc w:val="left"/>
              <w:rPr>
                <w:rFonts w:hint="default" w:ascii="Times New Roman" w:hAnsi="Times New Roman" w:cs="Times New Roman"/>
                <w:spacing w:val="-11"/>
                <w:sz w:val="24"/>
                <w:szCs w:val="24"/>
                <w:highlight w:val="none"/>
              </w:rPr>
            </w:pPr>
            <w:r>
              <w:rPr>
                <w:rFonts w:hint="eastAsia" w:ascii="Times New Roman" w:hAnsi="Times New Roman" w:cs="Times New Roman"/>
                <w:sz w:val="24"/>
                <w:szCs w:val="24"/>
                <w:highlight w:val="none"/>
                <w:lang w:eastAsia="zh-CN"/>
              </w:rPr>
              <w:t>□</w:t>
            </w:r>
            <w:r>
              <w:rPr>
                <w:rFonts w:hint="default" w:ascii="Times New Roman" w:hAnsi="Times New Roman" w:cs="Times New Roman"/>
                <w:spacing w:val="-11"/>
                <w:sz w:val="24"/>
                <w:szCs w:val="24"/>
                <w:highlight w:val="none"/>
              </w:rPr>
              <w:t>不予批准后再次申报项目</w:t>
            </w:r>
          </w:p>
          <w:p w14:paraId="6482E1E7">
            <w:pPr>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超五年重新审核项目</w:t>
            </w:r>
          </w:p>
          <w:p w14:paraId="281DEB79">
            <w:pPr>
              <w:jc w:val="left"/>
              <w:rPr>
                <w:rFonts w:hint="default" w:ascii="Times New Roman" w:hAnsi="Times New Roman" w:cs="Times New Roman"/>
                <w:b w:val="0"/>
                <w:bCs w:val="0"/>
                <w:sz w:val="24"/>
                <w:szCs w:val="24"/>
                <w:highlight w:val="none"/>
              </w:rPr>
            </w:pPr>
            <w:r>
              <w:rPr>
                <w:rFonts w:hint="eastAsia" w:ascii="Times New Roman" w:hAnsi="Times New Roman" w:cs="Times New Roman"/>
                <w:sz w:val="24"/>
                <w:szCs w:val="24"/>
                <w:highlight w:val="none"/>
                <w:lang w:eastAsia="zh-CN"/>
              </w:rPr>
              <w:t>□</w:t>
            </w:r>
            <w:r>
              <w:rPr>
                <w:rFonts w:hint="default" w:ascii="Times New Roman" w:hAnsi="Times New Roman" w:cs="Times New Roman"/>
                <w:sz w:val="24"/>
                <w:szCs w:val="24"/>
                <w:highlight w:val="none"/>
              </w:rPr>
              <w:t>重大变动重新报批项目</w:t>
            </w:r>
          </w:p>
        </w:tc>
      </w:tr>
      <w:tr w14:paraId="5D5604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trPr>
        <w:tc>
          <w:tcPr>
            <w:tcW w:w="1739" w:type="dxa"/>
            <w:noWrap w:val="0"/>
            <w:tcMar>
              <w:top w:w="16" w:type="dxa"/>
              <w:left w:w="16" w:type="dxa"/>
              <w:right w:w="16" w:type="dxa"/>
            </w:tcMar>
            <w:vAlign w:val="center"/>
          </w:tcPr>
          <w:p w14:paraId="3A70B17B">
            <w:pPr>
              <w:adjustRightInd w:val="0"/>
              <w:snapToGrid w:val="0"/>
              <w:jc w:val="center"/>
              <w:rPr>
                <w:rFonts w:hint="default" w:ascii="Times New Roman" w:hAnsi="Times New Roman" w:cs="Times New Roman"/>
                <w:b w:val="0"/>
                <w:bCs w:val="0"/>
                <w:spacing w:val="-11"/>
                <w:sz w:val="24"/>
                <w:szCs w:val="24"/>
                <w:highlight w:val="none"/>
              </w:rPr>
            </w:pPr>
            <w:r>
              <w:rPr>
                <w:rFonts w:hint="default" w:ascii="Times New Roman" w:hAnsi="Times New Roman" w:cs="Times New Roman"/>
                <w:b w:val="0"/>
                <w:bCs w:val="0"/>
                <w:spacing w:val="-11"/>
                <w:sz w:val="24"/>
                <w:szCs w:val="24"/>
                <w:highlight w:val="none"/>
              </w:rPr>
              <w:t>项目审批（核准/</w:t>
            </w:r>
          </w:p>
          <w:p w14:paraId="0327021C">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pacing w:val="-11"/>
                <w:sz w:val="24"/>
                <w:szCs w:val="24"/>
                <w:highlight w:val="none"/>
              </w:rPr>
              <w:t>备案）部门（选填）</w:t>
            </w:r>
          </w:p>
        </w:tc>
        <w:tc>
          <w:tcPr>
            <w:tcW w:w="1946" w:type="dxa"/>
            <w:noWrap w:val="0"/>
            <w:vAlign w:val="center"/>
          </w:tcPr>
          <w:p w14:paraId="602CDF84">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lang w:val="en-US" w:eastAsia="zh-CN"/>
              </w:rPr>
              <w:t>库尔勒市发展和改革委员会</w:t>
            </w:r>
          </w:p>
        </w:tc>
        <w:tc>
          <w:tcPr>
            <w:tcW w:w="2304" w:type="dxa"/>
            <w:noWrap w:val="0"/>
            <w:vAlign w:val="center"/>
          </w:tcPr>
          <w:p w14:paraId="47247F1D">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项目审批（核准/</w:t>
            </w:r>
          </w:p>
          <w:p w14:paraId="4A0022DD">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备案）文号（选填）</w:t>
            </w:r>
          </w:p>
        </w:tc>
        <w:tc>
          <w:tcPr>
            <w:tcW w:w="2881" w:type="dxa"/>
            <w:noWrap w:val="0"/>
            <w:vAlign w:val="center"/>
          </w:tcPr>
          <w:p w14:paraId="590ED982">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lang w:val="en-US" w:eastAsia="zh-CN"/>
              </w:rPr>
              <w:t>库发改环资</w:t>
            </w:r>
            <w:r>
              <w:rPr>
                <w:rFonts w:hint="default" w:ascii="Times New Roman" w:hAnsi="Times New Roman" w:eastAsia="宋体" w:cs="Times New Roman"/>
                <w:b w:val="0"/>
                <w:bCs w:val="0"/>
                <w:sz w:val="24"/>
                <w:szCs w:val="24"/>
                <w:highlight w:val="none"/>
              </w:rPr>
              <w:t>〔</w:t>
            </w:r>
            <w:r>
              <w:rPr>
                <w:rFonts w:hint="default" w:ascii="Times New Roman" w:hAnsi="Times New Roman" w:cs="Times New Roman"/>
                <w:b w:val="0"/>
                <w:bCs w:val="0"/>
                <w:sz w:val="24"/>
                <w:szCs w:val="24"/>
                <w:highlight w:val="none"/>
                <w:lang w:val="en-US" w:eastAsia="zh-CN"/>
              </w:rPr>
              <w:t>2026</w:t>
            </w:r>
            <w:r>
              <w:rPr>
                <w:rFonts w:hint="default" w:ascii="Times New Roman" w:hAnsi="Times New Roman" w:eastAsia="宋体" w:cs="Times New Roman"/>
                <w:b w:val="0"/>
                <w:bCs w:val="0"/>
                <w:sz w:val="24"/>
                <w:szCs w:val="24"/>
                <w:highlight w:val="none"/>
              </w:rPr>
              <w:t>〕</w:t>
            </w:r>
            <w:r>
              <w:rPr>
                <w:rFonts w:hint="default" w:ascii="Times New Roman" w:hAnsi="Times New Roman" w:cs="Times New Roman"/>
                <w:b w:val="0"/>
                <w:bCs w:val="0"/>
                <w:sz w:val="24"/>
                <w:szCs w:val="24"/>
                <w:highlight w:val="none"/>
                <w:lang w:val="en-US" w:eastAsia="zh-CN"/>
              </w:rPr>
              <w:t>9号</w:t>
            </w:r>
          </w:p>
        </w:tc>
      </w:tr>
      <w:tr w14:paraId="294724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trPr>
        <w:tc>
          <w:tcPr>
            <w:tcW w:w="1739" w:type="dxa"/>
            <w:noWrap w:val="0"/>
            <w:tcMar>
              <w:top w:w="16" w:type="dxa"/>
              <w:left w:w="16" w:type="dxa"/>
              <w:right w:w="16" w:type="dxa"/>
            </w:tcMar>
            <w:vAlign w:val="center"/>
          </w:tcPr>
          <w:p w14:paraId="0EB9D643">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总投资（万元）</w:t>
            </w:r>
          </w:p>
        </w:tc>
        <w:tc>
          <w:tcPr>
            <w:tcW w:w="1946" w:type="dxa"/>
            <w:noWrap w:val="0"/>
            <w:vAlign w:val="center"/>
          </w:tcPr>
          <w:p w14:paraId="6869BA8A">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lang w:val="en-US" w:eastAsia="zh-CN"/>
              </w:rPr>
              <w:t>6000</w:t>
            </w:r>
          </w:p>
        </w:tc>
        <w:tc>
          <w:tcPr>
            <w:tcW w:w="2304" w:type="dxa"/>
            <w:noWrap w:val="0"/>
            <w:tcMar>
              <w:top w:w="16" w:type="dxa"/>
              <w:left w:w="16" w:type="dxa"/>
              <w:right w:w="16" w:type="dxa"/>
            </w:tcMar>
            <w:vAlign w:val="center"/>
          </w:tcPr>
          <w:p w14:paraId="66CDCC31">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环保投资（万元）</w:t>
            </w:r>
          </w:p>
        </w:tc>
        <w:tc>
          <w:tcPr>
            <w:tcW w:w="2881" w:type="dxa"/>
            <w:noWrap w:val="0"/>
            <w:vAlign w:val="center"/>
          </w:tcPr>
          <w:p w14:paraId="159AB8CA">
            <w:pPr>
              <w:adjustRightInd w:val="0"/>
              <w:snapToGrid w:val="0"/>
              <w:jc w:val="center"/>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368</w:t>
            </w:r>
          </w:p>
        </w:tc>
      </w:tr>
      <w:tr w14:paraId="76EF32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trPr>
        <w:tc>
          <w:tcPr>
            <w:tcW w:w="1739" w:type="dxa"/>
            <w:noWrap w:val="0"/>
            <w:tcMar>
              <w:top w:w="16" w:type="dxa"/>
              <w:left w:w="16" w:type="dxa"/>
              <w:right w:w="16" w:type="dxa"/>
            </w:tcMar>
            <w:vAlign w:val="center"/>
          </w:tcPr>
          <w:p w14:paraId="58E69BAE">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环保投资占比（%）</w:t>
            </w:r>
          </w:p>
        </w:tc>
        <w:tc>
          <w:tcPr>
            <w:tcW w:w="1946" w:type="dxa"/>
            <w:noWrap w:val="0"/>
            <w:vAlign w:val="center"/>
          </w:tcPr>
          <w:p w14:paraId="6C98E855">
            <w:pPr>
              <w:adjustRightInd w:val="0"/>
              <w:snapToGrid w:val="0"/>
              <w:jc w:val="center"/>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6</w:t>
            </w:r>
            <w:r>
              <w:rPr>
                <w:rFonts w:hint="eastAsia"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13</w:t>
            </w:r>
          </w:p>
        </w:tc>
        <w:tc>
          <w:tcPr>
            <w:tcW w:w="2304" w:type="dxa"/>
            <w:noWrap w:val="0"/>
            <w:tcMar>
              <w:top w:w="16" w:type="dxa"/>
              <w:left w:w="16" w:type="dxa"/>
              <w:right w:w="16" w:type="dxa"/>
            </w:tcMar>
            <w:vAlign w:val="center"/>
          </w:tcPr>
          <w:p w14:paraId="37D0C328">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施工工期</w:t>
            </w:r>
          </w:p>
        </w:tc>
        <w:tc>
          <w:tcPr>
            <w:tcW w:w="2881" w:type="dxa"/>
            <w:noWrap w:val="0"/>
            <w:vAlign w:val="center"/>
          </w:tcPr>
          <w:p w14:paraId="4A7674A9">
            <w:pPr>
              <w:adjustRightInd w:val="0"/>
              <w:snapToGrid w:val="0"/>
              <w:jc w:val="center"/>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12个月</w:t>
            </w:r>
          </w:p>
        </w:tc>
      </w:tr>
      <w:tr w14:paraId="6E616B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trPr>
        <w:tc>
          <w:tcPr>
            <w:tcW w:w="1739" w:type="dxa"/>
            <w:noWrap w:val="0"/>
            <w:tcMar>
              <w:top w:w="16" w:type="dxa"/>
              <w:left w:w="16" w:type="dxa"/>
              <w:right w:w="16" w:type="dxa"/>
            </w:tcMar>
            <w:vAlign w:val="center"/>
          </w:tcPr>
          <w:p w14:paraId="4DA85481">
            <w:pPr>
              <w:adjustRightInd w:val="0"/>
              <w:snapToGrid w:val="0"/>
              <w:jc w:val="center"/>
              <w:rPr>
                <w:rFonts w:hint="default" w:ascii="Times New Roman" w:hAnsi="Times New Roman" w:cs="Times New Roman"/>
                <w:b w:val="0"/>
                <w:bCs w:val="0"/>
                <w:sz w:val="24"/>
                <w:szCs w:val="24"/>
                <w:highlight w:val="none"/>
              </w:rPr>
            </w:pPr>
            <w:r>
              <w:rPr>
                <w:rFonts w:hint="default" w:ascii="Times New Roman" w:hAnsi="Times New Roman" w:cs="Times New Roman"/>
                <w:b w:val="0"/>
                <w:bCs w:val="0"/>
                <w:spacing w:val="-11"/>
                <w:sz w:val="24"/>
                <w:szCs w:val="24"/>
                <w:highlight w:val="none"/>
              </w:rPr>
              <w:t>是否开工建设</w:t>
            </w:r>
          </w:p>
        </w:tc>
        <w:tc>
          <w:tcPr>
            <w:tcW w:w="7131" w:type="dxa"/>
            <w:gridSpan w:val="3"/>
            <w:noWrap w:val="0"/>
            <w:vAlign w:val="center"/>
          </w:tcPr>
          <w:p w14:paraId="40320BA1">
            <w:pPr>
              <w:adjustRightInd w:val="0"/>
              <w:snapToGrid w:val="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sym w:font="Wingdings 2" w:char="0052"/>
            </w:r>
            <w:r>
              <w:rPr>
                <w:rFonts w:hint="default" w:ascii="Times New Roman" w:hAnsi="Times New Roman" w:cs="Times New Roman"/>
                <w:sz w:val="24"/>
                <w:szCs w:val="24"/>
                <w:highlight w:val="none"/>
              </w:rPr>
              <w:t>否</w:t>
            </w:r>
          </w:p>
          <w:p w14:paraId="6D59B8BC">
            <w:pPr>
              <w:adjustRightInd w:val="0"/>
              <w:snapToGrid w:val="0"/>
              <w:jc w:val="both"/>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cs="Times New Roman"/>
                <w:sz w:val="24"/>
                <w:szCs w:val="24"/>
                <w:highlight w:val="none"/>
              </w:rPr>
              <w:sym w:font="Wingdings 2" w:char="00A3"/>
            </w:r>
            <w:r>
              <w:rPr>
                <w:rFonts w:hint="default" w:ascii="Times New Roman" w:hAnsi="Times New Roman" w:cs="Times New Roman"/>
                <w:sz w:val="24"/>
                <w:szCs w:val="24"/>
                <w:highlight w:val="none"/>
              </w:rPr>
              <w:t>是：</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 xml:space="preserve">                                      </w:t>
            </w:r>
            <w:r>
              <w:rPr>
                <w:rFonts w:hint="default" w:ascii="Times New Roman" w:hAnsi="Times New Roman" w:cs="Times New Roman"/>
                <w:sz w:val="24"/>
                <w:szCs w:val="24"/>
                <w:highlight w:val="none"/>
                <w:u w:val="single"/>
              </w:rPr>
              <w:t xml:space="preserve">  </w:t>
            </w:r>
          </w:p>
        </w:tc>
      </w:tr>
      <w:tr w14:paraId="467E81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1739" w:type="dxa"/>
            <w:noWrap w:val="0"/>
            <w:vAlign w:val="center"/>
          </w:tcPr>
          <w:p w14:paraId="634B090A">
            <w:pPr>
              <w:autoSpaceDE w:val="0"/>
              <w:autoSpaceDN w:val="0"/>
              <w:adjustRightInd w:val="0"/>
              <w:snapToGrid w:val="0"/>
              <w:jc w:val="center"/>
              <w:rPr>
                <w:rFonts w:hint="default" w:ascii="Times New Roman" w:hAnsi="Times New Roman" w:eastAsia="宋体" w:cs="Times New Roman"/>
                <w:b w:val="0"/>
                <w:bCs w:val="0"/>
                <w:color w:val="auto"/>
                <w:kern w:val="0"/>
                <w:sz w:val="24"/>
                <w:highlight w:val="none"/>
              </w:rPr>
            </w:pPr>
            <w:r>
              <w:rPr>
                <w:rFonts w:hint="default" w:ascii="Times New Roman" w:hAnsi="Times New Roman" w:eastAsia="宋体" w:cs="Times New Roman"/>
                <w:b w:val="0"/>
                <w:bCs w:val="0"/>
                <w:color w:val="auto"/>
                <w:kern w:val="0"/>
                <w:sz w:val="24"/>
                <w:highlight w:val="none"/>
              </w:rPr>
              <w:t>专项评价</w:t>
            </w:r>
          </w:p>
          <w:p w14:paraId="0E9FF34D">
            <w:pPr>
              <w:autoSpaceDE w:val="0"/>
              <w:autoSpaceDN w:val="0"/>
              <w:adjustRightInd w:val="0"/>
              <w:snapToGrid w:val="0"/>
              <w:jc w:val="center"/>
              <w:rPr>
                <w:rFonts w:hint="default" w:ascii="Times New Roman" w:hAnsi="Times New Roman" w:cs="Times New Roman"/>
                <w:kern w:val="0"/>
                <w:szCs w:val="21"/>
                <w:highlight w:val="none"/>
              </w:rPr>
            </w:pPr>
            <w:r>
              <w:rPr>
                <w:rFonts w:hint="default" w:ascii="Times New Roman" w:hAnsi="Times New Roman" w:eastAsia="宋体" w:cs="Times New Roman"/>
                <w:b w:val="0"/>
                <w:bCs w:val="0"/>
                <w:color w:val="auto"/>
                <w:kern w:val="0"/>
                <w:sz w:val="24"/>
                <w:highlight w:val="none"/>
              </w:rPr>
              <w:t>设置情况</w:t>
            </w:r>
          </w:p>
        </w:tc>
        <w:tc>
          <w:tcPr>
            <w:tcW w:w="7131" w:type="dxa"/>
            <w:gridSpan w:val="3"/>
            <w:noWrap w:val="0"/>
            <w:vAlign w:val="center"/>
          </w:tcPr>
          <w:p w14:paraId="6502E56D">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根据《建设项目环境影响报告表编制技术指南（污染影响类）（试行）》，本项目尾水全部回用，无废水直排，无需开展地表水专项评价。</w:t>
            </w:r>
          </w:p>
          <w:p w14:paraId="6742A71F">
            <w:pPr>
              <w:pStyle w:val="23"/>
              <w:bidi w:val="0"/>
              <w:rPr>
                <w:rFonts w:hint="default" w:ascii="Times New Roman" w:hAnsi="Times New Roman" w:eastAsia="宋体" w:cs="Times New Roman"/>
                <w:b/>
                <w:bCs/>
                <w:sz w:val="21"/>
                <w:szCs w:val="21"/>
                <w:lang w:eastAsia="zh-CN"/>
              </w:rPr>
            </w:pPr>
            <w:r>
              <w:rPr>
                <w:rFonts w:hint="default" w:ascii="Times New Roman" w:hAnsi="Times New Roman" w:eastAsia="宋体" w:cs="Times New Roman"/>
                <w:b/>
                <w:bCs/>
                <w:sz w:val="21"/>
                <w:szCs w:val="21"/>
              </w:rPr>
              <w:t>表</w:t>
            </w:r>
            <w:r>
              <w:rPr>
                <w:rFonts w:hint="default" w:ascii="Times New Roman" w:hAnsi="Times New Roman" w:eastAsia="宋体" w:cs="Times New Roman"/>
                <w:b/>
                <w:bCs/>
                <w:sz w:val="21"/>
                <w:szCs w:val="21"/>
              </w:rPr>
              <w:fldChar w:fldCharType="begin"/>
            </w:r>
            <w:r>
              <w:rPr>
                <w:rFonts w:hint="default" w:ascii="Times New Roman" w:hAnsi="Times New Roman" w:eastAsia="宋体" w:cs="Times New Roman"/>
                <w:b/>
                <w:bCs/>
                <w:sz w:val="21"/>
                <w:szCs w:val="21"/>
              </w:rPr>
              <w:instrText xml:space="preserve"> STYLEREF 1 \s \* ARABIC </w:instrText>
            </w:r>
            <w:r>
              <w:rPr>
                <w:rFonts w:hint="default" w:ascii="Times New Roman" w:hAnsi="Times New Roman" w:eastAsia="宋体" w:cs="Times New Roman"/>
                <w:b/>
                <w:bCs/>
                <w:sz w:val="21"/>
                <w:szCs w:val="21"/>
              </w:rPr>
              <w:fldChar w:fldCharType="separate"/>
            </w:r>
            <w:r>
              <w:rPr>
                <w:rFonts w:hint="default" w:ascii="Times New Roman" w:hAnsi="Times New Roman" w:eastAsia="宋体" w:cs="Times New Roman"/>
                <w:b/>
                <w:bCs/>
                <w:sz w:val="21"/>
                <w:szCs w:val="21"/>
              </w:rPr>
              <w:t>1</w:t>
            </w:r>
            <w:r>
              <w:rPr>
                <w:rFonts w:hint="default" w:ascii="Times New Roman" w:hAnsi="Times New Roman" w:eastAsia="宋体" w:cs="Times New Roman"/>
                <w:b/>
                <w:bCs/>
                <w:sz w:val="21"/>
                <w:szCs w:val="21"/>
              </w:rPr>
              <w:fldChar w:fldCharType="end"/>
            </w:r>
            <w:r>
              <w:rPr>
                <w:rFonts w:hint="default" w:ascii="Times New Roman" w:hAnsi="Times New Roman" w:eastAsia="宋体" w:cs="Times New Roman"/>
                <w:b/>
                <w:bCs/>
                <w:sz w:val="21"/>
                <w:szCs w:val="21"/>
                <w:lang w:eastAsia="zh-CN"/>
              </w:rPr>
              <w:t>-</w:t>
            </w:r>
            <w:r>
              <w:rPr>
                <w:rFonts w:hint="default" w:ascii="Times New Roman" w:hAnsi="Times New Roman" w:eastAsia="宋体" w:cs="Times New Roman"/>
                <w:b/>
                <w:bCs/>
                <w:sz w:val="21"/>
                <w:szCs w:val="21"/>
              </w:rPr>
              <w:fldChar w:fldCharType="begin"/>
            </w:r>
            <w:r>
              <w:rPr>
                <w:rFonts w:hint="default" w:ascii="Times New Roman" w:hAnsi="Times New Roman" w:eastAsia="宋体" w:cs="Times New Roman"/>
                <w:b/>
                <w:bCs/>
                <w:sz w:val="21"/>
                <w:szCs w:val="21"/>
              </w:rPr>
              <w:instrText xml:space="preserve"> SEQ 表 \* ARABIC \s 1 </w:instrText>
            </w:r>
            <w:r>
              <w:rPr>
                <w:rFonts w:hint="default" w:ascii="Times New Roman" w:hAnsi="Times New Roman" w:eastAsia="宋体" w:cs="Times New Roman"/>
                <w:b/>
                <w:bCs/>
                <w:sz w:val="21"/>
                <w:szCs w:val="21"/>
              </w:rPr>
              <w:fldChar w:fldCharType="separate"/>
            </w:r>
            <w:r>
              <w:rPr>
                <w:rFonts w:hint="default" w:ascii="Times New Roman" w:hAnsi="Times New Roman" w:eastAsia="宋体" w:cs="Times New Roman"/>
                <w:b/>
                <w:bCs/>
                <w:sz w:val="21"/>
                <w:szCs w:val="21"/>
              </w:rPr>
              <w:t>1</w:t>
            </w:r>
            <w:r>
              <w:rPr>
                <w:rFonts w:hint="default" w:ascii="Times New Roman" w:hAnsi="Times New Roman" w:eastAsia="宋体" w:cs="Times New Roman"/>
                <w:b/>
                <w:bCs/>
                <w:sz w:val="21"/>
                <w:szCs w:val="21"/>
              </w:rPr>
              <w:fldChar w:fldCharType="end"/>
            </w:r>
            <w:r>
              <w:rPr>
                <w:rFonts w:hint="default" w:ascii="Times New Roman" w:hAnsi="Times New Roman" w:eastAsia="宋体" w:cs="Times New Roman"/>
                <w:b/>
                <w:bCs/>
                <w:sz w:val="21"/>
                <w:szCs w:val="21"/>
                <w:lang w:eastAsia="zh-CN"/>
              </w:rPr>
              <w:t>专项评价设置情况表</w:t>
            </w:r>
          </w:p>
          <w:tbl>
            <w:tblPr>
              <w:tblStyle w:val="1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0"/>
              <w:gridCol w:w="3609"/>
              <w:gridCol w:w="1472"/>
            </w:tblGrid>
            <w:tr w14:paraId="07BE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18" w:type="pct"/>
                  <w:noWrap w:val="0"/>
                  <w:vAlign w:val="center"/>
                </w:tcPr>
                <w:p w14:paraId="14FEDC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专项评价的类别</w:t>
                  </w:r>
                </w:p>
              </w:tc>
              <w:tc>
                <w:tcPr>
                  <w:tcW w:w="2615" w:type="pct"/>
                  <w:noWrap w:val="0"/>
                  <w:vAlign w:val="center"/>
                </w:tcPr>
                <w:p w14:paraId="5363AE0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设置原则</w:t>
                  </w:r>
                </w:p>
              </w:tc>
              <w:tc>
                <w:tcPr>
                  <w:tcW w:w="1066" w:type="pct"/>
                  <w:noWrap w:val="0"/>
                  <w:vAlign w:val="center"/>
                </w:tcPr>
                <w:p w14:paraId="01F75F2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本项目情况</w:t>
                  </w:r>
                </w:p>
              </w:tc>
            </w:tr>
            <w:tr w14:paraId="10ADD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18" w:type="pct"/>
                  <w:tcBorders>
                    <w:left w:val="single" w:color="auto" w:sz="4" w:space="0"/>
                  </w:tcBorders>
                  <w:noWrap w:val="0"/>
                  <w:vAlign w:val="center"/>
                </w:tcPr>
                <w:p w14:paraId="6A92048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大气</w:t>
                  </w:r>
                </w:p>
              </w:tc>
              <w:tc>
                <w:tcPr>
                  <w:tcW w:w="2615" w:type="pct"/>
                  <w:noWrap w:val="0"/>
                  <w:vAlign w:val="center"/>
                </w:tcPr>
                <w:p w14:paraId="0234AD2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排放废气含有毒有害污染物1、二噁英、苯并[a]芘、氰化物、氯气且厂界外500米范围内有环境空气保护目标2的建设项目</w:t>
                  </w:r>
                </w:p>
              </w:tc>
              <w:tc>
                <w:tcPr>
                  <w:tcW w:w="1066" w:type="pct"/>
                  <w:noWrap w:val="0"/>
                  <w:vAlign w:val="center"/>
                </w:tcPr>
                <w:p w14:paraId="401210B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不涉及</w:t>
                  </w:r>
                </w:p>
              </w:tc>
            </w:tr>
            <w:tr w14:paraId="3A3C2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18" w:type="pct"/>
                  <w:tcBorders>
                    <w:left w:val="single" w:color="auto" w:sz="4" w:space="0"/>
                  </w:tcBorders>
                  <w:noWrap w:val="0"/>
                  <w:vAlign w:val="center"/>
                </w:tcPr>
                <w:p w14:paraId="4A5A544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地表水</w:t>
                  </w:r>
                </w:p>
              </w:tc>
              <w:tc>
                <w:tcPr>
                  <w:tcW w:w="2615" w:type="pct"/>
                  <w:noWrap w:val="0"/>
                  <w:vAlign w:val="center"/>
                </w:tcPr>
                <w:p w14:paraId="2941A26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新增工业废水直排建设项目（槽罐车外送污水处理厂的除外）；新增废水直排的污水集中处理厂</w:t>
                  </w:r>
                </w:p>
              </w:tc>
              <w:tc>
                <w:tcPr>
                  <w:tcW w:w="1066" w:type="pct"/>
                  <w:noWrap w:val="0"/>
                  <w:vAlign w:val="center"/>
                </w:tcPr>
                <w:p w14:paraId="5EBD1CD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项目中水回用率100%，无外排</w:t>
                  </w:r>
                </w:p>
              </w:tc>
            </w:tr>
            <w:tr w14:paraId="46CA0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18" w:type="pct"/>
                  <w:tcBorders>
                    <w:left w:val="single" w:color="auto" w:sz="4" w:space="0"/>
                  </w:tcBorders>
                  <w:noWrap w:val="0"/>
                  <w:vAlign w:val="center"/>
                </w:tcPr>
                <w:p w14:paraId="3B616A8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环境风险</w:t>
                  </w:r>
                </w:p>
              </w:tc>
              <w:tc>
                <w:tcPr>
                  <w:tcW w:w="2615" w:type="pct"/>
                  <w:noWrap w:val="0"/>
                  <w:vAlign w:val="center"/>
                </w:tcPr>
                <w:p w14:paraId="6B3F644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有毒有害和易燃易爆危险物质存储量超过临界量3的建设项目</w:t>
                  </w:r>
                </w:p>
              </w:tc>
              <w:tc>
                <w:tcPr>
                  <w:tcW w:w="1066" w:type="pct"/>
                  <w:noWrap w:val="0"/>
                  <w:vAlign w:val="center"/>
                </w:tcPr>
                <w:p w14:paraId="1617C5A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不涉及</w:t>
                  </w:r>
                </w:p>
              </w:tc>
            </w:tr>
            <w:tr w14:paraId="6E88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18" w:type="pct"/>
                  <w:tcBorders>
                    <w:left w:val="single" w:color="auto" w:sz="4" w:space="0"/>
                  </w:tcBorders>
                  <w:noWrap w:val="0"/>
                  <w:vAlign w:val="center"/>
                </w:tcPr>
                <w:p w14:paraId="6DF978E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w:t>
                  </w:r>
                </w:p>
              </w:tc>
              <w:tc>
                <w:tcPr>
                  <w:tcW w:w="2615" w:type="pct"/>
                  <w:noWrap w:val="0"/>
                  <w:vAlign w:val="center"/>
                </w:tcPr>
                <w:p w14:paraId="136F8A1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取水口下游500米范围内有重要水生生物的自然产卵场、索饵场、越冬场和洄游通道的新增河道取水的污染类建设项目</w:t>
                  </w:r>
                </w:p>
              </w:tc>
              <w:tc>
                <w:tcPr>
                  <w:tcW w:w="1066" w:type="pct"/>
                  <w:noWrap w:val="0"/>
                  <w:vAlign w:val="center"/>
                </w:tcPr>
                <w:p w14:paraId="30D2CCE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不涉及</w:t>
                  </w:r>
                </w:p>
              </w:tc>
            </w:tr>
            <w:tr w14:paraId="3647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18" w:type="pct"/>
                  <w:tcBorders>
                    <w:left w:val="single" w:color="auto" w:sz="4" w:space="0"/>
                  </w:tcBorders>
                  <w:noWrap w:val="0"/>
                  <w:vAlign w:val="center"/>
                </w:tcPr>
                <w:p w14:paraId="2A93E68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海洋</w:t>
                  </w:r>
                </w:p>
              </w:tc>
              <w:tc>
                <w:tcPr>
                  <w:tcW w:w="2615" w:type="pct"/>
                  <w:noWrap w:val="0"/>
                  <w:vAlign w:val="center"/>
                </w:tcPr>
                <w:p w14:paraId="5B3E978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直接向海排放污染物的海洋工程建设项目</w:t>
                  </w:r>
                </w:p>
              </w:tc>
              <w:tc>
                <w:tcPr>
                  <w:tcW w:w="1066" w:type="pct"/>
                  <w:noWrap w:val="0"/>
                  <w:vAlign w:val="center"/>
                </w:tcPr>
                <w:p w14:paraId="71A9C7E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不涉及</w:t>
                  </w:r>
                </w:p>
              </w:tc>
            </w:tr>
          </w:tbl>
          <w:p w14:paraId="3FCFF7C8">
            <w:pPr>
              <w:autoSpaceDE w:val="0"/>
              <w:autoSpaceDN w:val="0"/>
              <w:adjustRightInd w:val="0"/>
              <w:snapToGrid w:val="0"/>
              <w:jc w:val="both"/>
              <w:rPr>
                <w:rFonts w:hint="default" w:ascii="Times New Roman" w:hAnsi="Times New Roman" w:eastAsia="宋体" w:cs="Times New Roman"/>
                <w:color w:val="auto"/>
                <w:kern w:val="0"/>
                <w:sz w:val="24"/>
                <w:highlight w:val="none"/>
                <w:lang w:val="en-US" w:eastAsia="zh-CN"/>
              </w:rPr>
            </w:pPr>
          </w:p>
        </w:tc>
      </w:tr>
      <w:tr w14:paraId="25A191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1739" w:type="dxa"/>
            <w:noWrap w:val="0"/>
            <w:vAlign w:val="center"/>
          </w:tcPr>
          <w:p w14:paraId="186DD0F9">
            <w:pPr>
              <w:autoSpaceDE w:val="0"/>
              <w:autoSpaceDN w:val="0"/>
              <w:adjustRightInd w:val="0"/>
              <w:snapToGrid w:val="0"/>
              <w:jc w:val="center"/>
              <w:rPr>
                <w:rFonts w:hint="default" w:ascii="Times New Roman" w:hAnsi="Times New Roman" w:cs="Times New Roman"/>
                <w:b w:val="0"/>
                <w:bCs w:val="0"/>
                <w:kern w:val="0"/>
                <w:szCs w:val="21"/>
                <w:highlight w:val="none"/>
              </w:rPr>
            </w:pPr>
            <w:r>
              <w:rPr>
                <w:rFonts w:hint="default" w:ascii="Times New Roman" w:hAnsi="Times New Roman" w:eastAsia="宋体" w:cs="Times New Roman"/>
                <w:b w:val="0"/>
                <w:bCs w:val="0"/>
                <w:color w:val="auto"/>
                <w:kern w:val="0"/>
                <w:sz w:val="24"/>
                <w:highlight w:val="none"/>
              </w:rPr>
              <w:t>规划情况</w:t>
            </w:r>
          </w:p>
        </w:tc>
        <w:tc>
          <w:tcPr>
            <w:tcW w:w="7131" w:type="dxa"/>
            <w:gridSpan w:val="3"/>
            <w:noWrap w:val="0"/>
            <w:vAlign w:val="center"/>
          </w:tcPr>
          <w:p w14:paraId="29FE8FD8">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规划名称：《库尔勒上库高新技术产业开发区国土空间专项规划</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2024-2035年</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（总体规划）》</w:t>
            </w:r>
          </w:p>
          <w:p w14:paraId="76B6CC5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审批机关：库尔勒市人民政府</w:t>
            </w:r>
          </w:p>
          <w:p w14:paraId="0AD7495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cs="Times New Roman"/>
                <w:kern w:val="0"/>
                <w:szCs w:val="21"/>
                <w:highlight w:val="none"/>
              </w:rPr>
            </w:pPr>
            <w:r>
              <w:rPr>
                <w:rFonts w:hint="default" w:ascii="Times New Roman" w:hAnsi="Times New Roman" w:eastAsia="宋体" w:cs="Times New Roman"/>
                <w:color w:val="auto"/>
                <w:kern w:val="0"/>
                <w:sz w:val="24"/>
                <w:highlight w:val="none"/>
                <w:lang w:val="en-US" w:eastAsia="zh-CN"/>
              </w:rPr>
              <w:t>审批文件：《库尔勒上库高新技术产业开发区国土空间专项规划</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2024-2035年</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（总体规划）的批复》</w:t>
            </w:r>
          </w:p>
        </w:tc>
      </w:tr>
      <w:tr w14:paraId="474D14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1739" w:type="dxa"/>
            <w:noWrap w:val="0"/>
            <w:vAlign w:val="center"/>
          </w:tcPr>
          <w:p w14:paraId="648587EF">
            <w:pPr>
              <w:autoSpaceDE w:val="0"/>
              <w:autoSpaceDN w:val="0"/>
              <w:adjustRightInd w:val="0"/>
              <w:snapToGrid w:val="0"/>
              <w:jc w:val="center"/>
              <w:rPr>
                <w:rFonts w:hint="default" w:ascii="Times New Roman" w:hAnsi="Times New Roman" w:eastAsia="宋体" w:cs="Times New Roman"/>
                <w:b w:val="0"/>
                <w:bCs w:val="0"/>
                <w:color w:val="auto"/>
                <w:kern w:val="0"/>
                <w:sz w:val="24"/>
                <w:highlight w:val="none"/>
              </w:rPr>
            </w:pPr>
            <w:r>
              <w:rPr>
                <w:rFonts w:hint="default" w:ascii="Times New Roman" w:hAnsi="Times New Roman" w:eastAsia="宋体" w:cs="Times New Roman"/>
                <w:b w:val="0"/>
                <w:bCs w:val="0"/>
                <w:color w:val="auto"/>
                <w:kern w:val="0"/>
                <w:sz w:val="24"/>
                <w:highlight w:val="none"/>
              </w:rPr>
              <w:t>规划环境影响</w:t>
            </w:r>
          </w:p>
          <w:p w14:paraId="30D446EC">
            <w:pPr>
              <w:autoSpaceDE w:val="0"/>
              <w:autoSpaceDN w:val="0"/>
              <w:adjustRightInd w:val="0"/>
              <w:snapToGrid w:val="0"/>
              <w:jc w:val="center"/>
              <w:rPr>
                <w:rFonts w:hint="default" w:ascii="Times New Roman" w:hAnsi="Times New Roman" w:cs="Times New Roman"/>
                <w:b w:val="0"/>
                <w:bCs w:val="0"/>
                <w:kern w:val="0"/>
                <w:szCs w:val="21"/>
                <w:highlight w:val="none"/>
              </w:rPr>
            </w:pPr>
            <w:r>
              <w:rPr>
                <w:rFonts w:hint="default" w:ascii="Times New Roman" w:hAnsi="Times New Roman" w:eastAsia="宋体" w:cs="Times New Roman"/>
                <w:b w:val="0"/>
                <w:bCs w:val="0"/>
                <w:color w:val="auto"/>
                <w:kern w:val="0"/>
                <w:sz w:val="24"/>
                <w:highlight w:val="none"/>
              </w:rPr>
              <w:t>评价情况</w:t>
            </w:r>
          </w:p>
        </w:tc>
        <w:tc>
          <w:tcPr>
            <w:tcW w:w="7131" w:type="dxa"/>
            <w:gridSpan w:val="3"/>
            <w:noWrap w:val="0"/>
            <w:vAlign w:val="center"/>
          </w:tcPr>
          <w:p w14:paraId="65052220">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cs="Times New Roman"/>
                <w:bCs/>
                <w:color w:val="auto"/>
                <w:kern w:val="0"/>
                <w:sz w:val="24"/>
                <w:highlight w:val="none"/>
                <w:lang w:val="en-US" w:eastAsia="zh-CN"/>
              </w:rPr>
              <w:t>规</w:t>
            </w:r>
            <w:r>
              <w:rPr>
                <w:rFonts w:hint="default" w:ascii="Times New Roman" w:hAnsi="Times New Roman" w:eastAsia="宋体" w:cs="Times New Roman"/>
                <w:color w:val="auto"/>
                <w:kern w:val="0"/>
                <w:sz w:val="24"/>
                <w:highlight w:val="none"/>
                <w:lang w:val="en-US" w:eastAsia="zh-CN"/>
              </w:rPr>
              <w:t>划环评</w:t>
            </w:r>
            <w:r>
              <w:rPr>
                <w:rFonts w:hint="eastAsia" w:ascii="Times New Roman" w:hAnsi="Times New Roman" w:eastAsia="宋体" w:cs="Times New Roman"/>
                <w:color w:val="auto"/>
                <w:kern w:val="0"/>
                <w:sz w:val="24"/>
                <w:highlight w:val="none"/>
                <w:lang w:val="en-US" w:eastAsia="zh-CN"/>
              </w:rPr>
              <w:t>名称</w:t>
            </w:r>
            <w:r>
              <w:rPr>
                <w:rFonts w:hint="default" w:ascii="Times New Roman" w:hAnsi="Times New Roman" w:eastAsia="宋体" w:cs="Times New Roman"/>
                <w:color w:val="auto"/>
                <w:kern w:val="0"/>
                <w:sz w:val="24"/>
                <w:highlight w:val="none"/>
                <w:lang w:val="en-US" w:eastAsia="zh-CN"/>
              </w:rPr>
              <w:t>：《库尔勒上库高新技术产业开发区国土空间专项规划（2024-2035年）环境影响报告书》</w:t>
            </w:r>
          </w:p>
          <w:p w14:paraId="2D91A53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审查机关：新疆维吾尔自治区生态环境厅</w:t>
            </w:r>
          </w:p>
          <w:p w14:paraId="487E161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cs="Times New Roman"/>
                <w:kern w:val="0"/>
                <w:szCs w:val="21"/>
                <w:highlight w:val="none"/>
              </w:rPr>
            </w:pPr>
            <w:r>
              <w:rPr>
                <w:rFonts w:hint="default" w:ascii="Times New Roman" w:hAnsi="Times New Roman" w:eastAsia="宋体" w:cs="Times New Roman"/>
                <w:color w:val="auto"/>
                <w:kern w:val="0"/>
                <w:sz w:val="24"/>
                <w:highlight w:val="none"/>
                <w:lang w:val="en-US" w:eastAsia="zh-CN"/>
              </w:rPr>
              <w:t>审查文件名称及文号：《关于库尔勒上库高新技术产业开发区国土空间专项规划（2024-2035年）环境影响报告书的审查意见》（新环审〔2025〕303号）</w:t>
            </w:r>
          </w:p>
        </w:tc>
      </w:tr>
      <w:tr w14:paraId="4569CC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1739" w:type="dxa"/>
            <w:noWrap w:val="0"/>
            <w:vAlign w:val="center"/>
          </w:tcPr>
          <w:p w14:paraId="670F71EC">
            <w:pPr>
              <w:autoSpaceDE w:val="0"/>
              <w:autoSpaceDN w:val="0"/>
              <w:adjustRightInd w:val="0"/>
              <w:snapToGrid w:val="0"/>
              <w:jc w:val="center"/>
              <w:rPr>
                <w:rFonts w:hint="default" w:ascii="Times New Roman" w:hAnsi="Times New Roman" w:cs="Times New Roman"/>
                <w:b w:val="0"/>
                <w:bCs w:val="0"/>
                <w:kern w:val="0"/>
                <w:szCs w:val="21"/>
                <w:highlight w:val="none"/>
              </w:rPr>
            </w:pPr>
            <w:r>
              <w:rPr>
                <w:rFonts w:hint="default" w:ascii="Times New Roman" w:hAnsi="Times New Roman" w:eastAsia="宋体" w:cs="Times New Roman"/>
                <w:b w:val="0"/>
                <w:bCs w:val="0"/>
                <w:color w:val="auto"/>
                <w:kern w:val="0"/>
                <w:sz w:val="24"/>
                <w:highlight w:val="none"/>
              </w:rPr>
              <w:t>规划及规划环境影响评价符合性分析</w:t>
            </w:r>
          </w:p>
        </w:tc>
        <w:tc>
          <w:tcPr>
            <w:tcW w:w="7131" w:type="dxa"/>
            <w:gridSpan w:val="3"/>
            <w:noWrap w:val="0"/>
            <w:vAlign w:val="center"/>
          </w:tcPr>
          <w:p w14:paraId="639488FF">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425" w:leftChars="0" w:hanging="425" w:firstLineChars="0"/>
              <w:jc w:val="left"/>
              <w:textAlignment w:val="auto"/>
              <w:rPr>
                <w:rFonts w:hint="eastAsia"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kern w:val="2"/>
                <w:sz w:val="24"/>
                <w:szCs w:val="24"/>
                <w:lang w:val="en-US" w:eastAsia="zh-CN" w:bidi="ar-SA"/>
              </w:rPr>
              <w:t>1.</w:t>
            </w:r>
            <w:r>
              <w:rPr>
                <w:rFonts w:hint="eastAsia" w:cs="Times New Roman"/>
                <w:b/>
                <w:bCs/>
                <w:color w:val="auto"/>
                <w:kern w:val="2"/>
                <w:sz w:val="24"/>
                <w:szCs w:val="24"/>
                <w:lang w:val="en-US" w:eastAsia="zh-CN" w:bidi="ar-SA"/>
              </w:rPr>
              <w:t>1</w:t>
            </w:r>
            <w:r>
              <w:rPr>
                <w:rFonts w:hint="eastAsia" w:ascii="Times New Roman" w:hAnsi="Times New Roman" w:eastAsia="宋体" w:cs="Times New Roman"/>
                <w:b/>
                <w:bCs/>
                <w:color w:val="auto"/>
                <w:sz w:val="24"/>
                <w:highlight w:val="none"/>
                <w:lang w:val="en-US" w:eastAsia="zh-CN"/>
              </w:rPr>
              <w:t>与规划符合性分析</w:t>
            </w:r>
          </w:p>
          <w:p w14:paraId="0687712F">
            <w:pPr>
              <w:keepNext w:val="0"/>
              <w:keepLines w:val="0"/>
              <w:pageBreakBefore w:val="0"/>
              <w:widowControl w:val="0"/>
              <w:numPr>
                <w:ilvl w:val="1"/>
                <w:numId w:val="0"/>
              </w:numPr>
              <w:kinsoku/>
              <w:wordWrap/>
              <w:overflowPunct/>
              <w:topLinePunct w:val="0"/>
              <w:autoSpaceDE w:val="0"/>
              <w:autoSpaceDN w:val="0"/>
              <w:bidi w:val="0"/>
              <w:adjustRightInd w:val="0"/>
              <w:snapToGrid w:val="0"/>
              <w:spacing w:line="360" w:lineRule="auto"/>
              <w:ind w:left="567" w:leftChars="0" w:hanging="567" w:firstLineChars="0"/>
              <w:jc w:val="both"/>
              <w:textAlignment w:val="auto"/>
              <w:rPr>
                <w:rFonts w:hint="eastAsia"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szCs w:val="24"/>
                <w:lang w:val="en-US" w:eastAsia="zh-CN" w:bidi="ar-SA"/>
              </w:rPr>
              <w:t>1.1</w:t>
            </w:r>
            <w:r>
              <w:rPr>
                <w:rFonts w:hint="eastAsia" w:cs="Times New Roman"/>
                <w:b/>
                <w:bCs/>
                <w:color w:val="auto"/>
                <w:kern w:val="0"/>
                <w:sz w:val="24"/>
                <w:szCs w:val="24"/>
                <w:lang w:val="en-US" w:eastAsia="zh-CN" w:bidi="ar-SA"/>
              </w:rPr>
              <w:t>.1</w:t>
            </w:r>
            <w:r>
              <w:rPr>
                <w:rFonts w:hint="eastAsia" w:ascii="Times New Roman" w:hAnsi="Times New Roman" w:eastAsia="宋体" w:cs="Times New Roman"/>
                <w:b/>
                <w:bCs/>
                <w:color w:val="auto"/>
                <w:kern w:val="0"/>
                <w:sz w:val="24"/>
                <w:highlight w:val="none"/>
                <w:lang w:val="en-US" w:eastAsia="zh-CN"/>
              </w:rPr>
              <w:t>与开发区规划性质的符合性</w:t>
            </w:r>
          </w:p>
          <w:p w14:paraId="64A469C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发展定位：将上库高新区打造成为国内知名的千亿级现代石化科技园区，具体定位为：中巴经济走廊及中吉乌走廊产业综合承载区、丝绸之路经济带核心区开放新高地、新疆新型工业化推进示范区、环塔里木经济带高质量发展先行区、巴州经济稳进提质发展增长极、油煤气盐清洁高效利用技术创新示范区、绿色低碳循环发展示范区。</w:t>
            </w:r>
          </w:p>
          <w:p w14:paraId="6F3ABA6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highlight w:val="none"/>
                <w:lang w:val="en-US" w:eastAsia="zh-CN"/>
              </w:rPr>
              <w:t>本项目</w:t>
            </w:r>
            <w:r>
              <w:rPr>
                <w:rFonts w:hint="default" w:ascii="Times New Roman" w:hAnsi="Times New Roman" w:eastAsia="宋体" w:cs="Times New Roman"/>
                <w:color w:val="auto"/>
                <w:kern w:val="0"/>
                <w:sz w:val="24"/>
                <w:highlight w:val="none"/>
                <w:lang w:val="en-US" w:eastAsia="zh-CN"/>
              </w:rPr>
              <w:t>建成后，将集中处理石油石化产业园的生活污水，设计出水水质达到一级A标准，夏季用于园区绿化灌溉，非灌溉期供给园区企业回用或储存至现状中水库，实现污水资源化利用和废水零排放。项目建设契合园区</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绿色低碳循环发展示范区</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的定位，有利于推动园区水资源循环利用和绿色低碳发展。</w:t>
            </w:r>
          </w:p>
          <w:p w14:paraId="07838491">
            <w:pPr>
              <w:keepNext w:val="0"/>
              <w:keepLines w:val="0"/>
              <w:pageBreakBefore w:val="0"/>
              <w:widowControl w:val="0"/>
              <w:numPr>
                <w:ilvl w:val="1"/>
                <w:numId w:val="0"/>
              </w:numPr>
              <w:kinsoku/>
              <w:wordWrap/>
              <w:overflowPunct/>
              <w:topLinePunct w:val="0"/>
              <w:autoSpaceDE w:val="0"/>
              <w:autoSpaceDN w:val="0"/>
              <w:bidi w:val="0"/>
              <w:adjustRightInd w:val="0"/>
              <w:snapToGrid w:val="0"/>
              <w:spacing w:before="157" w:beforeLines="50" w:line="360" w:lineRule="auto"/>
              <w:ind w:left="567" w:leftChars="0" w:hanging="567" w:firstLineChars="0"/>
              <w:jc w:val="both"/>
              <w:textAlignment w:val="auto"/>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szCs w:val="24"/>
                <w:lang w:val="en-US" w:eastAsia="zh-CN" w:bidi="ar-SA"/>
              </w:rPr>
              <w:t>1.</w:t>
            </w:r>
            <w:r>
              <w:rPr>
                <w:rFonts w:hint="eastAsia" w:cs="Times New Roman"/>
                <w:b/>
                <w:bCs/>
                <w:color w:val="auto"/>
                <w:kern w:val="0"/>
                <w:sz w:val="24"/>
                <w:szCs w:val="24"/>
                <w:lang w:val="en-US" w:eastAsia="zh-CN" w:bidi="ar-SA"/>
              </w:rPr>
              <w:t>1.</w:t>
            </w:r>
            <w:r>
              <w:rPr>
                <w:rFonts w:hint="default" w:ascii="Times New Roman" w:hAnsi="Times New Roman" w:eastAsia="宋体" w:cs="Times New Roman"/>
                <w:b/>
                <w:bCs/>
                <w:color w:val="auto"/>
                <w:kern w:val="0"/>
                <w:sz w:val="24"/>
                <w:szCs w:val="24"/>
                <w:lang w:val="en-US" w:eastAsia="zh-CN" w:bidi="ar-SA"/>
              </w:rPr>
              <w:t>2</w:t>
            </w:r>
            <w:r>
              <w:rPr>
                <w:rFonts w:hint="eastAsia" w:ascii="Times New Roman" w:hAnsi="Times New Roman" w:eastAsia="宋体" w:cs="Times New Roman"/>
                <w:b/>
                <w:bCs/>
                <w:color w:val="auto"/>
                <w:kern w:val="0"/>
                <w:sz w:val="24"/>
                <w:highlight w:val="none"/>
                <w:lang w:val="en-US" w:eastAsia="zh-CN"/>
              </w:rPr>
              <w:t>与开发区</w:t>
            </w:r>
            <w:r>
              <w:rPr>
                <w:rFonts w:hint="default" w:ascii="Times New Roman" w:hAnsi="Times New Roman" w:eastAsia="宋体" w:cs="Times New Roman"/>
                <w:b/>
                <w:bCs/>
                <w:color w:val="auto"/>
                <w:kern w:val="0"/>
                <w:sz w:val="24"/>
                <w:highlight w:val="none"/>
                <w:lang w:val="en-US" w:eastAsia="zh-CN"/>
              </w:rPr>
              <w:t>建设用地</w:t>
            </w:r>
            <w:r>
              <w:rPr>
                <w:rFonts w:hint="eastAsia" w:ascii="Times New Roman" w:hAnsi="Times New Roman" w:eastAsia="宋体" w:cs="Times New Roman"/>
                <w:b/>
                <w:bCs/>
                <w:color w:val="auto"/>
                <w:kern w:val="0"/>
                <w:sz w:val="24"/>
                <w:highlight w:val="none"/>
                <w:lang w:val="en-US" w:eastAsia="zh-CN"/>
              </w:rPr>
              <w:t>规划的符合性</w:t>
            </w:r>
          </w:p>
          <w:p w14:paraId="125116D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规划至2035年，上库高新技术产业开发区建设用地规模达到28.5131平方公里（其中上库综合产业园9.87平方公里，石油石化产业园18.64平方公里），2035年按照实际发展进行评估。</w:t>
            </w:r>
          </w:p>
          <w:p w14:paraId="3DB39AE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本项目选址位于石油石化产业园</w:t>
            </w:r>
            <w:r>
              <w:rPr>
                <w:rFonts w:hint="eastAsia" w:ascii="Times New Roman" w:hAnsi="Times New Roman" w:eastAsia="宋体" w:cs="Times New Roman"/>
                <w:color w:val="auto"/>
                <w:kern w:val="0"/>
                <w:sz w:val="24"/>
                <w:highlight w:val="none"/>
                <w:lang w:val="en-US" w:eastAsia="zh-CN"/>
              </w:rPr>
              <w:t>内</w:t>
            </w:r>
            <w:r>
              <w:rPr>
                <w:rFonts w:hint="default" w:ascii="Times New Roman" w:hAnsi="Times New Roman" w:eastAsia="宋体" w:cs="Times New Roman"/>
                <w:color w:val="auto"/>
                <w:kern w:val="0"/>
                <w:sz w:val="24"/>
                <w:highlight w:val="none"/>
                <w:lang w:val="en-US" w:eastAsia="zh-CN"/>
              </w:rPr>
              <w:t>，用地性质为工业用地，项目用地已纳入园区建设用地规划，不涉及新增建设用地规模突破，符合园区建设用地规划要求。</w:t>
            </w:r>
            <w:bookmarkStart w:id="1" w:name="_Toc312154994"/>
            <w:bookmarkStart w:id="2" w:name="_Toc315627766"/>
            <w:bookmarkStart w:id="3" w:name="_Toc330919962"/>
            <w:r>
              <w:rPr>
                <w:rFonts w:hint="default" w:ascii="Times New Roman" w:hAnsi="Times New Roman" w:eastAsia="宋体" w:cs="Times New Roman"/>
                <w:color w:val="auto"/>
                <w:kern w:val="0"/>
                <w:sz w:val="24"/>
                <w:highlight w:val="none"/>
                <w:lang w:val="en-US" w:eastAsia="zh-CN"/>
              </w:rPr>
              <w:t>项目与《库尔勒上库高新技术产业开发区国土空间专项规划</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2024-2035年</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》国土空间用地规划图的位置见附图</w:t>
            </w:r>
            <w:r>
              <w:rPr>
                <w:rFonts w:hint="eastAsia" w:ascii="Times New Roman" w:hAnsi="Times New Roman" w:eastAsia="宋体" w:cs="Times New Roman"/>
                <w:color w:val="auto"/>
                <w:kern w:val="0"/>
                <w:sz w:val="24"/>
                <w:highlight w:val="none"/>
                <w:lang w:val="en-US" w:eastAsia="zh-CN"/>
              </w:rPr>
              <w:t>1。</w:t>
            </w:r>
          </w:p>
          <w:p w14:paraId="105AD4EF">
            <w:pPr>
              <w:keepNext w:val="0"/>
              <w:keepLines w:val="0"/>
              <w:pageBreakBefore w:val="0"/>
              <w:widowControl w:val="0"/>
              <w:numPr>
                <w:ilvl w:val="1"/>
                <w:numId w:val="0"/>
              </w:numPr>
              <w:kinsoku/>
              <w:wordWrap/>
              <w:overflowPunct/>
              <w:topLinePunct w:val="0"/>
              <w:autoSpaceDE w:val="0"/>
              <w:autoSpaceDN w:val="0"/>
              <w:bidi w:val="0"/>
              <w:adjustRightInd w:val="0"/>
              <w:snapToGrid w:val="0"/>
              <w:spacing w:line="360" w:lineRule="auto"/>
              <w:ind w:left="567" w:leftChars="0" w:hanging="567" w:firstLineChars="0"/>
              <w:jc w:val="both"/>
              <w:textAlignment w:val="auto"/>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szCs w:val="24"/>
                <w:lang w:val="en-US" w:eastAsia="zh-CN" w:bidi="ar-SA"/>
              </w:rPr>
              <w:t>1.</w:t>
            </w:r>
            <w:r>
              <w:rPr>
                <w:rFonts w:hint="eastAsia" w:cs="Times New Roman"/>
                <w:b/>
                <w:bCs/>
                <w:color w:val="auto"/>
                <w:kern w:val="0"/>
                <w:sz w:val="24"/>
                <w:szCs w:val="24"/>
                <w:lang w:val="en-US" w:eastAsia="zh-CN" w:bidi="ar-SA"/>
              </w:rPr>
              <w:t>1.</w:t>
            </w:r>
            <w:r>
              <w:rPr>
                <w:rFonts w:hint="default" w:ascii="Times New Roman" w:hAnsi="Times New Roman" w:eastAsia="宋体" w:cs="Times New Roman"/>
                <w:b/>
                <w:bCs/>
                <w:color w:val="auto"/>
                <w:kern w:val="0"/>
                <w:sz w:val="24"/>
                <w:szCs w:val="24"/>
                <w:lang w:val="en-US" w:eastAsia="zh-CN" w:bidi="ar-SA"/>
              </w:rPr>
              <w:t>3</w:t>
            </w:r>
            <w:r>
              <w:rPr>
                <w:rFonts w:hint="eastAsia" w:ascii="Times New Roman" w:hAnsi="Times New Roman" w:eastAsia="宋体" w:cs="Times New Roman"/>
                <w:b/>
                <w:bCs/>
                <w:color w:val="auto"/>
                <w:kern w:val="0"/>
                <w:sz w:val="24"/>
                <w:highlight w:val="none"/>
                <w:lang w:val="en-US" w:eastAsia="zh-CN"/>
              </w:rPr>
              <w:t>与开发区</w:t>
            </w:r>
            <w:r>
              <w:rPr>
                <w:rFonts w:hint="default" w:ascii="Times New Roman" w:hAnsi="Times New Roman" w:eastAsia="宋体" w:cs="Times New Roman"/>
                <w:b/>
                <w:bCs/>
                <w:color w:val="auto"/>
                <w:kern w:val="0"/>
                <w:sz w:val="24"/>
                <w:highlight w:val="none"/>
                <w:lang w:val="en-US" w:eastAsia="zh-CN"/>
              </w:rPr>
              <w:t>产业空间布局</w:t>
            </w:r>
            <w:r>
              <w:rPr>
                <w:rFonts w:hint="eastAsia" w:ascii="Times New Roman" w:hAnsi="Times New Roman" w:eastAsia="宋体" w:cs="Times New Roman"/>
                <w:b/>
                <w:bCs/>
                <w:color w:val="auto"/>
                <w:kern w:val="0"/>
                <w:sz w:val="24"/>
                <w:highlight w:val="none"/>
                <w:lang w:val="en-US" w:eastAsia="zh-CN"/>
              </w:rPr>
              <w:t>的符合性</w:t>
            </w:r>
          </w:p>
          <w:p w14:paraId="0555239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根</w:t>
            </w:r>
            <w:r>
              <w:rPr>
                <w:rFonts w:hint="eastAsia" w:ascii="Times New Roman" w:hAnsi="Times New Roman" w:eastAsia="宋体" w:cs="Times New Roman"/>
                <w:color w:val="auto"/>
                <w:kern w:val="0"/>
                <w:sz w:val="24"/>
                <w:highlight w:val="none"/>
                <w:lang w:val="en-US" w:eastAsia="zh-CN"/>
              </w:rPr>
              <w:t>据《</w:t>
            </w:r>
            <w:r>
              <w:rPr>
                <w:rFonts w:hint="default" w:ascii="Times New Roman" w:hAnsi="Times New Roman" w:eastAsia="宋体" w:cs="Times New Roman"/>
                <w:color w:val="auto"/>
                <w:kern w:val="0"/>
                <w:sz w:val="24"/>
                <w:highlight w:val="none"/>
                <w:lang w:val="en-US" w:eastAsia="zh-CN"/>
              </w:rPr>
              <w:t>库尔勒上库高新技术产业开发区国土空间专项规划</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2024-2035年</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》，开发区规划了上库综合产业园和石油石化产业园。</w:t>
            </w:r>
          </w:p>
          <w:bookmarkEnd w:id="1"/>
          <w:bookmarkEnd w:id="2"/>
          <w:bookmarkEnd w:id="3"/>
          <w:p w14:paraId="37269FD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上库综合产业园以规模化集聚发展为导向，加强产业空间整合，打造</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多片区</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的产业空间布局。分别为中小企业创业区、装备制造产业区、新型建材及新型材料产业区、高新技术产业区、农副产品加工产业区、商贸物流产业区及生活配套区。</w:t>
            </w:r>
          </w:p>
          <w:p w14:paraId="2C6B8E3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石油石化产业园以规模化集聚发展为导向，加强产业空间整合，打造</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多片区</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的产业空间布局。分别为轻烃利用及烯烃下游产业区、炼一化一纺一体化产业区、煤化工产业区、工业废弃物循环加工产业区、新能源新材料产业区、生物医药产业区、绿色氢能产业集群、二氧化碳回收利用产业、公用设施区、生活配套服务区。</w:t>
            </w:r>
          </w:p>
          <w:p w14:paraId="141ECA5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配套服务区是为工业生产、建筑运营或区域基础设施提供核心支持服务的综合性功能区域，由多个协同运行的子系统构成。其核心特征是不直接参与主工艺流程，但通过保障能源、资源、安全及环境调控的稳定性，对整体系统的高效运转、安全性及经济性起决定性作用。作为园区</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生命线工程集中区</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，集中布局供电、供热、供水、污水处理、固废处置等基础设施。规划建设热电联产机组、污水处理厂及危险废物处置中心，通过统一建设、集中管理降低企业成本。片区内各类管线（管廊、电缆、输水管）形成</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地下一张网</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，确保能源、水资源高效供应及污染物集中处理。</w:t>
            </w:r>
          </w:p>
          <w:p w14:paraId="5CE5AD1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本项目为生活污水处理厂，属于配套服务区中明确规划的</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污水处理</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基础设施。项目选址位于石油石化产业园昆玉路东侧、富强大道南侧，符合配套服务区的功能定位和空间布局要求</w:t>
            </w:r>
            <w:r>
              <w:rPr>
                <w:rFonts w:hint="default" w:ascii="Times New Roman" w:hAnsi="Times New Roman" w:eastAsia="宋体" w:cs="Times New Roman"/>
                <w:color w:val="auto"/>
                <w:kern w:val="0"/>
                <w:sz w:val="24"/>
                <w:highlight w:val="none"/>
                <w:lang w:val="en-US" w:eastAsia="zh-CN"/>
              </w:rPr>
              <w:t>。项目与石油石化产业园产业空间布局的位置见附图</w:t>
            </w:r>
            <w:r>
              <w:rPr>
                <w:rFonts w:hint="eastAsia" w:cs="Times New Roman"/>
                <w:color w:val="auto"/>
                <w:kern w:val="0"/>
                <w:sz w:val="24"/>
                <w:highlight w:val="none"/>
                <w:lang w:val="en-US" w:eastAsia="zh-CN"/>
              </w:rPr>
              <w:t>2</w:t>
            </w:r>
            <w:r>
              <w:rPr>
                <w:rFonts w:hint="default" w:ascii="Times New Roman" w:hAnsi="Times New Roman" w:eastAsia="宋体" w:cs="Times New Roman"/>
                <w:color w:val="auto"/>
                <w:kern w:val="0"/>
                <w:sz w:val="24"/>
                <w:highlight w:val="none"/>
                <w:lang w:val="en-US" w:eastAsia="zh-CN"/>
              </w:rPr>
              <w:t>。</w:t>
            </w:r>
          </w:p>
          <w:p w14:paraId="3812BDC6">
            <w:pPr>
              <w:keepNext w:val="0"/>
              <w:keepLines w:val="0"/>
              <w:pageBreakBefore w:val="0"/>
              <w:widowControl w:val="0"/>
              <w:numPr>
                <w:ilvl w:val="1"/>
                <w:numId w:val="0"/>
              </w:numPr>
              <w:kinsoku/>
              <w:wordWrap/>
              <w:overflowPunct/>
              <w:topLinePunct w:val="0"/>
              <w:autoSpaceDE w:val="0"/>
              <w:autoSpaceDN w:val="0"/>
              <w:bidi w:val="0"/>
              <w:adjustRightInd w:val="0"/>
              <w:snapToGrid w:val="0"/>
              <w:spacing w:line="360" w:lineRule="auto"/>
              <w:ind w:left="567" w:leftChars="0" w:hanging="567" w:firstLineChars="0"/>
              <w:jc w:val="both"/>
              <w:textAlignment w:val="auto"/>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szCs w:val="24"/>
                <w:lang w:val="en-US" w:eastAsia="zh-CN" w:bidi="ar-SA"/>
              </w:rPr>
              <w:t>1.</w:t>
            </w:r>
            <w:r>
              <w:rPr>
                <w:rFonts w:hint="eastAsia" w:cs="Times New Roman"/>
                <w:b/>
                <w:bCs/>
                <w:color w:val="auto"/>
                <w:kern w:val="0"/>
                <w:sz w:val="24"/>
                <w:szCs w:val="24"/>
                <w:lang w:val="en-US" w:eastAsia="zh-CN" w:bidi="ar-SA"/>
              </w:rPr>
              <w:t>1.</w:t>
            </w:r>
            <w:r>
              <w:rPr>
                <w:rFonts w:hint="default" w:ascii="Times New Roman" w:hAnsi="Times New Roman" w:eastAsia="宋体" w:cs="Times New Roman"/>
                <w:b/>
                <w:bCs/>
                <w:color w:val="auto"/>
                <w:kern w:val="0"/>
                <w:sz w:val="24"/>
                <w:szCs w:val="24"/>
                <w:lang w:val="en-US" w:eastAsia="zh-CN" w:bidi="ar-SA"/>
              </w:rPr>
              <w:t>4</w:t>
            </w:r>
            <w:r>
              <w:rPr>
                <w:rFonts w:hint="eastAsia" w:ascii="Times New Roman" w:hAnsi="Times New Roman" w:eastAsia="宋体" w:cs="Times New Roman"/>
                <w:b/>
                <w:bCs/>
                <w:color w:val="auto"/>
                <w:kern w:val="0"/>
                <w:sz w:val="24"/>
                <w:highlight w:val="none"/>
                <w:lang w:val="en-US" w:eastAsia="zh-CN"/>
              </w:rPr>
              <w:t>与开发区</w:t>
            </w:r>
            <w:r>
              <w:rPr>
                <w:rFonts w:hint="default" w:ascii="Times New Roman" w:hAnsi="Times New Roman" w:eastAsia="宋体" w:cs="Times New Roman"/>
                <w:b/>
                <w:bCs/>
                <w:color w:val="auto"/>
                <w:kern w:val="0"/>
                <w:sz w:val="24"/>
                <w:highlight w:val="none"/>
                <w:lang w:val="en-US" w:eastAsia="zh-CN"/>
              </w:rPr>
              <w:t>功能结构</w:t>
            </w:r>
            <w:r>
              <w:rPr>
                <w:rFonts w:hint="eastAsia" w:ascii="Times New Roman" w:hAnsi="Times New Roman" w:eastAsia="宋体" w:cs="Times New Roman"/>
                <w:b/>
                <w:bCs/>
                <w:color w:val="auto"/>
                <w:kern w:val="0"/>
                <w:sz w:val="24"/>
                <w:highlight w:val="none"/>
                <w:lang w:val="en-US" w:eastAsia="zh-CN"/>
              </w:rPr>
              <w:t>的符合性</w:t>
            </w:r>
          </w:p>
          <w:p w14:paraId="4BE1385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规划将库尔勒上库高新技术产业开发区形成</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一园两区</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的总体空间布局，一园为库尔勒上库高新技术产业开发区，两区为上库综合产业园区与石油石化产业园区。</w:t>
            </w:r>
          </w:p>
          <w:p w14:paraId="45B184F5">
            <w:pPr>
              <w:keepNext w:val="0"/>
              <w:keepLines w:val="0"/>
              <w:pageBreakBefore w:val="0"/>
              <w:widowControl w:val="0"/>
              <w:kinsoku/>
              <w:wordWrap/>
              <w:overflowPunct/>
              <w:topLinePunct w:val="0"/>
              <w:autoSpaceDE w:val="0"/>
              <w:autoSpaceDN w:val="0"/>
              <w:bidi w:val="0"/>
              <w:adjustRightInd w:val="0"/>
              <w:snapToGrid w:val="0"/>
              <w:spacing w:line="360" w:lineRule="auto"/>
              <w:ind w:firstLine="504" w:firstLineChars="200"/>
              <w:jc w:val="both"/>
              <w:textAlignment w:val="auto"/>
              <w:rPr>
                <w:rFonts w:hint="eastAsia" w:ascii="Times New Roman" w:hAnsi="Times New Roman" w:eastAsia="宋体" w:cs="Times New Roman"/>
                <w:color w:val="auto"/>
                <w:spacing w:val="6"/>
                <w:kern w:val="0"/>
                <w:sz w:val="24"/>
                <w:highlight w:val="none"/>
                <w:lang w:val="en-US" w:eastAsia="zh-CN"/>
              </w:rPr>
            </w:pPr>
            <w:r>
              <w:rPr>
                <w:rFonts w:hint="default" w:ascii="Times New Roman" w:hAnsi="Times New Roman" w:eastAsia="宋体" w:cs="Times New Roman"/>
                <w:color w:val="auto"/>
                <w:spacing w:val="6"/>
                <w:kern w:val="0"/>
                <w:sz w:val="24"/>
                <w:highlight w:val="none"/>
                <w:lang w:val="en-US" w:eastAsia="zh-CN"/>
              </w:rPr>
              <w:t>上库综合产业园区形成</w:t>
            </w:r>
            <w:r>
              <w:rPr>
                <w:rFonts w:hint="eastAsia" w:cs="Times New Roman"/>
                <w:color w:val="auto"/>
                <w:spacing w:val="6"/>
                <w:kern w:val="0"/>
                <w:sz w:val="24"/>
                <w:highlight w:val="none"/>
                <w:lang w:val="en-US" w:eastAsia="zh-CN"/>
              </w:rPr>
              <w:t>“</w:t>
            </w:r>
            <w:r>
              <w:rPr>
                <w:rFonts w:hint="default" w:ascii="Times New Roman" w:hAnsi="Times New Roman" w:eastAsia="宋体" w:cs="Times New Roman"/>
                <w:color w:val="auto"/>
                <w:spacing w:val="6"/>
                <w:kern w:val="0"/>
                <w:sz w:val="24"/>
                <w:highlight w:val="none"/>
                <w:lang w:val="en-US" w:eastAsia="zh-CN"/>
              </w:rPr>
              <w:t>一心四轴四片区</w:t>
            </w:r>
            <w:r>
              <w:rPr>
                <w:rFonts w:hint="eastAsia" w:cs="Times New Roman"/>
                <w:color w:val="auto"/>
                <w:spacing w:val="6"/>
                <w:kern w:val="0"/>
                <w:sz w:val="24"/>
                <w:highlight w:val="none"/>
                <w:lang w:val="en-US" w:eastAsia="zh-CN"/>
              </w:rPr>
              <w:t>”</w:t>
            </w:r>
            <w:r>
              <w:rPr>
                <w:rFonts w:hint="default" w:ascii="Times New Roman" w:hAnsi="Times New Roman" w:eastAsia="宋体" w:cs="Times New Roman"/>
                <w:color w:val="auto"/>
                <w:spacing w:val="6"/>
                <w:kern w:val="0"/>
                <w:sz w:val="24"/>
                <w:highlight w:val="none"/>
                <w:lang w:val="en-US" w:eastAsia="zh-CN"/>
              </w:rPr>
              <w:t>的空间结构</w:t>
            </w:r>
            <w:r>
              <w:rPr>
                <w:rFonts w:hint="eastAsia" w:ascii="Times New Roman" w:hAnsi="Times New Roman" w:eastAsia="宋体" w:cs="Times New Roman"/>
                <w:color w:val="auto"/>
                <w:spacing w:val="6"/>
                <w:kern w:val="0"/>
                <w:sz w:val="24"/>
                <w:highlight w:val="none"/>
                <w:lang w:val="en-US" w:eastAsia="zh-CN"/>
              </w:rPr>
              <w:t>。</w:t>
            </w:r>
            <w:r>
              <w:rPr>
                <w:rFonts w:hint="default" w:ascii="Times New Roman" w:hAnsi="Times New Roman" w:eastAsia="宋体" w:cs="Times New Roman"/>
                <w:color w:val="auto"/>
                <w:spacing w:val="6"/>
                <w:kern w:val="0"/>
                <w:sz w:val="24"/>
                <w:highlight w:val="none"/>
                <w:lang w:val="en-US" w:eastAsia="zh-CN"/>
              </w:rPr>
              <w:t>石油石化产业园形成</w:t>
            </w:r>
            <w:r>
              <w:rPr>
                <w:rFonts w:hint="eastAsia" w:cs="Times New Roman"/>
                <w:color w:val="auto"/>
                <w:spacing w:val="6"/>
                <w:kern w:val="0"/>
                <w:sz w:val="24"/>
                <w:highlight w:val="none"/>
                <w:lang w:val="en-US" w:eastAsia="zh-CN"/>
              </w:rPr>
              <w:t>“</w:t>
            </w:r>
            <w:r>
              <w:rPr>
                <w:rFonts w:hint="default" w:ascii="Times New Roman" w:hAnsi="Times New Roman" w:eastAsia="宋体" w:cs="Times New Roman"/>
                <w:color w:val="auto"/>
                <w:spacing w:val="6"/>
                <w:kern w:val="0"/>
                <w:sz w:val="24"/>
                <w:highlight w:val="none"/>
                <w:lang w:val="en-US" w:eastAsia="zh-CN"/>
              </w:rPr>
              <w:t>一心两轴三带</w:t>
            </w:r>
            <w:r>
              <w:rPr>
                <w:rFonts w:hint="eastAsia" w:cs="Times New Roman"/>
                <w:color w:val="auto"/>
                <w:spacing w:val="6"/>
                <w:kern w:val="0"/>
                <w:sz w:val="24"/>
                <w:highlight w:val="none"/>
                <w:lang w:val="en-US" w:eastAsia="zh-CN"/>
              </w:rPr>
              <w:t>”</w:t>
            </w:r>
            <w:r>
              <w:rPr>
                <w:rFonts w:hint="default" w:ascii="Times New Roman" w:hAnsi="Times New Roman" w:eastAsia="宋体" w:cs="Times New Roman"/>
                <w:color w:val="auto"/>
                <w:spacing w:val="6"/>
                <w:kern w:val="0"/>
                <w:sz w:val="24"/>
                <w:highlight w:val="none"/>
                <w:lang w:val="en-US" w:eastAsia="zh-CN"/>
              </w:rPr>
              <w:t>的空间结构</w:t>
            </w:r>
            <w:r>
              <w:rPr>
                <w:rFonts w:hint="eastAsia" w:ascii="Times New Roman" w:hAnsi="Times New Roman" w:eastAsia="宋体" w:cs="Times New Roman"/>
                <w:color w:val="auto"/>
                <w:spacing w:val="6"/>
                <w:kern w:val="0"/>
                <w:sz w:val="24"/>
                <w:highlight w:val="none"/>
                <w:lang w:val="en-US" w:eastAsia="zh-CN"/>
              </w:rPr>
              <w:t>，即产业服务小镇形成综合服务中心；西侧铁路专用线，东部昆玉路形成两条发展轴线；北部烯烃产业带，中部炼化纺产业带，南部精细化工和医药农药产业带。</w:t>
            </w:r>
          </w:p>
          <w:p w14:paraId="4097531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本项目选址位于</w:t>
            </w:r>
            <w:r>
              <w:rPr>
                <w:rFonts w:hint="eastAsia" w:ascii="Times New Roman" w:hAnsi="Times New Roman" w:eastAsia="宋体" w:cs="Times New Roman"/>
                <w:color w:val="auto"/>
                <w:kern w:val="0"/>
                <w:sz w:val="24"/>
                <w:highlight w:val="none"/>
                <w:lang w:val="en-US" w:eastAsia="zh-CN"/>
              </w:rPr>
              <w:t>石油石化产业园</w:t>
            </w:r>
            <w:r>
              <w:rPr>
                <w:rFonts w:hint="default" w:ascii="Times New Roman" w:hAnsi="Times New Roman" w:eastAsia="宋体" w:cs="Times New Roman"/>
                <w:color w:val="auto"/>
                <w:kern w:val="0"/>
                <w:sz w:val="24"/>
                <w:highlight w:val="none"/>
                <w:lang w:val="en-US" w:eastAsia="zh-CN"/>
              </w:rPr>
              <w:t>昆玉路东侧、富强大道南侧，处于石油石化产业园中部区域，紧邻园区公用设施区。项目作为园区污水处理基础设施，可为</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一心</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及</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三带</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的产业发展提供生活污水处理和再生水回用保障，是支撑园区功能结构高效运转的重要公用设施。项目与石油石化产业园</w:t>
            </w:r>
            <w:r>
              <w:rPr>
                <w:rFonts w:hint="eastAsia" w:ascii="Times New Roman" w:hAnsi="Times New Roman" w:eastAsia="宋体" w:cs="Times New Roman"/>
                <w:color w:val="auto"/>
                <w:kern w:val="0"/>
                <w:sz w:val="24"/>
                <w:highlight w:val="none"/>
                <w:lang w:val="en-US" w:eastAsia="zh-CN"/>
              </w:rPr>
              <w:t>功能结构规划</w:t>
            </w:r>
            <w:r>
              <w:rPr>
                <w:rFonts w:hint="default" w:ascii="Times New Roman" w:hAnsi="Times New Roman" w:eastAsia="宋体" w:cs="Times New Roman"/>
                <w:color w:val="auto"/>
                <w:kern w:val="0"/>
                <w:sz w:val="24"/>
                <w:highlight w:val="none"/>
                <w:lang w:val="en-US" w:eastAsia="zh-CN"/>
              </w:rPr>
              <w:t>的位置见附图</w:t>
            </w:r>
            <w:r>
              <w:rPr>
                <w:rFonts w:hint="eastAsia" w:cs="Times New Roman"/>
                <w:color w:val="auto"/>
                <w:kern w:val="0"/>
                <w:sz w:val="24"/>
                <w:highlight w:val="none"/>
                <w:lang w:val="en-US" w:eastAsia="zh-CN"/>
              </w:rPr>
              <w:t>3</w:t>
            </w:r>
            <w:r>
              <w:rPr>
                <w:rFonts w:hint="default" w:ascii="Times New Roman" w:hAnsi="Times New Roman" w:eastAsia="宋体" w:cs="Times New Roman"/>
                <w:color w:val="auto"/>
                <w:kern w:val="0"/>
                <w:sz w:val="24"/>
                <w:highlight w:val="none"/>
                <w:lang w:val="en-US" w:eastAsia="zh-CN"/>
              </w:rPr>
              <w:t>。</w:t>
            </w:r>
          </w:p>
          <w:p w14:paraId="747C9F9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jc w:val="both"/>
              <w:textAlignment w:val="auto"/>
              <w:rPr>
                <w:rFonts w:hint="default" w:ascii="Times New Roman" w:hAnsi="Times New Roman" w:eastAsia="宋体" w:cs="Times New Roman"/>
                <w:b/>
                <w:bCs/>
                <w:color w:val="auto"/>
                <w:sz w:val="24"/>
                <w:highlight w:val="none"/>
                <w:lang w:val="en-US" w:eastAsia="zh-CN"/>
              </w:rPr>
            </w:pPr>
            <w:r>
              <w:rPr>
                <w:rFonts w:hint="eastAsia" w:cs="Times New Roman"/>
                <w:b/>
                <w:bCs/>
                <w:color w:val="auto"/>
                <w:kern w:val="2"/>
                <w:sz w:val="24"/>
                <w:szCs w:val="24"/>
                <w:lang w:val="en-US" w:eastAsia="zh-CN" w:bidi="ar-SA"/>
              </w:rPr>
              <w:t>1.</w:t>
            </w:r>
            <w:r>
              <w:rPr>
                <w:rFonts w:hint="default" w:ascii="Times New Roman" w:hAnsi="Times New Roman" w:eastAsia="宋体" w:cs="Times New Roman"/>
                <w:b/>
                <w:bCs/>
                <w:color w:val="auto"/>
                <w:kern w:val="2"/>
                <w:sz w:val="24"/>
                <w:szCs w:val="24"/>
                <w:lang w:val="en-US" w:eastAsia="zh-CN" w:bidi="ar-SA"/>
              </w:rPr>
              <w:t>2</w:t>
            </w:r>
            <w:r>
              <w:rPr>
                <w:rFonts w:hint="eastAsia" w:ascii="Times New Roman" w:hAnsi="Times New Roman" w:eastAsia="宋体" w:cs="Times New Roman"/>
                <w:b/>
                <w:bCs/>
                <w:color w:val="auto"/>
                <w:sz w:val="24"/>
                <w:highlight w:val="none"/>
                <w:lang w:val="en-US" w:eastAsia="zh-CN"/>
              </w:rPr>
              <w:t>与</w:t>
            </w:r>
            <w:r>
              <w:rPr>
                <w:rFonts w:hint="default" w:ascii="Times New Roman" w:hAnsi="Times New Roman" w:eastAsia="宋体" w:cs="Times New Roman"/>
                <w:b/>
                <w:bCs/>
                <w:color w:val="auto"/>
                <w:sz w:val="24"/>
                <w:highlight w:val="none"/>
                <w:lang w:val="en-US" w:eastAsia="zh-CN"/>
              </w:rPr>
              <w:t>《库尔勒上库高新技术产业开发区国土空间专项规划（2024-2035年）环境影响报告书》</w:t>
            </w:r>
            <w:r>
              <w:rPr>
                <w:rFonts w:hint="eastAsia" w:ascii="Times New Roman" w:hAnsi="Times New Roman" w:eastAsia="宋体" w:cs="Times New Roman"/>
                <w:b/>
                <w:bCs/>
                <w:color w:val="auto"/>
                <w:sz w:val="24"/>
                <w:highlight w:val="none"/>
                <w:lang w:val="en-US" w:eastAsia="zh-CN"/>
              </w:rPr>
              <w:t>及审查意见符合性分析</w:t>
            </w:r>
          </w:p>
          <w:p w14:paraId="3B5A785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本项目与《库尔勒上库高新技术产业开发区国土空间专项规划（2024—2035年）环境影响报告书》审查意见的符合性见表1-2</w:t>
            </w:r>
            <w:r>
              <w:rPr>
                <w:rFonts w:hint="eastAsia" w:ascii="Times New Roman" w:hAnsi="Times New Roman" w:eastAsia="宋体" w:cs="Times New Roman"/>
                <w:color w:val="auto"/>
                <w:kern w:val="0"/>
                <w:sz w:val="24"/>
                <w:highlight w:val="none"/>
                <w:lang w:val="en-US" w:eastAsia="zh-CN"/>
              </w:rPr>
              <w:t>：</w:t>
            </w:r>
          </w:p>
          <w:p w14:paraId="5869FA82">
            <w:pPr>
              <w:pStyle w:val="23"/>
              <w:bidi w:val="0"/>
              <w:rPr>
                <w:rFonts w:hint="eastAsia"/>
                <w:lang w:eastAsia="zh-CN"/>
              </w:rPr>
            </w:pPr>
            <w:r>
              <w:t>表</w:t>
            </w:r>
            <w:r>
              <w:fldChar w:fldCharType="begin"/>
            </w:r>
            <w:r>
              <w:instrText xml:space="preserve"> STYLEREF 1 \s \* ARABIC </w:instrText>
            </w:r>
            <w:r>
              <w:fldChar w:fldCharType="separate"/>
            </w:r>
            <w:r>
              <w:t>1</w:t>
            </w:r>
            <w:r>
              <w:fldChar w:fldCharType="end"/>
            </w:r>
            <w:r>
              <w:rPr>
                <w:rFonts w:hint="eastAsia"/>
                <w:lang w:eastAsia="zh-CN"/>
              </w:rPr>
              <w:t>-</w:t>
            </w:r>
            <w:r>
              <w:fldChar w:fldCharType="begin"/>
            </w:r>
            <w:r>
              <w:instrText xml:space="preserve"> SEQ 表 \* ARABIC \s 1 </w:instrText>
            </w:r>
            <w:r>
              <w:fldChar w:fldCharType="separate"/>
            </w:r>
            <w:r>
              <w:t>2</w:t>
            </w:r>
            <w:r>
              <w:fldChar w:fldCharType="end"/>
            </w:r>
            <w:r>
              <w:rPr>
                <w:rFonts w:hint="eastAsia"/>
                <w:lang w:eastAsia="zh-CN"/>
              </w:rPr>
              <w:t>本项目与开发区规划环评审查意见符合性分析</w:t>
            </w:r>
          </w:p>
          <w:tbl>
            <w:tblPr>
              <w:tblStyle w:val="1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5"/>
              <w:gridCol w:w="3579"/>
              <w:gridCol w:w="2086"/>
              <w:gridCol w:w="721"/>
            </w:tblGrid>
            <w:tr w14:paraId="5F35C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blHeader/>
              </w:trPr>
              <w:tc>
                <w:tcPr>
                  <w:tcW w:w="373" w:type="pct"/>
                  <w:noWrap w:val="0"/>
                  <w:vAlign w:val="center"/>
                </w:tcPr>
                <w:p w14:paraId="431E9FD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序号</w:t>
                  </w:r>
                </w:p>
              </w:tc>
              <w:tc>
                <w:tcPr>
                  <w:tcW w:w="2593" w:type="pct"/>
                  <w:noWrap w:val="0"/>
                  <w:vAlign w:val="center"/>
                </w:tcPr>
                <w:p w14:paraId="3B1CBDD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规划环评</w:t>
                  </w:r>
                </w:p>
              </w:tc>
              <w:tc>
                <w:tcPr>
                  <w:tcW w:w="1511" w:type="pct"/>
                  <w:noWrap w:val="0"/>
                  <w:vAlign w:val="center"/>
                </w:tcPr>
                <w:p w14:paraId="51ED956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w:t>
                  </w:r>
                </w:p>
              </w:tc>
              <w:tc>
                <w:tcPr>
                  <w:tcW w:w="522" w:type="pct"/>
                  <w:noWrap w:val="0"/>
                  <w:vAlign w:val="center"/>
                </w:tcPr>
                <w:p w14:paraId="5E93CA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符合性</w:t>
                  </w:r>
                </w:p>
              </w:tc>
            </w:tr>
            <w:tr w14:paraId="4549E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noWrap w:val="0"/>
                  <w:vAlign w:val="center"/>
                </w:tcPr>
                <w:p w14:paraId="51B9228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2593" w:type="pct"/>
                  <w:noWrap w:val="0"/>
                  <w:vAlign w:val="center"/>
                </w:tcPr>
                <w:p w14:paraId="30C56E4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坚持绿色发展，优化产业结构、规划布局。坚持以生态环境质量改善为核心，遵循生态优先、绿色发展原则，依据区域环境和资源禀赋条件，不断优化开发区产业结构和规划布局。切实落实《报告书》提出的优化调整意见和生态环境保护对策措施，促进区域发展和环境保护相协调。开发区应严格按照集约开发的原则，进一步优化用地布局，促进产业集聚，提高土地集约利用效率。</w:t>
                  </w:r>
                </w:p>
              </w:tc>
              <w:tc>
                <w:tcPr>
                  <w:tcW w:w="1511" w:type="pct"/>
                  <w:noWrap w:val="0"/>
                  <w:vAlign w:val="center"/>
                </w:tcPr>
                <w:p w14:paraId="2AB8060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本项目为污水处理厂项目，属于环境基础设施，符合绿色发展导向，项目选址及建设严格遵循集约用地原则，布局合理。</w:t>
                  </w:r>
                </w:p>
              </w:tc>
              <w:tc>
                <w:tcPr>
                  <w:tcW w:w="522" w:type="pct"/>
                  <w:noWrap w:val="0"/>
                  <w:vAlign w:val="center"/>
                </w:tcPr>
                <w:p w14:paraId="5FABB12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0A85E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noWrap w:val="0"/>
                  <w:vAlign w:val="center"/>
                </w:tcPr>
                <w:p w14:paraId="4821075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2593" w:type="pct"/>
                  <w:noWrap w:val="0"/>
                  <w:vAlign w:val="center"/>
                </w:tcPr>
                <w:p w14:paraId="198E5E0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衔接生态环保要求，严格环境准入。按照规划产业布局入驻企业，结合区域发展定位、开发布局、生态环境保护目标，实行入园企业生态环境准入，不符合分区管控、产业政策、行业准入条件、生态环境准入清单及国家、自治区明令禁止的项目一律不得入驻。引进项目的生产工艺、设备、污染治理技术，以及单位产品能耗、物耗、污染物排放、碳排放总量及强度和资源利用率均需达到同行业国内先进水平。新建、改建、扩建</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两高</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项目须符合生态环境保护法律法规和相关法定规划，满足重点污染物排放总量控制、碳排放达峰目标、生态环境准入清单、相关规划环评和行业建设项目环境准入条件、环评文件审批原则等要求。</w:t>
                  </w:r>
                </w:p>
              </w:tc>
              <w:tc>
                <w:tcPr>
                  <w:tcW w:w="1511" w:type="pct"/>
                  <w:noWrap w:val="0"/>
                  <w:vAlign w:val="center"/>
                </w:tcPr>
                <w:p w14:paraId="0ED6B9B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本项目属于《产业结构调整指导目录（2024年本）》鼓励类项目，符合</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三线一单</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分区管控要求，不属于禁止入驻项目。</w:t>
                  </w:r>
                </w:p>
              </w:tc>
              <w:tc>
                <w:tcPr>
                  <w:tcW w:w="522" w:type="pct"/>
                  <w:noWrap w:val="0"/>
                  <w:vAlign w:val="center"/>
                </w:tcPr>
                <w:p w14:paraId="2780901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600D1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noWrap w:val="0"/>
                  <w:vAlign w:val="center"/>
                </w:tcPr>
                <w:p w14:paraId="1772BA0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2593" w:type="pct"/>
                  <w:noWrap w:val="0"/>
                  <w:vAlign w:val="center"/>
                </w:tcPr>
                <w:p w14:paraId="23EF348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严守生态保护红线，加强空间管控。衔接库尔勒市国土空间规划及生态环境分区管控要求，严格控制开发区开发范围，明确各功能区用地要求，合理开发利用。重点关注区域环境空气、地下水环境、土壤环境以及环境风险等，对入驻企业提出具体管控要求。根据开发区产业结构和产业链，衔接生态环境保护和产业政策等相关要求，完善生态环境准入清单，落实所在生态环境管控单元的管控要求，切实保障规划实施不突破分区管控单元的具体要求。对开发区周边的农田、公益林等敏感目标，进一步优化产业布局，严格落实各项生态环境保护措施和环境风险防范措施，确保环境敏感目标得到有效保护。</w:t>
                  </w:r>
                </w:p>
              </w:tc>
              <w:tc>
                <w:tcPr>
                  <w:tcW w:w="1511" w:type="pct"/>
                  <w:noWrap w:val="0"/>
                  <w:vAlign w:val="center"/>
                </w:tcPr>
                <w:p w14:paraId="1C420FD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位于石油石化产业园内。项目区域不涉及自然保护区、水源保护区、风景名胜区、文物古迹等特殊环境敏感区；无省级以上公路，无水库和国家珍稀动植物；项目区不在生态保护红线范围内，符合生态保护红线要求。</w:t>
                  </w:r>
                </w:p>
              </w:tc>
              <w:tc>
                <w:tcPr>
                  <w:tcW w:w="522" w:type="pct"/>
                  <w:noWrap w:val="0"/>
                  <w:vAlign w:val="center"/>
                </w:tcPr>
                <w:p w14:paraId="798486E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00AC6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noWrap w:val="0"/>
                  <w:vAlign w:val="center"/>
                </w:tcPr>
                <w:p w14:paraId="4513C27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2593" w:type="pct"/>
                  <w:noWrap w:val="0"/>
                  <w:vAlign w:val="center"/>
                </w:tcPr>
                <w:p w14:paraId="2845941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严格管控区域污染物和温室气体排放。严格控制开发强度，优化项目建设时序，落实污染物总量控制、减排任务。采取有效措施减少氮氧化物、挥发性有机物等污染物排放量，各类污染物排放须满足国家及自治区最新污染物排放标准要求。深入开展应对气候变化工作，提出减污降碳协同控制要求，严格控制温室气体排放，确保完成下达的</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双碳</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目标任务。统筹开展</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两高</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项目水资源消耗、污染物和碳排放的源项识别及减污降碳措施要求，推动开发区绿色发展。</w:t>
                  </w:r>
                </w:p>
              </w:tc>
              <w:tc>
                <w:tcPr>
                  <w:tcW w:w="1511" w:type="pct"/>
                  <w:noWrap w:val="0"/>
                  <w:vAlign w:val="center"/>
                </w:tcPr>
                <w:p w14:paraId="49D2FDE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本项目为生活污水处理厂，属于污染物减排工程，项目建成后削减区域COD、氨氮、总磷、总氮等水污染物排放量。本项目主要大气污染物为恶臭气体（NH</w:t>
                  </w:r>
                  <w:r>
                    <w:rPr>
                      <w:rFonts w:hint="default" w:ascii="Times New Roman" w:hAnsi="Times New Roman" w:eastAsia="宋体" w:cs="Times New Roman"/>
                      <w:color w:val="auto"/>
                      <w:sz w:val="21"/>
                      <w:szCs w:val="21"/>
                      <w:highlight w:val="none"/>
                      <w:vertAlign w:val="subscript"/>
                      <w:lang w:val="en-US" w:eastAsia="zh-CN"/>
                    </w:rPr>
                    <w:t>3</w:t>
                  </w:r>
                  <w:r>
                    <w:rPr>
                      <w:rFonts w:hint="default" w:ascii="Times New Roman" w:hAnsi="Times New Roman" w:eastAsia="宋体" w:cs="Times New Roman"/>
                      <w:color w:val="auto"/>
                      <w:sz w:val="21"/>
                      <w:szCs w:val="21"/>
                      <w:highlight w:val="none"/>
                      <w:lang w:val="en-US" w:eastAsia="zh-CN"/>
                    </w:rPr>
                    <w:t>、H</w:t>
                  </w:r>
                  <w:r>
                    <w:rPr>
                      <w:rFonts w:hint="default" w:ascii="Times New Roman" w:hAnsi="Times New Roman" w:eastAsia="宋体" w:cs="Times New Roman"/>
                      <w:color w:val="auto"/>
                      <w:sz w:val="21"/>
                      <w:szCs w:val="21"/>
                      <w:highlight w:val="none"/>
                      <w:vertAlign w:val="subscript"/>
                      <w:lang w:val="en-US" w:eastAsia="zh-CN"/>
                    </w:rPr>
                    <w:t>2</w:t>
                  </w:r>
                  <w:r>
                    <w:rPr>
                      <w:rFonts w:hint="default" w:ascii="Times New Roman" w:hAnsi="Times New Roman" w:eastAsia="宋体" w:cs="Times New Roman"/>
                      <w:color w:val="auto"/>
                      <w:sz w:val="21"/>
                      <w:szCs w:val="21"/>
                      <w:highlight w:val="none"/>
                      <w:lang w:val="en-US" w:eastAsia="zh-CN"/>
                    </w:rPr>
                    <w:t>S），不涉及氮氧化物（NO</w:t>
                  </w:r>
                  <w:r>
                    <w:rPr>
                      <w:rFonts w:hint="eastAsia" w:cs="Times New Roman"/>
                      <w:color w:val="auto"/>
                      <w:sz w:val="21"/>
                      <w:szCs w:val="21"/>
                      <w:highlight w:val="none"/>
                      <w:vertAlign w:val="subscript"/>
                      <w:lang w:val="en-US" w:eastAsia="zh-CN"/>
                    </w:rPr>
                    <w:t>x</w:t>
                  </w:r>
                  <w:r>
                    <w:rPr>
                      <w:rFonts w:hint="default" w:ascii="Times New Roman" w:hAnsi="Times New Roman" w:eastAsia="宋体" w:cs="Times New Roman"/>
                      <w:color w:val="auto"/>
                      <w:sz w:val="21"/>
                      <w:szCs w:val="21"/>
                      <w:highlight w:val="none"/>
                      <w:lang w:val="en-US" w:eastAsia="zh-CN"/>
                    </w:rPr>
                    <w:t>）和挥发性有机物（VOCs）的工业源排放。本项目不属于</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两高</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项目，本身碳排放强度较低。</w:t>
                  </w:r>
                </w:p>
              </w:tc>
              <w:tc>
                <w:tcPr>
                  <w:tcW w:w="522" w:type="pct"/>
                  <w:noWrap w:val="0"/>
                  <w:vAlign w:val="center"/>
                </w:tcPr>
                <w:p w14:paraId="34F1B2F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3964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noWrap w:val="0"/>
                  <w:vAlign w:val="center"/>
                </w:tcPr>
                <w:p w14:paraId="0977E6B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2593" w:type="pct"/>
                  <w:noWrap w:val="0"/>
                  <w:vAlign w:val="center"/>
                </w:tcPr>
                <w:p w14:paraId="7698DCA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严格资源利用总量控制，加快基础设施建设。进一步推动集中供热，禁止新建、扩建、改建分散式燃煤锅炉。优先布局集约型、节水型产业，加强对工业废水的深度治理、提标改造，提高工业废水污染控制水平，减少新鲜水用量和废水排放量，最大限度提高水资源综合利用率。加强固体废物综合利用，推动固废在开发区的协同循环利用，提高固废就地资源化效率。严格按照国家有关规定，依法合规处理处置危险废物。</w:t>
                  </w:r>
                </w:p>
              </w:tc>
              <w:tc>
                <w:tcPr>
                  <w:tcW w:w="1511" w:type="pct"/>
                  <w:noWrap w:val="0"/>
                  <w:vAlign w:val="center"/>
                </w:tcPr>
                <w:p w14:paraId="5629EB6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本项目冬季采用电采暖，不涉及燃煤锅炉。本项目出水水质达到一级A标准后通过夏季用于园区绿化灌溉，非灌溉期供给园区企业回用或储存至现状中水库，实现污水资源化，最大限度提高水资源利用率。</w:t>
                  </w:r>
                </w:p>
                <w:p w14:paraId="5055D38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生活垃圾、污泥等收集后，委托有资质的单位处置。</w:t>
                  </w:r>
                </w:p>
              </w:tc>
              <w:tc>
                <w:tcPr>
                  <w:tcW w:w="522" w:type="pct"/>
                  <w:noWrap w:val="0"/>
                  <w:vAlign w:val="center"/>
                </w:tcPr>
                <w:p w14:paraId="797842B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03E3B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noWrap w:val="0"/>
                  <w:vAlign w:val="center"/>
                </w:tcPr>
                <w:p w14:paraId="6A019D4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c>
                <w:tcPr>
                  <w:tcW w:w="2593" w:type="pct"/>
                  <w:noWrap w:val="0"/>
                  <w:vAlign w:val="center"/>
                </w:tcPr>
                <w:p w14:paraId="1A7D998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强化环境风险监控和管理，建立健全开发区环境风险防控体系。强化突发环境事件应急响应联动机制，保障生态环境安全。编制并持续完善开发区突发环境事件应急预案，关注对周边环境敏感目标影响，足额配备环境应急物资，定期开展应急演练，提升环境风险防控和应急</w:t>
                  </w:r>
                  <w:r>
                    <w:rPr>
                      <w:rFonts w:hint="default" w:ascii="Times New Roman" w:hAnsi="Times New Roman" w:eastAsia="宋体" w:cs="Times New Roman"/>
                      <w:color w:val="auto"/>
                      <w:spacing w:val="-6"/>
                      <w:sz w:val="21"/>
                      <w:szCs w:val="21"/>
                      <w:highlight w:val="none"/>
                      <w:lang w:val="en-US" w:eastAsia="zh-CN"/>
                    </w:rPr>
                    <w:t>响应能力，防控规划实施可能引发的环境风险，保障区域生态环境安全。</w:t>
                  </w:r>
                </w:p>
              </w:tc>
              <w:tc>
                <w:tcPr>
                  <w:tcW w:w="1511" w:type="pct"/>
                  <w:noWrap w:val="0"/>
                  <w:vAlign w:val="center"/>
                </w:tcPr>
                <w:p w14:paraId="3043265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本项目在运营期将严格落实环境风险管控要求，开展环境风险评估，编制并备案突发环境事件应急预案，配备环境应急物资，定期组织应急演练，建立环境风险防控体系，防止污水直排等环境风险。</w:t>
                  </w:r>
                </w:p>
              </w:tc>
              <w:tc>
                <w:tcPr>
                  <w:tcW w:w="522" w:type="pct"/>
                  <w:noWrap w:val="0"/>
                  <w:vAlign w:val="center"/>
                </w:tcPr>
                <w:p w14:paraId="0E9CA3C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5DBB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noWrap w:val="0"/>
                  <w:vAlign w:val="center"/>
                </w:tcPr>
                <w:p w14:paraId="111D4CD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w:t>
                  </w:r>
                </w:p>
              </w:tc>
              <w:tc>
                <w:tcPr>
                  <w:tcW w:w="2593" w:type="pct"/>
                  <w:noWrap w:val="0"/>
                  <w:vAlign w:val="center"/>
                </w:tcPr>
                <w:p w14:paraId="359FB7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持续开展环境影响跟踪评价。建立完善的环境空气、地下水、土壤环境等监控体系，落实环境质量跟踪监测计划，定期开展监测和评估，并根据监测评估结果及时对规划进行优化调整。定期对潜在环境危害进行调查分析、跟踪评价，在《规划》实施过程中，每5年应开展一次环境影响跟踪评价，及时调整优化总体发展布局和相关环保对策措施，实现可持续发展。</w:t>
                  </w:r>
                </w:p>
              </w:tc>
              <w:tc>
                <w:tcPr>
                  <w:tcW w:w="1511" w:type="pct"/>
                  <w:noWrap w:val="0"/>
                  <w:vAlign w:val="center"/>
                </w:tcPr>
                <w:p w14:paraId="05217AB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本项目在运营期将严格落实环境质量跟踪监测计划，建立环境空气、地下水、土壤监控体系，落实跟踪监测计划，定期评估，并根据结果优化环保措施。</w:t>
                  </w:r>
                </w:p>
              </w:tc>
              <w:tc>
                <w:tcPr>
                  <w:tcW w:w="522" w:type="pct"/>
                  <w:noWrap w:val="0"/>
                  <w:vAlign w:val="center"/>
                </w:tcPr>
                <w:p w14:paraId="52CDD2E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0FE6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pct"/>
                  <w:noWrap w:val="0"/>
                  <w:vAlign w:val="center"/>
                </w:tcPr>
                <w:p w14:paraId="04B30FE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w:t>
                  </w:r>
                </w:p>
              </w:tc>
              <w:tc>
                <w:tcPr>
                  <w:tcW w:w="2593" w:type="pct"/>
                  <w:noWrap w:val="0"/>
                  <w:vAlign w:val="center"/>
                </w:tcPr>
                <w:p w14:paraId="36C827B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建立畅通的公众参与平台，及时解决公众提出的环境问题，满足公众合理</w:t>
                  </w:r>
                  <w:r>
                    <w:rPr>
                      <w:rFonts w:hint="default" w:ascii="Times New Roman" w:hAnsi="Times New Roman" w:eastAsia="宋体" w:cs="Times New Roman"/>
                      <w:color w:val="auto"/>
                      <w:spacing w:val="-6"/>
                      <w:sz w:val="21"/>
                      <w:szCs w:val="21"/>
                      <w:highlight w:val="none"/>
                      <w:lang w:val="en-US" w:eastAsia="zh-CN"/>
                    </w:rPr>
                    <w:t>的环保诉求；定期发布开发区企业环境信息，并主动接受社会监督。</w:t>
                  </w:r>
                </w:p>
              </w:tc>
              <w:tc>
                <w:tcPr>
                  <w:tcW w:w="1511" w:type="pct"/>
                  <w:noWrap w:val="0"/>
                  <w:vAlign w:val="center"/>
                </w:tcPr>
                <w:p w14:paraId="6841CC4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本项目将定期公开污染物监测数据、中水回用情况等环境信息，主动接受社会监督。</w:t>
                  </w:r>
                </w:p>
              </w:tc>
              <w:tc>
                <w:tcPr>
                  <w:tcW w:w="522" w:type="pct"/>
                  <w:noWrap w:val="0"/>
                  <w:vAlign w:val="center"/>
                </w:tcPr>
                <w:p w14:paraId="420513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bl>
          <w:p w14:paraId="58DC1705">
            <w:pPr>
              <w:keepNext w:val="0"/>
              <w:keepLines w:val="0"/>
              <w:pageBreakBefore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kern w:val="0"/>
                <w:sz w:val="24"/>
                <w:highlight w:val="none"/>
                <w:lang w:val="en-US" w:eastAsia="zh-CN"/>
              </w:rPr>
            </w:pPr>
          </w:p>
        </w:tc>
      </w:tr>
      <w:tr w14:paraId="5EDDF3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39" w:type="dxa"/>
            <w:noWrap w:val="0"/>
            <w:vAlign w:val="center"/>
          </w:tcPr>
          <w:p w14:paraId="28A00ABA">
            <w:pPr>
              <w:autoSpaceDE w:val="0"/>
              <w:autoSpaceDN w:val="0"/>
              <w:adjustRightInd w:val="0"/>
              <w:snapToGrid w:val="0"/>
              <w:jc w:val="center"/>
              <w:rPr>
                <w:rFonts w:hint="default" w:ascii="Times New Roman" w:hAnsi="Times New Roman" w:cs="Times New Roman"/>
                <w:kern w:val="0"/>
                <w:szCs w:val="21"/>
                <w:highlight w:val="none"/>
              </w:rPr>
            </w:pPr>
            <w:r>
              <w:rPr>
                <w:rFonts w:hint="default" w:ascii="Times New Roman" w:hAnsi="Times New Roman" w:eastAsia="宋体" w:cs="Times New Roman"/>
                <w:b w:val="0"/>
                <w:bCs w:val="0"/>
                <w:color w:val="auto"/>
                <w:kern w:val="0"/>
                <w:sz w:val="24"/>
                <w:highlight w:val="none"/>
              </w:rPr>
              <w:t>其他符合性分析</w:t>
            </w:r>
          </w:p>
        </w:tc>
        <w:tc>
          <w:tcPr>
            <w:tcW w:w="7131" w:type="dxa"/>
            <w:gridSpan w:val="3"/>
            <w:noWrap w:val="0"/>
            <w:vAlign w:val="center"/>
          </w:tcPr>
          <w:p w14:paraId="67427984">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425" w:leftChars="0" w:hanging="425" w:firstLineChars="0"/>
              <w:jc w:val="left"/>
              <w:textAlignment w:val="auto"/>
              <w:rPr>
                <w:rFonts w:hint="eastAsia"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kern w:val="2"/>
                <w:sz w:val="24"/>
                <w:szCs w:val="24"/>
                <w:lang w:val="en-US" w:eastAsia="zh-CN" w:bidi="ar-SA"/>
              </w:rPr>
              <w:t>1.</w:t>
            </w:r>
            <w:r>
              <w:rPr>
                <w:rFonts w:hint="eastAsia" w:cs="Times New Roman"/>
                <w:b/>
                <w:bCs/>
                <w:color w:val="auto"/>
                <w:kern w:val="2"/>
                <w:sz w:val="24"/>
                <w:szCs w:val="24"/>
                <w:lang w:val="en-US" w:eastAsia="zh-CN" w:bidi="ar-SA"/>
              </w:rPr>
              <w:t>3</w:t>
            </w:r>
            <w:r>
              <w:rPr>
                <w:rFonts w:hint="eastAsia" w:ascii="Times New Roman" w:hAnsi="Times New Roman" w:eastAsia="宋体" w:cs="Times New Roman"/>
                <w:b/>
                <w:bCs/>
                <w:color w:val="auto"/>
                <w:sz w:val="24"/>
                <w:highlight w:val="none"/>
                <w:lang w:val="en-US" w:eastAsia="zh-CN"/>
              </w:rPr>
              <w:t>产业政策符合性分析</w:t>
            </w:r>
          </w:p>
          <w:p w14:paraId="214760D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color w:val="auto"/>
                <w:kern w:val="0"/>
                <w:sz w:val="24"/>
                <w:highlight w:val="none"/>
                <w:lang w:val="en-US" w:eastAsia="zh-CN"/>
              </w:rPr>
              <w:t>本项目为生活污水处理项目，属于《产业结构调整指导目录</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2024年本</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》鼓励类</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四十二、环境保护与资源节约综合利用</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中</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3、城镇污水垃圾处理</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和</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10、工业‘三废’循环利用</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，生产工艺、设备均不属于限制类、淘汰类名录之列，同时项目初步设计已经取得了库尔勒市发展和改革局批复，见附件</w:t>
            </w:r>
            <w:r>
              <w:rPr>
                <w:rFonts w:hint="eastAsia" w:cs="Times New Roman"/>
                <w:color w:val="auto"/>
                <w:kern w:val="0"/>
                <w:sz w:val="24"/>
                <w:highlight w:val="none"/>
                <w:lang w:val="en-US" w:eastAsia="zh-CN"/>
              </w:rPr>
              <w:t>2</w:t>
            </w:r>
            <w:r>
              <w:rPr>
                <w:rFonts w:hint="eastAsia" w:ascii="Times New Roman" w:hAnsi="Times New Roman" w:eastAsia="宋体" w:cs="Times New Roman"/>
                <w:color w:val="auto"/>
                <w:kern w:val="0"/>
                <w:sz w:val="24"/>
                <w:highlight w:val="none"/>
                <w:lang w:val="en-US" w:eastAsia="zh-CN"/>
              </w:rPr>
              <w:t>。因此，本项目</w:t>
            </w:r>
            <w:r>
              <w:rPr>
                <w:rFonts w:hint="default" w:ascii="Times New Roman" w:hAnsi="Times New Roman" w:eastAsia="宋体" w:cs="Times New Roman"/>
                <w:color w:val="auto"/>
                <w:kern w:val="0"/>
                <w:sz w:val="24"/>
                <w:highlight w:val="none"/>
                <w:lang w:val="en-US" w:eastAsia="zh-CN"/>
              </w:rPr>
              <w:t>符合国家产业政策。</w:t>
            </w:r>
          </w:p>
          <w:p w14:paraId="17F3F0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jc w:val="left"/>
              <w:textAlignment w:val="auto"/>
              <w:rPr>
                <w:rFonts w:hint="default" w:ascii="Times New Roman" w:hAnsi="Times New Roman" w:eastAsia="宋体" w:cs="Times New Roman"/>
                <w:b/>
                <w:bCs/>
                <w:color w:val="auto"/>
                <w:kern w:val="2"/>
                <w:sz w:val="24"/>
                <w:szCs w:val="24"/>
                <w:lang w:val="en-US" w:eastAsia="zh-CN" w:bidi="ar-SA"/>
              </w:rPr>
            </w:pPr>
            <w:r>
              <w:rPr>
                <w:rFonts w:hint="eastAsia" w:cs="Times New Roman"/>
                <w:b/>
                <w:bCs/>
                <w:color w:val="auto"/>
                <w:kern w:val="2"/>
                <w:sz w:val="24"/>
                <w:szCs w:val="24"/>
                <w:lang w:val="en-US" w:eastAsia="zh-CN" w:bidi="ar-SA"/>
              </w:rPr>
              <w:t>1.4</w:t>
            </w:r>
            <w:r>
              <w:rPr>
                <w:rFonts w:hint="default" w:ascii="Times New Roman" w:hAnsi="Times New Roman" w:eastAsia="宋体" w:cs="Times New Roman"/>
                <w:b/>
                <w:bCs/>
                <w:color w:val="auto"/>
                <w:kern w:val="2"/>
                <w:sz w:val="24"/>
                <w:szCs w:val="24"/>
                <w:lang w:val="en-US" w:eastAsia="zh-CN" w:bidi="ar-SA"/>
              </w:rPr>
              <w:t>规划符合性分析</w:t>
            </w:r>
          </w:p>
          <w:p w14:paraId="39AFAA3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本项目</w:t>
            </w:r>
            <w:r>
              <w:rPr>
                <w:rFonts w:hint="eastAsia" w:ascii="Times New Roman" w:hAnsi="Times New Roman" w:eastAsia="宋体" w:cs="Times New Roman"/>
                <w:color w:val="auto"/>
                <w:kern w:val="0"/>
                <w:sz w:val="24"/>
                <w:highlight w:val="none"/>
                <w:lang w:val="en-US" w:eastAsia="zh-CN"/>
              </w:rPr>
              <w:t>规划</w:t>
            </w:r>
            <w:r>
              <w:rPr>
                <w:rFonts w:hint="default" w:ascii="Times New Roman" w:hAnsi="Times New Roman" w:eastAsia="宋体" w:cs="Times New Roman"/>
                <w:color w:val="auto"/>
                <w:kern w:val="0"/>
                <w:sz w:val="24"/>
                <w:highlight w:val="none"/>
                <w:lang w:val="en-US" w:eastAsia="zh-CN"/>
              </w:rPr>
              <w:t>符合性见表1-</w:t>
            </w:r>
            <w:r>
              <w:rPr>
                <w:rFonts w:hint="eastAsia" w:ascii="Times New Roman" w:hAnsi="Times New Roman" w:eastAsia="宋体" w:cs="Times New Roman"/>
                <w:color w:val="auto"/>
                <w:kern w:val="0"/>
                <w:sz w:val="24"/>
                <w:highlight w:val="none"/>
                <w:lang w:val="en-US" w:eastAsia="zh-CN"/>
              </w:rPr>
              <w:t>3：</w:t>
            </w:r>
          </w:p>
          <w:p w14:paraId="5E3EDD06">
            <w:pPr>
              <w:pStyle w:val="8"/>
              <w:jc w:val="center"/>
              <w:rPr>
                <w:rFonts w:hint="eastAsia" w:ascii="Times New Roman" w:hAnsi="Times New Roman" w:eastAsia="宋体" w:cs="Times New Roman"/>
                <w:b/>
                <w:bCs/>
                <w:kern w:val="2"/>
                <w:sz w:val="21"/>
                <w:szCs w:val="21"/>
                <w:lang w:val="en-US" w:eastAsia="zh-CN" w:bidi="ar-SA"/>
              </w:rPr>
            </w:pPr>
            <w:r>
              <w:rPr>
                <w:rFonts w:ascii="Times New Roman" w:hAnsi="Times New Roman" w:eastAsia="宋体" w:cs="Times New Roman"/>
                <w:b/>
                <w:bCs/>
                <w:kern w:val="2"/>
                <w:sz w:val="21"/>
                <w:szCs w:val="21"/>
                <w:lang w:val="en-US" w:eastAsia="zh-CN" w:bidi="ar-SA"/>
              </w:rPr>
              <w:t xml:space="preserve">表 </w:t>
            </w:r>
            <w:r>
              <w:rPr>
                <w:rFonts w:ascii="Times New Roman" w:hAnsi="Times New Roman" w:eastAsia="宋体" w:cs="Times New Roman"/>
                <w:b/>
                <w:bCs/>
                <w:kern w:val="2"/>
                <w:sz w:val="21"/>
                <w:szCs w:val="21"/>
                <w:lang w:val="en-US" w:eastAsia="zh-CN" w:bidi="ar-SA"/>
              </w:rPr>
              <w:fldChar w:fldCharType="begin"/>
            </w:r>
            <w:r>
              <w:rPr>
                <w:rFonts w:ascii="Times New Roman" w:hAnsi="Times New Roman" w:eastAsia="宋体" w:cs="Times New Roman"/>
                <w:b/>
                <w:bCs/>
                <w:kern w:val="2"/>
                <w:sz w:val="21"/>
                <w:szCs w:val="21"/>
                <w:lang w:val="en-US" w:eastAsia="zh-CN" w:bidi="ar-SA"/>
              </w:rPr>
              <w:instrText xml:space="preserve"> STYLEREF 1 \s \* ARABIC </w:instrText>
            </w:r>
            <w:r>
              <w:rPr>
                <w:rFonts w:ascii="Times New Roman" w:hAnsi="Times New Roman" w:eastAsia="宋体" w:cs="Times New Roman"/>
                <w:b/>
                <w:bCs/>
                <w:kern w:val="2"/>
                <w:sz w:val="21"/>
                <w:szCs w:val="21"/>
                <w:lang w:val="en-US" w:eastAsia="zh-CN" w:bidi="ar-SA"/>
              </w:rPr>
              <w:fldChar w:fldCharType="separate"/>
            </w:r>
            <w:r>
              <w:rPr>
                <w:rFonts w:ascii="Times New Roman" w:hAnsi="Times New Roman" w:eastAsia="宋体" w:cs="Times New Roman"/>
                <w:b/>
                <w:bCs/>
                <w:kern w:val="2"/>
                <w:sz w:val="21"/>
                <w:szCs w:val="21"/>
                <w:lang w:val="en-US" w:eastAsia="zh-CN" w:bidi="ar-SA"/>
              </w:rPr>
              <w:t>1</w:t>
            </w:r>
            <w:r>
              <w:rPr>
                <w:rFonts w:ascii="Times New Roman" w:hAnsi="Times New Roman" w:eastAsia="宋体" w:cs="Times New Roman"/>
                <w:b/>
                <w:bCs/>
                <w:kern w:val="2"/>
                <w:sz w:val="21"/>
                <w:szCs w:val="21"/>
                <w:lang w:val="en-US" w:eastAsia="zh-CN" w:bidi="ar-SA"/>
              </w:rPr>
              <w:fldChar w:fldCharType="end"/>
            </w:r>
            <w:r>
              <w:rPr>
                <w:rFonts w:hint="eastAsia" w:ascii="Times New Roman" w:hAnsi="Times New Roman" w:eastAsia="宋体" w:cs="Times New Roman"/>
                <w:b/>
                <w:bCs/>
                <w:kern w:val="2"/>
                <w:sz w:val="21"/>
                <w:szCs w:val="21"/>
                <w:lang w:val="en-US" w:eastAsia="zh-CN" w:bidi="ar-SA"/>
              </w:rPr>
              <w:t>-</w:t>
            </w:r>
            <w:r>
              <w:rPr>
                <w:rFonts w:ascii="Times New Roman" w:hAnsi="Times New Roman" w:eastAsia="宋体" w:cs="Times New Roman"/>
                <w:b/>
                <w:bCs/>
                <w:kern w:val="2"/>
                <w:sz w:val="21"/>
                <w:szCs w:val="21"/>
                <w:lang w:val="en-US" w:eastAsia="zh-CN" w:bidi="ar-SA"/>
              </w:rPr>
              <w:fldChar w:fldCharType="begin"/>
            </w:r>
            <w:r>
              <w:rPr>
                <w:rFonts w:ascii="Times New Roman" w:hAnsi="Times New Roman" w:eastAsia="宋体" w:cs="Times New Roman"/>
                <w:b/>
                <w:bCs/>
                <w:kern w:val="2"/>
                <w:sz w:val="21"/>
                <w:szCs w:val="21"/>
                <w:lang w:val="en-US" w:eastAsia="zh-CN" w:bidi="ar-SA"/>
              </w:rPr>
              <w:instrText xml:space="preserve"> SEQ 表 \* ARABIC \s 1 </w:instrText>
            </w:r>
            <w:r>
              <w:rPr>
                <w:rFonts w:ascii="Times New Roman" w:hAnsi="Times New Roman" w:eastAsia="宋体" w:cs="Times New Roman"/>
                <w:b/>
                <w:bCs/>
                <w:kern w:val="2"/>
                <w:sz w:val="21"/>
                <w:szCs w:val="21"/>
                <w:lang w:val="en-US" w:eastAsia="zh-CN" w:bidi="ar-SA"/>
              </w:rPr>
              <w:fldChar w:fldCharType="separate"/>
            </w:r>
            <w:r>
              <w:rPr>
                <w:rFonts w:ascii="Times New Roman" w:hAnsi="Times New Roman" w:eastAsia="宋体" w:cs="Times New Roman"/>
                <w:b/>
                <w:bCs/>
                <w:kern w:val="2"/>
                <w:sz w:val="21"/>
                <w:szCs w:val="21"/>
                <w:lang w:val="en-US" w:eastAsia="zh-CN" w:bidi="ar-SA"/>
              </w:rPr>
              <w:t>3</w:t>
            </w:r>
            <w:r>
              <w:rPr>
                <w:rFonts w:ascii="Times New Roman" w:hAnsi="Times New Roman" w:eastAsia="宋体" w:cs="Times New Roman"/>
                <w:b/>
                <w:bCs/>
                <w:kern w:val="2"/>
                <w:sz w:val="21"/>
                <w:szCs w:val="21"/>
                <w:lang w:val="en-US" w:eastAsia="zh-CN" w:bidi="ar-SA"/>
              </w:rPr>
              <w:fldChar w:fldCharType="end"/>
            </w:r>
            <w:r>
              <w:rPr>
                <w:rFonts w:hint="eastAsia" w:ascii="Times New Roman" w:hAnsi="Times New Roman" w:eastAsia="宋体" w:cs="Times New Roman"/>
                <w:b/>
                <w:bCs/>
                <w:kern w:val="2"/>
                <w:sz w:val="21"/>
                <w:szCs w:val="21"/>
                <w:lang w:val="en-US" w:eastAsia="zh-CN" w:bidi="ar-SA"/>
              </w:rPr>
              <w:t>规划符合性分析</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2157"/>
              <w:gridCol w:w="3198"/>
              <w:gridCol w:w="551"/>
            </w:tblGrid>
            <w:tr w14:paraId="142D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pct"/>
                  <w:noWrap w:val="0"/>
                  <w:vAlign w:val="center"/>
                </w:tcPr>
                <w:p w14:paraId="599EF3C4">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文件</w:t>
                  </w:r>
                </w:p>
              </w:tc>
              <w:tc>
                <w:tcPr>
                  <w:tcW w:w="1561" w:type="pct"/>
                  <w:noWrap w:val="0"/>
                  <w:vAlign w:val="center"/>
                </w:tcPr>
                <w:p w14:paraId="251613DB">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环境管理政策要求</w:t>
                  </w:r>
                </w:p>
              </w:tc>
              <w:tc>
                <w:tcPr>
                  <w:tcW w:w="2315" w:type="pct"/>
                  <w:noWrap w:val="0"/>
                  <w:vAlign w:val="center"/>
                </w:tcPr>
                <w:p w14:paraId="5D37F01A">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本项目情况</w:t>
                  </w:r>
                </w:p>
              </w:tc>
              <w:tc>
                <w:tcPr>
                  <w:tcW w:w="398" w:type="pct"/>
                  <w:noWrap w:val="0"/>
                  <w:vAlign w:val="center"/>
                </w:tcPr>
                <w:p w14:paraId="0EB3FCAA">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符合性</w:t>
                  </w:r>
                </w:p>
              </w:tc>
            </w:tr>
            <w:tr w14:paraId="12E8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pct"/>
                  <w:vMerge w:val="restart"/>
                  <w:noWrap w:val="0"/>
                  <w:vAlign w:val="center"/>
                </w:tcPr>
                <w:p w14:paraId="234F8250">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《巴音郭楞蒙古自治州生态环境</w:t>
                  </w:r>
                  <w:r>
                    <w:rPr>
                      <w:rFonts w:hint="eastAsia" w:cs="Times New Roman"/>
                      <w:kern w:val="0"/>
                      <w:szCs w:val="21"/>
                      <w:lang w:eastAsia="zh-CN"/>
                    </w:rPr>
                    <w:t>“</w:t>
                  </w:r>
                  <w:r>
                    <w:rPr>
                      <w:rFonts w:hint="default" w:ascii="Times New Roman" w:hAnsi="Times New Roman" w:cs="Times New Roman"/>
                      <w:kern w:val="0"/>
                      <w:szCs w:val="21"/>
                    </w:rPr>
                    <w:t>十四五</w:t>
                  </w:r>
                  <w:r>
                    <w:rPr>
                      <w:rFonts w:hint="eastAsia" w:cs="Times New Roman"/>
                      <w:kern w:val="0"/>
                      <w:szCs w:val="21"/>
                      <w:lang w:eastAsia="zh-CN"/>
                    </w:rPr>
                    <w:t>“</w:t>
                  </w:r>
                  <w:r>
                    <w:rPr>
                      <w:rFonts w:hint="default" w:ascii="Times New Roman" w:hAnsi="Times New Roman" w:cs="Times New Roman"/>
                      <w:kern w:val="0"/>
                      <w:szCs w:val="21"/>
                    </w:rPr>
                    <w:t>规划》</w:t>
                  </w:r>
                </w:p>
              </w:tc>
              <w:tc>
                <w:tcPr>
                  <w:tcW w:w="1561" w:type="pct"/>
                  <w:noWrap w:val="0"/>
                  <w:vAlign w:val="center"/>
                </w:tcPr>
                <w:p w14:paraId="7CB897D7">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lang w:val="en-US" w:eastAsia="zh-CN"/>
                    </w:rPr>
                  </w:pPr>
                  <w:r>
                    <w:rPr>
                      <w:rFonts w:hint="default" w:ascii="Times New Roman" w:hAnsi="Times New Roman" w:cs="Times New Roman"/>
                      <w:kern w:val="0"/>
                      <w:szCs w:val="21"/>
                      <w:lang w:eastAsia="zh-CN"/>
                    </w:rPr>
                    <w:t>加强固体废物处置。加强固体废物源头减量和资源化利用，最大限度减少填埋量。持续开展固体废物非法转移和倾倒排查整治，推动开展塑料行业专项清理，持续推进废塑料加工利用行业整治，加强废塑料回收、利用、处置等环节的环境监管，降低污染风险。加强工业固体废物堆存场所环境整治。持续推进工业固体废物综合利用和环境整治，不断提高大宗工业固体废物资源化</w:t>
                  </w:r>
                  <w:r>
                    <w:rPr>
                      <w:rFonts w:hint="default" w:ascii="Times New Roman" w:hAnsi="Times New Roman" w:cs="Times New Roman"/>
                      <w:kern w:val="0"/>
                      <w:szCs w:val="21"/>
                      <w:lang w:val="en-US" w:eastAsia="zh-CN"/>
                    </w:rPr>
                    <w:t>利用水平。</w:t>
                  </w:r>
                </w:p>
              </w:tc>
              <w:tc>
                <w:tcPr>
                  <w:tcW w:w="2315" w:type="pct"/>
                  <w:noWrap w:val="0"/>
                  <w:vAlign w:val="center"/>
                </w:tcPr>
                <w:p w14:paraId="12726936">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lang w:val="en-US" w:eastAsia="zh-CN"/>
                    </w:rPr>
                  </w:pPr>
                  <w:r>
                    <w:rPr>
                      <w:rFonts w:hint="default" w:ascii="Times New Roman" w:hAnsi="Times New Roman" w:cs="Times New Roman"/>
                      <w:kern w:val="0"/>
                      <w:szCs w:val="21"/>
                      <w:lang w:val="en-US" w:eastAsia="zh-CN"/>
                    </w:rPr>
                    <w:t>本项目固体废物分类处置：污泥经脱水至含水率≤60%后外运填埋，栅渣、沉砂、生活垃圾由环卫部门清运，废包装袋外售废品回收站，危险废物委托有资质单位处置，各类固废均得到妥善处置。</w:t>
                  </w:r>
                </w:p>
              </w:tc>
              <w:tc>
                <w:tcPr>
                  <w:tcW w:w="398" w:type="pct"/>
                  <w:noWrap w:val="0"/>
                  <w:vAlign w:val="center"/>
                </w:tcPr>
                <w:p w14:paraId="1F95B934">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lang w:val="en-US" w:eastAsia="zh-CN"/>
                    </w:rPr>
                  </w:pPr>
                  <w:r>
                    <w:rPr>
                      <w:rFonts w:hint="default" w:ascii="Times New Roman" w:hAnsi="Times New Roman" w:cs="Times New Roman"/>
                      <w:kern w:val="0"/>
                      <w:szCs w:val="21"/>
                      <w:lang w:val="en-US" w:eastAsia="zh-CN"/>
                    </w:rPr>
                    <w:t>符合</w:t>
                  </w:r>
                </w:p>
              </w:tc>
            </w:tr>
            <w:tr w14:paraId="7C18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pct"/>
                  <w:vMerge w:val="continue"/>
                  <w:noWrap w:val="0"/>
                  <w:vAlign w:val="center"/>
                </w:tcPr>
                <w:p w14:paraId="5FA063D6">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p>
              </w:tc>
              <w:tc>
                <w:tcPr>
                  <w:tcW w:w="1561" w:type="pct"/>
                  <w:shd w:val="clear" w:color="auto" w:fill="auto"/>
                  <w:noWrap w:val="0"/>
                  <w:vAlign w:val="center"/>
                </w:tcPr>
                <w:p w14:paraId="3EF7BA9E">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强化大气污染分区控制和分类管理，加强污染源解析，实行差异化控制要求，制定有针对性的污染防治措施。库尔勒等大气复合型污染区域，重点针对不同时段PM</w:t>
                  </w:r>
                  <w:r>
                    <w:rPr>
                      <w:rFonts w:hint="default" w:ascii="Times New Roman" w:hAnsi="Times New Roman" w:cs="Times New Roman"/>
                      <w:vertAlign w:val="subscript"/>
                      <w:lang w:val="en-US" w:eastAsia="zh-CN"/>
                    </w:rPr>
                    <w:t>10</w:t>
                  </w:r>
                  <w:r>
                    <w:rPr>
                      <w:rFonts w:hint="default" w:ascii="Times New Roman" w:hAnsi="Times New Roman" w:cs="Times New Roman"/>
                      <w:lang w:val="en-US" w:eastAsia="zh-CN"/>
                    </w:rPr>
                    <w:t>、PM</w:t>
                  </w:r>
                  <w:r>
                    <w:rPr>
                      <w:rFonts w:hint="default" w:ascii="Times New Roman" w:hAnsi="Times New Roman" w:cs="Times New Roman"/>
                      <w:vertAlign w:val="subscript"/>
                      <w:lang w:val="en-US" w:eastAsia="zh-CN"/>
                    </w:rPr>
                    <w:t>2.5</w:t>
                  </w:r>
                  <w:r>
                    <w:rPr>
                      <w:rFonts w:hint="default" w:ascii="Times New Roman" w:hAnsi="Times New Roman" w:cs="Times New Roman"/>
                      <w:lang w:val="en-US" w:eastAsia="zh-CN"/>
                    </w:rPr>
                    <w:t>、O</w:t>
                  </w:r>
                  <w:r>
                    <w:rPr>
                      <w:rFonts w:hint="default" w:ascii="Times New Roman" w:hAnsi="Times New Roman" w:cs="Times New Roman"/>
                      <w:vertAlign w:val="subscript"/>
                      <w:lang w:val="en-US" w:eastAsia="zh-CN"/>
                    </w:rPr>
                    <w:t>3</w:t>
                  </w:r>
                  <w:r>
                    <w:rPr>
                      <w:rFonts w:hint="default" w:ascii="Times New Roman" w:hAnsi="Times New Roman" w:cs="Times New Roman"/>
                      <w:lang w:val="en-US" w:eastAsia="zh-CN"/>
                    </w:rPr>
                    <w:t>等突出问题，加强采暖季燃煤污染控制以及机动车、VOCs（挥发性有机物）污染防治；库尉轮地区及且若区域沙尘污染严重区，重点做好防风固沙、生态环境保护修复等工作，同时持续加强传统煤烟型、扬尘污染的控制，实现空气质量持续改善。</w:t>
                  </w:r>
                </w:p>
              </w:tc>
              <w:tc>
                <w:tcPr>
                  <w:tcW w:w="2315" w:type="pct"/>
                  <w:shd w:val="clear" w:color="auto" w:fill="auto"/>
                  <w:noWrap w:val="0"/>
                  <w:vAlign w:val="center"/>
                </w:tcPr>
                <w:p w14:paraId="7CD21D4C">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本项目运营期主要大气污染物为恶臭气体，不涉及燃煤污染和VOCs排放；施工期严格落实扬尘防治措施；冬季采用电采暖，不设燃煤锅炉，从源头减少大气污染物排放。</w:t>
                  </w:r>
                </w:p>
              </w:tc>
              <w:tc>
                <w:tcPr>
                  <w:tcW w:w="398" w:type="pct"/>
                  <w:shd w:val="clear" w:color="auto" w:fill="auto"/>
                  <w:noWrap w:val="0"/>
                  <w:vAlign w:val="center"/>
                </w:tcPr>
                <w:p w14:paraId="1749694C">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符合</w:t>
                  </w:r>
                </w:p>
              </w:tc>
            </w:tr>
            <w:tr w14:paraId="3B81E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pct"/>
                  <w:vMerge w:val="continue"/>
                  <w:noWrap w:val="0"/>
                  <w:vAlign w:val="center"/>
                </w:tcPr>
                <w:p w14:paraId="2C0EBF78">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p>
              </w:tc>
              <w:tc>
                <w:tcPr>
                  <w:tcW w:w="1561" w:type="pct"/>
                  <w:shd w:val="clear" w:color="auto" w:fill="auto"/>
                  <w:noWrap w:val="0"/>
                  <w:vAlign w:val="center"/>
                </w:tcPr>
                <w:p w14:paraId="664B13BC">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加强环境噪声污染防控。加强噪声污染源监管，继续强化和深入推进交通运输、建筑施工、社会生活、工业企业、机场周边噪声污染防治，推进工业企业噪声纳入排污许可管理。优化重点区域声环境质量监测点位，加强城市环境、道路交通、功能区噪声例行监测与评价，推动库尔勒市功能区声环境质量自动监测，强化声环境功能区管理，适时调整完善声环境功能区。</w:t>
                  </w:r>
                </w:p>
              </w:tc>
              <w:tc>
                <w:tcPr>
                  <w:tcW w:w="2315" w:type="pct"/>
                  <w:shd w:val="clear" w:color="auto" w:fill="auto"/>
                  <w:noWrap w:val="0"/>
                  <w:vAlign w:val="center"/>
                </w:tcPr>
                <w:p w14:paraId="1CC212C6">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本项目施工期合理安排作业时间，选用低噪声设备；运营期厂界噪声满足《工业企业厂界环境噪声排放标准》（GB12348-2008）3类标准要求；运营期依法申领排污许可证，将噪声纳入排污许可管理。</w:t>
                  </w:r>
                </w:p>
              </w:tc>
              <w:tc>
                <w:tcPr>
                  <w:tcW w:w="398" w:type="pct"/>
                  <w:shd w:val="clear" w:color="auto" w:fill="auto"/>
                  <w:noWrap w:val="0"/>
                  <w:vAlign w:val="center"/>
                </w:tcPr>
                <w:p w14:paraId="5EF79ABC">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符合</w:t>
                  </w:r>
                </w:p>
              </w:tc>
            </w:tr>
            <w:tr w14:paraId="3DEF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pct"/>
                  <w:vMerge w:val="restart"/>
                  <w:noWrap w:val="0"/>
                  <w:vAlign w:val="center"/>
                </w:tcPr>
                <w:p w14:paraId="72F54992">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《新疆维吾尔自治区国民经济和社会发展第十四个五年规划和2035年远景目标纲要》</w:t>
                  </w:r>
                </w:p>
              </w:tc>
              <w:tc>
                <w:tcPr>
                  <w:tcW w:w="1561" w:type="pct"/>
                  <w:shd w:val="clear" w:color="auto" w:fill="auto"/>
                  <w:noWrap w:val="0"/>
                  <w:vAlign w:val="center"/>
                </w:tcPr>
                <w:p w14:paraId="3F1CF516">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加强生态文明建设</w:t>
                  </w:r>
                  <w:r>
                    <w:rPr>
                      <w:rFonts w:hint="eastAsia" w:cs="Times New Roman"/>
                      <w:lang w:val="en-US" w:eastAsia="zh-CN"/>
                    </w:rPr>
                    <w:t>，</w:t>
                  </w:r>
                  <w:r>
                    <w:rPr>
                      <w:rFonts w:hint="default" w:ascii="Times New Roman" w:hAnsi="Times New Roman" w:cs="Times New Roman"/>
                      <w:lang w:val="en-US" w:eastAsia="zh-CN"/>
                    </w:rPr>
                    <w:t>建设美丽新疆：持续加强生态环境保护，推进资源节约高效利用。</w:t>
                  </w:r>
                </w:p>
              </w:tc>
              <w:tc>
                <w:tcPr>
                  <w:tcW w:w="2315" w:type="pct"/>
                  <w:shd w:val="clear" w:color="auto" w:fill="auto"/>
                  <w:noWrap w:val="0"/>
                  <w:vAlign w:val="center"/>
                </w:tcPr>
                <w:p w14:paraId="078F48D6">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本项目为城镇生活污水处理厂，建成后可集中处理石油石化产业园的生活污水，有效削减区域COD、氨氮等水污染物排放量，改善区域水环境质量，是落实</w:t>
                  </w:r>
                  <w:r>
                    <w:rPr>
                      <w:rFonts w:hint="eastAsia" w:cs="Times New Roman"/>
                      <w:lang w:val="en-US" w:eastAsia="zh-CN"/>
                    </w:rPr>
                    <w:t>“</w:t>
                  </w:r>
                  <w:r>
                    <w:rPr>
                      <w:rFonts w:hint="default" w:ascii="Times New Roman" w:hAnsi="Times New Roman" w:cs="Times New Roman"/>
                      <w:lang w:val="en-US" w:eastAsia="zh-CN"/>
                    </w:rPr>
                    <w:t>持续加强生态环境保护</w:t>
                  </w:r>
                  <w:r>
                    <w:rPr>
                      <w:rFonts w:hint="eastAsia" w:cs="Times New Roman"/>
                      <w:lang w:val="en-US" w:eastAsia="zh-CN"/>
                    </w:rPr>
                    <w:t>“</w:t>
                  </w:r>
                  <w:r>
                    <w:rPr>
                      <w:rFonts w:hint="default" w:ascii="Times New Roman" w:hAnsi="Times New Roman" w:cs="Times New Roman"/>
                      <w:lang w:val="en-US" w:eastAsia="zh-CN"/>
                    </w:rPr>
                    <w:t>要求的具体举措</w:t>
                  </w:r>
                  <w:r>
                    <w:rPr>
                      <w:rFonts w:hint="eastAsia" w:cs="Times New Roman"/>
                      <w:lang w:val="en-US" w:eastAsia="zh-CN"/>
                    </w:rPr>
                    <w:t>。</w:t>
                  </w:r>
                </w:p>
              </w:tc>
              <w:tc>
                <w:tcPr>
                  <w:tcW w:w="398" w:type="pct"/>
                  <w:shd w:val="clear" w:color="auto" w:fill="auto"/>
                  <w:noWrap w:val="0"/>
                  <w:vAlign w:val="center"/>
                </w:tcPr>
                <w:p w14:paraId="2AD76D53">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符合</w:t>
                  </w:r>
                </w:p>
              </w:tc>
            </w:tr>
            <w:tr w14:paraId="6EB2A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pct"/>
                  <w:vMerge w:val="continue"/>
                  <w:noWrap w:val="0"/>
                  <w:vAlign w:val="center"/>
                </w:tcPr>
                <w:p w14:paraId="77445946">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p>
              </w:tc>
              <w:tc>
                <w:tcPr>
                  <w:tcW w:w="1561" w:type="pct"/>
                  <w:shd w:val="clear" w:color="auto" w:fill="auto"/>
                  <w:noWrap w:val="0"/>
                  <w:vAlign w:val="center"/>
                </w:tcPr>
                <w:p w14:paraId="62A590F7">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推进资源节约高效利用：坚持资源节约优先，提高资源利用效率</w:t>
                  </w:r>
                </w:p>
              </w:tc>
              <w:tc>
                <w:tcPr>
                  <w:tcW w:w="2315" w:type="pct"/>
                  <w:shd w:val="clear" w:color="auto" w:fill="auto"/>
                  <w:noWrap w:val="0"/>
                  <w:vAlign w:val="center"/>
                </w:tcPr>
                <w:p w14:paraId="6E1C387A">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本项目设计出水水质执行《城镇污水处理厂污染物排放标准》（GB18918-2002）</w:t>
                  </w:r>
                  <w:r>
                    <w:rPr>
                      <w:rFonts w:hint="eastAsia" w:cs="Times New Roman"/>
                      <w:lang w:val="en-US" w:eastAsia="zh-CN"/>
                    </w:rPr>
                    <w:t>及其修改单</w:t>
                  </w:r>
                  <w:r>
                    <w:rPr>
                      <w:rFonts w:hint="default" w:ascii="Times New Roman" w:hAnsi="Times New Roman" w:cs="Times New Roman"/>
                      <w:lang w:val="en-US" w:eastAsia="zh-CN"/>
                    </w:rPr>
                    <w:t>一级A标准，尾水全部回用——灌溉期用于园区绿化灌溉，非灌溉期供给园区企业回用或储存至现状中水库，实现污水资源化利用和废水零排放，再生水回用率100%，符合纲要关于推进资源节约高效利用的要求。</w:t>
                  </w:r>
                </w:p>
              </w:tc>
              <w:tc>
                <w:tcPr>
                  <w:tcW w:w="398" w:type="pct"/>
                  <w:shd w:val="clear" w:color="auto" w:fill="auto"/>
                  <w:noWrap w:val="0"/>
                  <w:vAlign w:val="center"/>
                </w:tcPr>
                <w:p w14:paraId="17E8FBF0">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符合</w:t>
                  </w:r>
                </w:p>
              </w:tc>
            </w:tr>
            <w:tr w14:paraId="1677A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pct"/>
                  <w:vMerge w:val="continue"/>
                  <w:noWrap w:val="0"/>
                  <w:vAlign w:val="center"/>
                </w:tcPr>
                <w:p w14:paraId="3435CC78">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p>
              </w:tc>
              <w:tc>
                <w:tcPr>
                  <w:tcW w:w="1561" w:type="pct"/>
                  <w:shd w:val="clear" w:color="auto" w:fill="auto"/>
                  <w:noWrap w:val="0"/>
                  <w:vAlign w:val="center"/>
                </w:tcPr>
                <w:p w14:paraId="069B3D3F">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推动工业强基增效和转型升级 提升新型工业化发展水平：推动传统产业转型升级，推动产业集群发展。</w:t>
                  </w:r>
                </w:p>
              </w:tc>
              <w:tc>
                <w:tcPr>
                  <w:tcW w:w="2315" w:type="pct"/>
                  <w:shd w:val="clear" w:color="auto" w:fill="auto"/>
                  <w:noWrap w:val="0"/>
                  <w:vAlign w:val="center"/>
                </w:tcPr>
                <w:p w14:paraId="21D172D6">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位于库尔勒上库高新技术产业开发区石油石化产业园，属于园区配套的环保基础设施。项目的实施将进一步完善园区污水处理及再生水回用设施，提升园区水资源循环利用水平，为石油化工产业发展提供基础支撑，符合纲要关于推动产业集群发展的要求。</w:t>
                  </w:r>
                </w:p>
              </w:tc>
              <w:tc>
                <w:tcPr>
                  <w:tcW w:w="398" w:type="pct"/>
                  <w:shd w:val="clear" w:color="auto" w:fill="auto"/>
                  <w:noWrap w:val="0"/>
                  <w:vAlign w:val="center"/>
                </w:tcPr>
                <w:p w14:paraId="1B618B2B">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符合</w:t>
                  </w:r>
                </w:p>
              </w:tc>
            </w:tr>
            <w:tr w14:paraId="64DE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pct"/>
                  <w:vMerge w:val="continue"/>
                  <w:noWrap w:val="0"/>
                  <w:vAlign w:val="center"/>
                </w:tcPr>
                <w:p w14:paraId="52783F11">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p>
              </w:tc>
              <w:tc>
                <w:tcPr>
                  <w:tcW w:w="1561" w:type="pct"/>
                  <w:shd w:val="clear" w:color="auto" w:fill="auto"/>
                  <w:noWrap w:val="0"/>
                  <w:vAlign w:val="center"/>
                </w:tcPr>
                <w:p w14:paraId="5542EE4A">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加快推进新型城镇化 全面提升城镇化质量：提升城市综合承载能力</w:t>
                  </w:r>
                </w:p>
              </w:tc>
              <w:tc>
                <w:tcPr>
                  <w:tcW w:w="2315" w:type="pct"/>
                  <w:shd w:val="clear" w:color="auto" w:fill="auto"/>
                  <w:noWrap w:val="0"/>
                  <w:vAlign w:val="center"/>
                </w:tcPr>
                <w:p w14:paraId="0FD63D1C">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污水处理设施是城市基础设施的重要组成部分，本项目的建设将有效提升库尔勒上库高新区石油石化产业园的污水收集处理能力和再生水供给能力，完善园区基础设施配套，增强园区的综合承载力和吸引力，符合纲要关于提升城市综合承载能力的要求</w:t>
                  </w:r>
                  <w:r>
                    <w:rPr>
                      <w:rFonts w:hint="eastAsia" w:cs="Times New Roman"/>
                      <w:lang w:val="en-US" w:eastAsia="zh-CN"/>
                    </w:rPr>
                    <w:t>。</w:t>
                  </w:r>
                </w:p>
              </w:tc>
              <w:tc>
                <w:tcPr>
                  <w:tcW w:w="398" w:type="pct"/>
                  <w:shd w:val="clear" w:color="auto" w:fill="auto"/>
                  <w:noWrap w:val="0"/>
                  <w:vAlign w:val="center"/>
                </w:tcPr>
                <w:p w14:paraId="2142FA2B">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符合</w:t>
                  </w:r>
                </w:p>
              </w:tc>
            </w:tr>
            <w:tr w14:paraId="46EC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pct"/>
                  <w:vMerge w:val="restart"/>
                  <w:noWrap w:val="0"/>
                  <w:vAlign w:val="center"/>
                </w:tcPr>
                <w:p w14:paraId="095BA49F">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r>
                    <w:rPr>
                      <w:rFonts w:hint="default" w:ascii="Times New Roman" w:hAnsi="Times New Roman" w:cs="Times New Roman"/>
                    </w:rPr>
                    <w:t>《新疆维吾尔自治区</w:t>
                  </w:r>
                  <w:r>
                    <w:rPr>
                      <w:rFonts w:hint="eastAsia" w:cs="Times New Roman"/>
                      <w:lang w:val="en-US" w:eastAsia="zh-CN"/>
                    </w:rPr>
                    <w:t>生态</w:t>
                  </w:r>
                  <w:r>
                    <w:rPr>
                      <w:rFonts w:hint="default" w:ascii="Times New Roman" w:hAnsi="Times New Roman" w:cs="Times New Roman"/>
                    </w:rPr>
                    <w:t>环境保护</w:t>
                  </w:r>
                  <w:r>
                    <w:rPr>
                      <w:rFonts w:hint="eastAsia" w:cs="Times New Roman"/>
                      <w:lang w:eastAsia="zh-CN"/>
                    </w:rPr>
                    <w:t>“</w:t>
                  </w:r>
                  <w:r>
                    <w:rPr>
                      <w:rFonts w:hint="default" w:ascii="Times New Roman" w:hAnsi="Times New Roman" w:cs="Times New Roman"/>
                    </w:rPr>
                    <w:t>十四五</w:t>
                  </w:r>
                  <w:r>
                    <w:rPr>
                      <w:rFonts w:hint="eastAsia" w:cs="Times New Roman"/>
                      <w:lang w:eastAsia="zh-CN"/>
                    </w:rPr>
                    <w:t>“</w:t>
                  </w:r>
                  <w:r>
                    <w:rPr>
                      <w:rFonts w:hint="default" w:ascii="Times New Roman" w:hAnsi="Times New Roman" w:cs="Times New Roman"/>
                    </w:rPr>
                    <w:t>规划》</w:t>
                  </w:r>
                </w:p>
              </w:tc>
              <w:tc>
                <w:tcPr>
                  <w:tcW w:w="1561" w:type="pct"/>
                  <w:shd w:val="clear" w:color="auto" w:fill="auto"/>
                  <w:noWrap w:val="0"/>
                  <w:vAlign w:val="center"/>
                </w:tcPr>
                <w:p w14:paraId="0F2BDB03">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坚持创新引领，推动绿色低碳发展：坚持创新驱动发展，全面塑造发展新优势，推动绿色低碳发展，持续优化产业结构，建设清洁低碳能源体系</w:t>
                  </w:r>
                </w:p>
              </w:tc>
              <w:tc>
                <w:tcPr>
                  <w:tcW w:w="2315" w:type="pct"/>
                  <w:shd w:val="clear" w:color="auto" w:fill="auto"/>
                  <w:noWrap w:val="0"/>
                  <w:vAlign w:val="center"/>
                </w:tcPr>
                <w:p w14:paraId="5A7C75A7">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本项目为城镇生活污水处理厂，属于环保基础设施和资源循环利用项目，不属于高耗能、高排放的</w:t>
                  </w:r>
                  <w:r>
                    <w:rPr>
                      <w:rFonts w:hint="eastAsia" w:cs="Times New Roman"/>
                      <w:lang w:val="en-US" w:eastAsia="zh-CN"/>
                    </w:rPr>
                    <w:t>“</w:t>
                  </w:r>
                  <w:r>
                    <w:rPr>
                      <w:rFonts w:hint="default" w:ascii="Times New Roman" w:hAnsi="Times New Roman" w:cs="Times New Roman"/>
                      <w:lang w:val="en-US" w:eastAsia="zh-CN"/>
                    </w:rPr>
                    <w:t>两高</w:t>
                  </w:r>
                  <w:r>
                    <w:rPr>
                      <w:rFonts w:hint="eastAsia" w:cs="Times New Roman"/>
                      <w:lang w:val="en-US" w:eastAsia="zh-CN"/>
                    </w:rPr>
                    <w:t>“</w:t>
                  </w:r>
                  <w:r>
                    <w:rPr>
                      <w:rFonts w:hint="default" w:ascii="Times New Roman" w:hAnsi="Times New Roman" w:cs="Times New Roman"/>
                      <w:lang w:val="en-US" w:eastAsia="zh-CN"/>
                    </w:rPr>
                    <w:t>项目。项目建成后可集中处理石油石化产业园的生活污水，削减区域COD、氨氮等水污染物排放量，属于污染物减排工程。</w:t>
                  </w:r>
                </w:p>
              </w:tc>
              <w:tc>
                <w:tcPr>
                  <w:tcW w:w="398" w:type="pct"/>
                  <w:shd w:val="clear" w:color="auto" w:fill="auto"/>
                  <w:noWrap w:val="0"/>
                  <w:vAlign w:val="center"/>
                </w:tcPr>
                <w:p w14:paraId="34016621">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符合</w:t>
                  </w:r>
                </w:p>
              </w:tc>
            </w:tr>
            <w:tr w14:paraId="6464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pct"/>
                  <w:vMerge w:val="continue"/>
                  <w:noWrap w:val="0"/>
                  <w:vAlign w:val="center"/>
                </w:tcPr>
                <w:p w14:paraId="5DE25484">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p>
              </w:tc>
              <w:tc>
                <w:tcPr>
                  <w:tcW w:w="1561" w:type="pct"/>
                  <w:shd w:val="clear" w:color="auto" w:fill="auto"/>
                  <w:noWrap w:val="0"/>
                  <w:vAlign w:val="center"/>
                </w:tcPr>
                <w:p w14:paraId="0B0CA594">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建设清洁低碳能源体系：按照宜电则电、宜气则气的原则，继续推进</w:t>
                  </w:r>
                  <w:r>
                    <w:rPr>
                      <w:rFonts w:hint="eastAsia" w:cs="Times New Roman"/>
                      <w:lang w:val="en-US" w:eastAsia="zh-CN"/>
                    </w:rPr>
                    <w:t>“</w:t>
                  </w:r>
                  <w:r>
                    <w:rPr>
                      <w:rFonts w:hint="default" w:ascii="Times New Roman" w:hAnsi="Times New Roman" w:cs="Times New Roman"/>
                      <w:lang w:val="en-US" w:eastAsia="zh-CN"/>
                    </w:rPr>
                    <w:t>电气化新疆</w:t>
                  </w:r>
                  <w:r>
                    <w:rPr>
                      <w:rFonts w:hint="eastAsia" w:cs="Times New Roman"/>
                      <w:lang w:val="en-US" w:eastAsia="zh-CN"/>
                    </w:rPr>
                    <w:t>“</w:t>
                  </w:r>
                  <w:r>
                    <w:rPr>
                      <w:rFonts w:hint="default" w:ascii="Times New Roman" w:hAnsi="Times New Roman" w:cs="Times New Roman"/>
                      <w:lang w:val="en-US" w:eastAsia="zh-CN"/>
                    </w:rPr>
                    <w:t>建设，实施清洁能源行动计划</w:t>
                  </w:r>
                </w:p>
              </w:tc>
              <w:tc>
                <w:tcPr>
                  <w:tcW w:w="2315" w:type="pct"/>
                  <w:shd w:val="clear" w:color="auto" w:fill="auto"/>
                  <w:noWrap w:val="0"/>
                  <w:vAlign w:val="center"/>
                </w:tcPr>
                <w:p w14:paraId="341FB0E6">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本项目冬季采用空气源热泵系统（电采暖），不使用燃煤锅炉，不使用化石燃料，符合</w:t>
                  </w:r>
                  <w:r>
                    <w:rPr>
                      <w:rFonts w:hint="eastAsia" w:cs="Times New Roman"/>
                      <w:lang w:val="en-US" w:eastAsia="zh-CN"/>
                    </w:rPr>
                    <w:t>“</w:t>
                  </w:r>
                  <w:r>
                    <w:rPr>
                      <w:rFonts w:hint="default" w:ascii="Times New Roman" w:hAnsi="Times New Roman" w:cs="Times New Roman"/>
                      <w:lang w:val="en-US" w:eastAsia="zh-CN"/>
                    </w:rPr>
                    <w:t>电气化新疆</w:t>
                  </w:r>
                  <w:r>
                    <w:rPr>
                      <w:rFonts w:hint="eastAsia" w:cs="Times New Roman"/>
                      <w:lang w:val="en-US" w:eastAsia="zh-CN"/>
                    </w:rPr>
                    <w:t>“</w:t>
                  </w:r>
                  <w:r>
                    <w:rPr>
                      <w:rFonts w:hint="default" w:ascii="Times New Roman" w:hAnsi="Times New Roman" w:cs="Times New Roman"/>
                      <w:lang w:val="en-US" w:eastAsia="zh-CN"/>
                    </w:rPr>
                    <w:t>和清洁能源利用的要求</w:t>
                  </w:r>
                </w:p>
              </w:tc>
              <w:tc>
                <w:tcPr>
                  <w:tcW w:w="398" w:type="pct"/>
                  <w:shd w:val="clear" w:color="auto" w:fill="auto"/>
                  <w:noWrap w:val="0"/>
                  <w:vAlign w:val="center"/>
                </w:tcPr>
                <w:p w14:paraId="2E5FBED7">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符合</w:t>
                  </w:r>
                </w:p>
              </w:tc>
            </w:tr>
            <w:tr w14:paraId="1BA4A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pct"/>
                  <w:vMerge w:val="continue"/>
                  <w:noWrap w:val="0"/>
                  <w:vAlign w:val="center"/>
                </w:tcPr>
                <w:p w14:paraId="52C669E2">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p>
              </w:tc>
              <w:tc>
                <w:tcPr>
                  <w:tcW w:w="1561" w:type="pct"/>
                  <w:shd w:val="clear" w:color="auto" w:fill="auto"/>
                  <w:noWrap w:val="0"/>
                  <w:vAlign w:val="center"/>
                </w:tcPr>
                <w:p w14:paraId="3087BD6A">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加强协同控制，改善大气环境：持续推进涉气污染源治理，加强其他污染治理</w:t>
                  </w:r>
                </w:p>
              </w:tc>
              <w:tc>
                <w:tcPr>
                  <w:tcW w:w="2315" w:type="pct"/>
                  <w:shd w:val="clear" w:color="auto" w:fill="auto"/>
                  <w:noWrap w:val="0"/>
                  <w:vAlign w:val="center"/>
                </w:tcPr>
                <w:p w14:paraId="337CA5A5">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本项目运营期废气主要为污水处理各单元产生的恶臭气体（NH</w:t>
                  </w:r>
                  <w:r>
                    <w:rPr>
                      <w:rFonts w:hint="eastAsia" w:cs="Times New Roman"/>
                      <w:vertAlign w:val="subscript"/>
                      <w:lang w:val="en-US" w:eastAsia="zh-CN"/>
                    </w:rPr>
                    <w:t>3</w:t>
                  </w:r>
                  <w:r>
                    <w:rPr>
                      <w:rFonts w:hint="default" w:ascii="Times New Roman" w:hAnsi="Times New Roman" w:cs="Times New Roman"/>
                      <w:lang w:val="en-US" w:eastAsia="zh-CN"/>
                    </w:rPr>
                    <w:t>、H</w:t>
                  </w:r>
                  <w:r>
                    <w:rPr>
                      <w:rFonts w:hint="eastAsia" w:cs="Times New Roman"/>
                      <w:vertAlign w:val="subscript"/>
                      <w:lang w:val="en-US" w:eastAsia="zh-CN"/>
                    </w:rPr>
                    <w:t>2</w:t>
                  </w:r>
                  <w:r>
                    <w:rPr>
                      <w:rFonts w:hint="default" w:ascii="Times New Roman" w:hAnsi="Times New Roman" w:cs="Times New Roman"/>
                      <w:lang w:val="en-US" w:eastAsia="zh-CN"/>
                    </w:rPr>
                    <w:t>S），预处理区经离子除臭装置处理后通过15m高排气筒（DA001）排放，生化处理区及污泥处理区经生物除臭装置处理后通过15m高排气筒（DA002）排放，各排气筒污染物排放速率均满足《恶臭污染物排放标准》（GB14554-93）表2限值要求。</w:t>
                  </w:r>
                </w:p>
              </w:tc>
              <w:tc>
                <w:tcPr>
                  <w:tcW w:w="398" w:type="pct"/>
                  <w:shd w:val="clear" w:color="auto" w:fill="auto"/>
                  <w:noWrap w:val="0"/>
                  <w:vAlign w:val="center"/>
                </w:tcPr>
                <w:p w14:paraId="3B6D4F39">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符合</w:t>
                  </w:r>
                </w:p>
              </w:tc>
            </w:tr>
            <w:tr w14:paraId="6814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pct"/>
                  <w:vMerge w:val="continue"/>
                  <w:noWrap w:val="0"/>
                  <w:vAlign w:val="center"/>
                </w:tcPr>
                <w:p w14:paraId="2E808323">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p>
              </w:tc>
              <w:tc>
                <w:tcPr>
                  <w:tcW w:w="1561" w:type="pct"/>
                  <w:shd w:val="clear" w:color="auto" w:fill="auto"/>
                  <w:noWrap w:val="0"/>
                  <w:vAlign w:val="center"/>
                </w:tcPr>
                <w:p w14:paraId="6CF6BAFA">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强化</w:t>
                  </w:r>
                  <w:r>
                    <w:rPr>
                      <w:rFonts w:hint="eastAsia" w:cs="Times New Roman"/>
                      <w:lang w:val="en-US" w:eastAsia="zh-CN"/>
                    </w:rPr>
                    <w:t>“</w:t>
                  </w:r>
                  <w:r>
                    <w:rPr>
                      <w:rFonts w:hint="default" w:ascii="Times New Roman" w:hAnsi="Times New Roman" w:cs="Times New Roman"/>
                      <w:lang w:val="en-US" w:eastAsia="zh-CN"/>
                    </w:rPr>
                    <w:t>三水</w:t>
                  </w:r>
                  <w:r>
                    <w:rPr>
                      <w:rFonts w:hint="eastAsia" w:cs="Times New Roman"/>
                      <w:lang w:val="en-US" w:eastAsia="zh-CN"/>
                    </w:rPr>
                    <w:t>“</w:t>
                  </w:r>
                  <w:r>
                    <w:rPr>
                      <w:rFonts w:hint="default" w:ascii="Times New Roman" w:hAnsi="Times New Roman" w:cs="Times New Roman"/>
                      <w:lang w:val="en-US" w:eastAsia="zh-CN"/>
                    </w:rPr>
                    <w:t>统筹，提升水生态环境：推进</w:t>
                  </w:r>
                  <w:r>
                    <w:rPr>
                      <w:rFonts w:hint="eastAsia" w:cs="Times New Roman"/>
                      <w:lang w:val="en-US" w:eastAsia="zh-CN"/>
                    </w:rPr>
                    <w:t>“</w:t>
                  </w:r>
                  <w:r>
                    <w:rPr>
                      <w:rFonts w:hint="default" w:ascii="Times New Roman" w:hAnsi="Times New Roman" w:cs="Times New Roman"/>
                      <w:lang w:val="en-US" w:eastAsia="zh-CN"/>
                    </w:rPr>
                    <w:t>三水</w:t>
                  </w:r>
                  <w:r>
                    <w:rPr>
                      <w:rFonts w:hint="eastAsia" w:cs="Times New Roman"/>
                      <w:lang w:val="en-US" w:eastAsia="zh-CN"/>
                    </w:rPr>
                    <w:t>“</w:t>
                  </w:r>
                  <w:r>
                    <w:rPr>
                      <w:rFonts w:hint="default" w:ascii="Times New Roman" w:hAnsi="Times New Roman" w:cs="Times New Roman"/>
                      <w:lang w:val="en-US" w:eastAsia="zh-CN"/>
                    </w:rPr>
                    <w:t>统筹管理，持续深化水污染治理</w:t>
                  </w:r>
                </w:p>
              </w:tc>
              <w:tc>
                <w:tcPr>
                  <w:tcW w:w="2315" w:type="pct"/>
                  <w:shd w:val="clear" w:color="auto" w:fill="auto"/>
                  <w:noWrap w:val="0"/>
                  <w:vAlign w:val="center"/>
                </w:tcPr>
                <w:p w14:paraId="7BAA519E">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本项目为城镇生活污水处理厂，设计出水水质执行《城镇污水处理厂污染物排放标准》（GB18918-2002）</w:t>
                  </w:r>
                  <w:r>
                    <w:rPr>
                      <w:rFonts w:hint="eastAsia" w:cs="Times New Roman"/>
                      <w:lang w:val="en-US" w:eastAsia="zh-CN"/>
                    </w:rPr>
                    <w:t>及其修改单</w:t>
                  </w:r>
                  <w:r>
                    <w:rPr>
                      <w:rFonts w:hint="default" w:ascii="Times New Roman" w:hAnsi="Times New Roman" w:cs="Times New Roman"/>
                      <w:lang w:val="en-US" w:eastAsia="zh-CN"/>
                    </w:rPr>
                    <w:t>一级A标准，尾水全部回用（灌溉期用于园区绿化灌溉，非灌溉期供给园区企业回用或储存至现状中水库），实现废水零排放，有效削减区域水污染物排放量，改善区域水环境质量。</w:t>
                  </w:r>
                </w:p>
              </w:tc>
              <w:tc>
                <w:tcPr>
                  <w:tcW w:w="398" w:type="pct"/>
                  <w:shd w:val="clear" w:color="auto" w:fill="auto"/>
                  <w:noWrap w:val="0"/>
                  <w:vAlign w:val="center"/>
                </w:tcPr>
                <w:p w14:paraId="05302903">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符合</w:t>
                  </w:r>
                </w:p>
              </w:tc>
            </w:tr>
            <w:tr w14:paraId="77B54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pct"/>
                  <w:vMerge w:val="continue"/>
                  <w:noWrap w:val="0"/>
                  <w:vAlign w:val="center"/>
                </w:tcPr>
                <w:p w14:paraId="170DA2ED">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p>
              </w:tc>
              <w:tc>
                <w:tcPr>
                  <w:tcW w:w="1561" w:type="pct"/>
                  <w:shd w:val="clear" w:color="auto" w:fill="auto"/>
                  <w:noWrap w:val="0"/>
                  <w:vAlign w:val="center"/>
                </w:tcPr>
                <w:p w14:paraId="40C5BB01">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强</w:t>
                  </w:r>
                  <w:r>
                    <w:rPr>
                      <w:rFonts w:hint="eastAsia" w:cs="Times New Roman"/>
                      <w:lang w:val="en-US" w:eastAsia="zh-CN"/>
                    </w:rPr>
                    <w:t>化</w:t>
                  </w:r>
                  <w:r>
                    <w:rPr>
                      <w:rFonts w:hint="default" w:ascii="Times New Roman" w:hAnsi="Times New Roman" w:cs="Times New Roman"/>
                      <w:lang w:val="en-US" w:eastAsia="zh-CN"/>
                    </w:rPr>
                    <w:t>源头防控，保障土壤环境安全：加强土壤和地下水污染协同防控</w:t>
                  </w:r>
                </w:p>
              </w:tc>
              <w:tc>
                <w:tcPr>
                  <w:tcW w:w="2315" w:type="pct"/>
                  <w:shd w:val="clear" w:color="auto" w:fill="auto"/>
                  <w:noWrap w:val="0"/>
                  <w:vAlign w:val="center"/>
                </w:tcPr>
                <w:p w14:paraId="0A2912E9">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本项目厂区实施分区防渗措施：调节池、生物池、二沉池、高效沉淀池、危废贮存点、加药间等为重点防渗区（等效黏土防渗层Mb≥6.0m，K≤1.0×10⁻</w:t>
                  </w:r>
                  <w:r>
                    <w:rPr>
                      <w:rFonts w:hint="eastAsia" w:cs="Times New Roman"/>
                      <w:vertAlign w:val="superscript"/>
                      <w:lang w:val="en-US" w:eastAsia="zh-CN"/>
                    </w:rPr>
                    <w:t>7</w:t>
                  </w:r>
                  <w:r>
                    <w:rPr>
                      <w:rFonts w:hint="default" w:ascii="Times New Roman" w:hAnsi="Times New Roman" w:cs="Times New Roman"/>
                      <w:lang w:val="en-US" w:eastAsia="zh-CN"/>
                    </w:rPr>
                    <w:t>cm/s），鼓风机房、除臭设备间等为一般防渗区，办公区为简单防渗区。依托一期工程已建地下水监控井，定期开展跟踪监测，有效防控土壤和地下水污染风险</w:t>
                  </w:r>
                </w:p>
              </w:tc>
              <w:tc>
                <w:tcPr>
                  <w:tcW w:w="398" w:type="pct"/>
                  <w:shd w:val="clear" w:color="auto" w:fill="auto"/>
                  <w:noWrap w:val="0"/>
                  <w:vAlign w:val="center"/>
                </w:tcPr>
                <w:p w14:paraId="2A745275">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符合</w:t>
                  </w:r>
                </w:p>
              </w:tc>
            </w:tr>
            <w:tr w14:paraId="2659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pct"/>
                  <w:vMerge w:val="continue"/>
                  <w:noWrap w:val="0"/>
                  <w:vAlign w:val="center"/>
                </w:tcPr>
                <w:p w14:paraId="6256DC4F">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p>
              </w:tc>
              <w:tc>
                <w:tcPr>
                  <w:tcW w:w="1561" w:type="pct"/>
                  <w:shd w:val="clear" w:color="auto" w:fill="auto"/>
                  <w:noWrap w:val="0"/>
                  <w:vAlign w:val="center"/>
                </w:tcPr>
                <w:p w14:paraId="7664371A">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强化风险防控，严守生态环境底线：加强危险废物医疗废物收集处理，强化环境风险预警防控与应急</w:t>
                  </w:r>
                </w:p>
              </w:tc>
              <w:tc>
                <w:tcPr>
                  <w:tcW w:w="2315" w:type="pct"/>
                  <w:shd w:val="clear" w:color="auto" w:fill="auto"/>
                  <w:noWrap w:val="0"/>
                  <w:vAlign w:val="center"/>
                </w:tcPr>
                <w:p w14:paraId="1D213C75">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本项目危险废物（化验废液、废机油、含油废抹布等）分类收集后暂存于危废贮存点（</w:t>
                  </w:r>
                  <w:r>
                    <w:rPr>
                      <w:rFonts w:hint="eastAsia" w:cs="Times New Roman"/>
                      <w:lang w:val="en-US" w:eastAsia="zh-CN"/>
                    </w:rPr>
                    <w:t>设计</w:t>
                  </w:r>
                  <w:r>
                    <w:rPr>
                      <w:rFonts w:hint="default" w:ascii="Times New Roman" w:hAnsi="Times New Roman" w:cs="Times New Roman"/>
                      <w:lang w:val="en-US" w:eastAsia="zh-CN"/>
                    </w:rPr>
                    <w:t>面积</w:t>
                  </w:r>
                  <w:r>
                    <w:rPr>
                      <w:rFonts w:hint="eastAsia" w:cs="Times New Roman"/>
                      <w:lang w:val="en-US" w:eastAsia="zh-CN"/>
                    </w:rPr>
                    <w:t>约为</w:t>
                  </w:r>
                  <w:r>
                    <w:rPr>
                      <w:rFonts w:hint="default" w:ascii="Times New Roman" w:hAnsi="Times New Roman" w:cs="Times New Roman"/>
                      <w:lang w:val="en-US" w:eastAsia="zh-CN"/>
                    </w:rPr>
                    <w:t>15m</w:t>
                  </w:r>
                  <w:r>
                    <w:rPr>
                      <w:rFonts w:hint="eastAsia" w:cs="Times New Roman"/>
                      <w:vertAlign w:val="superscript"/>
                      <w:lang w:val="en-US" w:eastAsia="zh-CN"/>
                    </w:rPr>
                    <w:t>2</w:t>
                  </w:r>
                  <w:r>
                    <w:rPr>
                      <w:rFonts w:hint="default" w:ascii="Times New Roman" w:hAnsi="Times New Roman" w:cs="Times New Roman"/>
                      <w:lang w:val="en-US" w:eastAsia="zh-CN"/>
                    </w:rPr>
                    <w:t>，按GB18597-2023要求建设），定期交有资质单位处置；项目建成后将编制突发环境事件应急预案并备案，配备应急物资，定期开展应急演练，有效防范环境风险</w:t>
                  </w:r>
                </w:p>
              </w:tc>
              <w:tc>
                <w:tcPr>
                  <w:tcW w:w="398" w:type="pct"/>
                  <w:shd w:val="clear" w:color="auto" w:fill="auto"/>
                  <w:noWrap w:val="0"/>
                  <w:vAlign w:val="center"/>
                </w:tcPr>
                <w:p w14:paraId="33D14795">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符合</w:t>
                  </w:r>
                </w:p>
              </w:tc>
            </w:tr>
            <w:tr w14:paraId="5AC24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pct"/>
                  <w:vMerge w:val="continue"/>
                  <w:noWrap w:val="0"/>
                  <w:vAlign w:val="center"/>
                </w:tcPr>
                <w:p w14:paraId="38924267">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Cs w:val="21"/>
                    </w:rPr>
                  </w:pPr>
                </w:p>
              </w:tc>
              <w:tc>
                <w:tcPr>
                  <w:tcW w:w="1561" w:type="pct"/>
                  <w:shd w:val="clear" w:color="auto" w:fill="auto"/>
                  <w:noWrap w:val="0"/>
                  <w:vAlign w:val="center"/>
                </w:tcPr>
                <w:p w14:paraId="05131CE2">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深化改革创新，建设现代环境治理体系：健全环境治理企业责任体系</w:t>
                  </w:r>
                </w:p>
              </w:tc>
              <w:tc>
                <w:tcPr>
                  <w:tcW w:w="2315" w:type="pct"/>
                  <w:shd w:val="clear" w:color="auto" w:fill="auto"/>
                  <w:noWrap w:val="0"/>
                  <w:vAlign w:val="center"/>
                </w:tcPr>
                <w:p w14:paraId="6A2CD033">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本项目建成后将依法重新申请排污许可证，按证排污，落实自行监测、台账记录、执行报告等排污许可管理要求，主动公开环境信息，接受社会监督，履行企业环境治理主体责任。</w:t>
                  </w:r>
                </w:p>
              </w:tc>
              <w:tc>
                <w:tcPr>
                  <w:tcW w:w="398" w:type="pct"/>
                  <w:shd w:val="clear" w:color="auto" w:fill="auto"/>
                  <w:noWrap w:val="0"/>
                  <w:vAlign w:val="center"/>
                </w:tcPr>
                <w:p w14:paraId="02F4345E">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符合</w:t>
                  </w:r>
                </w:p>
              </w:tc>
            </w:tr>
          </w:tbl>
          <w:p w14:paraId="6A3A43AF">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425" w:leftChars="0" w:hanging="425" w:firstLineChars="0"/>
              <w:jc w:val="left"/>
              <w:textAlignment w:val="auto"/>
              <w:rPr>
                <w:rFonts w:hint="eastAsia" w:ascii="Times New Roman" w:hAnsi="Times New Roman" w:eastAsia="宋体" w:cs="Times New Roman"/>
                <w:b/>
                <w:bCs/>
                <w:color w:val="auto"/>
                <w:kern w:val="2"/>
                <w:sz w:val="24"/>
                <w:szCs w:val="24"/>
                <w:lang w:val="en-US" w:eastAsia="zh-CN" w:bidi="ar-SA"/>
              </w:rPr>
            </w:pPr>
            <w:r>
              <w:rPr>
                <w:rFonts w:hint="eastAsia" w:cs="Times New Roman"/>
                <w:b/>
                <w:bCs/>
                <w:color w:val="auto"/>
                <w:kern w:val="2"/>
                <w:sz w:val="24"/>
                <w:szCs w:val="24"/>
                <w:lang w:val="en-US" w:eastAsia="zh-CN" w:bidi="ar-SA"/>
              </w:rPr>
              <w:t>1.5</w:t>
            </w:r>
            <w:r>
              <w:rPr>
                <w:rFonts w:hint="eastAsia" w:ascii="Times New Roman" w:hAnsi="Times New Roman" w:eastAsia="宋体" w:cs="Times New Roman"/>
                <w:b/>
                <w:bCs/>
                <w:color w:val="auto"/>
                <w:kern w:val="2"/>
                <w:sz w:val="24"/>
                <w:szCs w:val="24"/>
                <w:lang w:val="en-US" w:eastAsia="zh-CN" w:bidi="ar-SA"/>
              </w:rPr>
              <w:t>与其他相关要求符合性分析</w:t>
            </w:r>
          </w:p>
          <w:p w14:paraId="01B89AC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color w:val="auto"/>
                <w:kern w:val="0"/>
                <w:sz w:val="24"/>
                <w:highlight w:val="none"/>
                <w:lang w:val="en-US" w:eastAsia="zh-CN"/>
              </w:rPr>
              <w:t>本项目</w:t>
            </w:r>
            <w:r>
              <w:rPr>
                <w:rFonts w:hint="eastAsia" w:ascii="Times New Roman" w:hAnsi="Times New Roman" w:eastAsia="宋体" w:cs="Times New Roman"/>
                <w:color w:val="auto"/>
                <w:kern w:val="0"/>
                <w:sz w:val="24"/>
                <w:highlight w:val="none"/>
                <w:lang w:val="en-US" w:eastAsia="zh-CN"/>
              </w:rPr>
              <w:t>与其他相关要求</w:t>
            </w:r>
            <w:r>
              <w:rPr>
                <w:rFonts w:hint="default" w:ascii="Times New Roman" w:hAnsi="Times New Roman" w:eastAsia="宋体" w:cs="Times New Roman"/>
                <w:color w:val="auto"/>
                <w:kern w:val="0"/>
                <w:sz w:val="24"/>
                <w:highlight w:val="none"/>
                <w:lang w:val="en-US" w:eastAsia="zh-CN"/>
              </w:rPr>
              <w:t>符合性见表1-</w:t>
            </w:r>
            <w:r>
              <w:rPr>
                <w:rFonts w:hint="eastAsia" w:ascii="Times New Roman" w:hAnsi="Times New Roman" w:eastAsia="宋体" w:cs="Times New Roman"/>
                <w:color w:val="auto"/>
                <w:kern w:val="0"/>
                <w:sz w:val="24"/>
                <w:highlight w:val="none"/>
                <w:lang w:val="en-US" w:eastAsia="zh-CN"/>
              </w:rPr>
              <w:t>4：</w:t>
            </w:r>
          </w:p>
          <w:p w14:paraId="3F950AB4">
            <w:pPr>
              <w:keepNext w:val="0"/>
              <w:keepLines w:val="0"/>
              <w:pageBreakBefore w:val="0"/>
              <w:widowControl w:val="0"/>
              <w:kinsoku/>
              <w:wordWrap/>
              <w:overflowPunct/>
              <w:topLinePunct w:val="0"/>
              <w:autoSpaceDE w:val="0"/>
              <w:autoSpaceDN w:val="0"/>
              <w:bidi w:val="0"/>
              <w:adjustRightInd w:val="0"/>
              <w:snapToGrid w:val="0"/>
              <w:spacing w:line="360" w:lineRule="auto"/>
              <w:ind w:firstLine="422" w:firstLineChars="200"/>
              <w:jc w:val="center"/>
              <w:textAlignment w:val="auto"/>
              <w:rPr>
                <w:rFonts w:hint="eastAsia"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 xml:space="preserve">表 </w:t>
            </w:r>
            <w:r>
              <w:rPr>
                <w:rFonts w:hint="default" w:ascii="Times New Roman" w:hAnsi="Times New Roman" w:eastAsia="宋体" w:cs="Times New Roman"/>
                <w:b/>
                <w:bCs/>
                <w:color w:val="auto"/>
                <w:kern w:val="0"/>
                <w:sz w:val="21"/>
                <w:szCs w:val="21"/>
                <w:highlight w:val="none"/>
                <w:lang w:val="en-US" w:eastAsia="zh-CN"/>
              </w:rPr>
              <w:fldChar w:fldCharType="begin"/>
            </w:r>
            <w:r>
              <w:rPr>
                <w:rFonts w:hint="default" w:ascii="Times New Roman" w:hAnsi="Times New Roman" w:eastAsia="宋体" w:cs="Times New Roman"/>
                <w:b/>
                <w:bCs/>
                <w:color w:val="auto"/>
                <w:kern w:val="0"/>
                <w:sz w:val="21"/>
                <w:szCs w:val="21"/>
                <w:highlight w:val="none"/>
                <w:lang w:val="en-US" w:eastAsia="zh-CN"/>
              </w:rPr>
              <w:instrText xml:space="preserve"> STYLEREF 1 \s \* ARABIC </w:instrText>
            </w:r>
            <w:r>
              <w:rPr>
                <w:rFonts w:hint="default" w:ascii="Times New Roman" w:hAnsi="Times New Roman" w:eastAsia="宋体" w:cs="Times New Roman"/>
                <w:b/>
                <w:bCs/>
                <w:color w:val="auto"/>
                <w:kern w:val="0"/>
                <w:sz w:val="21"/>
                <w:szCs w:val="21"/>
                <w:highlight w:val="none"/>
                <w:lang w:val="en-US" w:eastAsia="zh-CN"/>
              </w:rPr>
              <w:fldChar w:fldCharType="separate"/>
            </w:r>
            <w:r>
              <w:rPr>
                <w:rFonts w:hint="default" w:ascii="Times New Roman" w:hAnsi="Times New Roman" w:eastAsia="宋体"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lang w:val="en-US" w:eastAsia="zh-CN"/>
              </w:rPr>
              <w:fldChar w:fldCharType="end"/>
            </w:r>
            <w:r>
              <w:rPr>
                <w:rFonts w:hint="eastAsia" w:ascii="Times New Roman" w:hAnsi="Times New Roman" w:eastAsia="宋体" w:cs="Times New Roman"/>
                <w:b/>
                <w:bCs/>
                <w:color w:val="auto"/>
                <w:kern w:val="0"/>
                <w:sz w:val="21"/>
                <w:szCs w:val="21"/>
                <w:highlight w:val="none"/>
                <w:lang w:val="en-US" w:eastAsia="zh-CN"/>
              </w:rPr>
              <w:t>-</w:t>
            </w:r>
            <w:r>
              <w:rPr>
                <w:rFonts w:hint="default" w:ascii="Times New Roman" w:hAnsi="Times New Roman" w:eastAsia="宋体" w:cs="Times New Roman"/>
                <w:b/>
                <w:bCs/>
                <w:color w:val="auto"/>
                <w:kern w:val="0"/>
                <w:sz w:val="21"/>
                <w:szCs w:val="21"/>
                <w:highlight w:val="none"/>
                <w:lang w:val="en-US" w:eastAsia="zh-CN"/>
              </w:rPr>
              <w:fldChar w:fldCharType="begin"/>
            </w:r>
            <w:r>
              <w:rPr>
                <w:rFonts w:hint="default" w:ascii="Times New Roman" w:hAnsi="Times New Roman" w:eastAsia="宋体" w:cs="Times New Roman"/>
                <w:b/>
                <w:bCs/>
                <w:color w:val="auto"/>
                <w:kern w:val="0"/>
                <w:sz w:val="21"/>
                <w:szCs w:val="21"/>
                <w:highlight w:val="none"/>
                <w:lang w:val="en-US" w:eastAsia="zh-CN"/>
              </w:rPr>
              <w:instrText xml:space="preserve"> SEQ 表 \* ARABIC \s 1 </w:instrText>
            </w:r>
            <w:r>
              <w:rPr>
                <w:rFonts w:hint="default" w:ascii="Times New Roman" w:hAnsi="Times New Roman" w:eastAsia="宋体" w:cs="Times New Roman"/>
                <w:b/>
                <w:bCs/>
                <w:color w:val="auto"/>
                <w:kern w:val="0"/>
                <w:sz w:val="21"/>
                <w:szCs w:val="21"/>
                <w:highlight w:val="none"/>
                <w:lang w:val="en-US" w:eastAsia="zh-CN"/>
              </w:rPr>
              <w:fldChar w:fldCharType="separate"/>
            </w:r>
            <w:r>
              <w:rPr>
                <w:rFonts w:hint="default" w:ascii="Times New Roman" w:hAnsi="Times New Roman" w:eastAsia="宋体" w:cs="Times New Roman"/>
                <w:b/>
                <w:bCs/>
                <w:color w:val="auto"/>
                <w:kern w:val="0"/>
                <w:sz w:val="21"/>
                <w:szCs w:val="21"/>
                <w:highlight w:val="none"/>
                <w:lang w:val="en-US" w:eastAsia="zh-CN"/>
              </w:rPr>
              <w:t>4</w:t>
            </w:r>
            <w:r>
              <w:rPr>
                <w:rFonts w:hint="default" w:ascii="Times New Roman" w:hAnsi="Times New Roman" w:eastAsia="宋体" w:cs="Times New Roman"/>
                <w:b/>
                <w:bCs/>
                <w:color w:val="auto"/>
                <w:kern w:val="0"/>
                <w:sz w:val="21"/>
                <w:szCs w:val="21"/>
                <w:highlight w:val="none"/>
                <w:lang w:val="en-US" w:eastAsia="zh-CN"/>
              </w:rPr>
              <w:fldChar w:fldCharType="end"/>
            </w:r>
            <w:r>
              <w:rPr>
                <w:rFonts w:hint="eastAsia" w:ascii="Times New Roman" w:hAnsi="Times New Roman" w:eastAsia="宋体" w:cs="Times New Roman"/>
                <w:b/>
                <w:bCs/>
                <w:color w:val="auto"/>
                <w:kern w:val="0"/>
                <w:sz w:val="21"/>
                <w:szCs w:val="21"/>
                <w:highlight w:val="none"/>
                <w:lang w:val="en-US" w:eastAsia="zh-CN"/>
              </w:rPr>
              <w:t>与其他相关要求符合性分析</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4"/>
              <w:gridCol w:w="2475"/>
              <w:gridCol w:w="2677"/>
              <w:gridCol w:w="659"/>
            </w:tblGrid>
            <w:tr w14:paraId="2D41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noWrap w:val="0"/>
                  <w:vAlign w:val="center"/>
                </w:tcPr>
                <w:p w14:paraId="75A99CC8">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文件</w:t>
                  </w:r>
                </w:p>
              </w:tc>
              <w:tc>
                <w:tcPr>
                  <w:tcW w:w="1792" w:type="pct"/>
                  <w:noWrap w:val="0"/>
                  <w:vAlign w:val="center"/>
                </w:tcPr>
                <w:p w14:paraId="35A4C08A">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环境管理政策要求</w:t>
                  </w:r>
                </w:p>
              </w:tc>
              <w:tc>
                <w:tcPr>
                  <w:tcW w:w="1938" w:type="pct"/>
                  <w:noWrap w:val="0"/>
                  <w:vAlign w:val="center"/>
                </w:tcPr>
                <w:p w14:paraId="4EDE7E64">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本项目情况</w:t>
                  </w:r>
                </w:p>
              </w:tc>
              <w:tc>
                <w:tcPr>
                  <w:tcW w:w="477" w:type="pct"/>
                  <w:noWrap w:val="0"/>
                  <w:vAlign w:val="center"/>
                </w:tcPr>
                <w:p w14:paraId="0A63447D">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符合性</w:t>
                  </w:r>
                </w:p>
              </w:tc>
            </w:tr>
            <w:tr w14:paraId="12F9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noWrap w:val="0"/>
                  <w:vAlign w:val="center"/>
                </w:tcPr>
                <w:p w14:paraId="04ECDA66">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highlight w:val="none"/>
                    </w:rPr>
                  </w:pPr>
                  <w:r>
                    <w:rPr>
                      <w:rFonts w:hint="default" w:ascii="Times New Roman" w:hAnsi="Times New Roman" w:cs="Times New Roman"/>
                      <w:kern w:val="0"/>
                      <w:sz w:val="21"/>
                      <w:szCs w:val="21"/>
                      <w:highlight w:val="none"/>
                    </w:rPr>
                    <w:t>《</w:t>
                  </w:r>
                  <w:r>
                    <w:rPr>
                      <w:rFonts w:hint="default" w:ascii="Times New Roman" w:hAnsi="Times New Roman" w:cs="Times New Roman"/>
                      <w:kern w:val="0"/>
                      <w:sz w:val="21"/>
                      <w:szCs w:val="21"/>
                      <w:highlight w:val="none"/>
                      <w:lang w:eastAsia="zh-CN"/>
                    </w:rPr>
                    <w:t>巴音郭楞蒙古自治州大气污染防治办法</w:t>
                  </w:r>
                  <w:r>
                    <w:rPr>
                      <w:rFonts w:hint="default" w:ascii="Times New Roman" w:hAnsi="Times New Roman" w:cs="Times New Roman"/>
                      <w:kern w:val="0"/>
                      <w:sz w:val="21"/>
                      <w:szCs w:val="21"/>
                      <w:highlight w:val="none"/>
                    </w:rPr>
                    <w:t>》</w:t>
                  </w:r>
                  <w:r>
                    <w:rPr>
                      <w:rFonts w:hint="eastAsia" w:cs="Times New Roman"/>
                      <w:kern w:val="0"/>
                      <w:sz w:val="21"/>
                      <w:szCs w:val="21"/>
                      <w:highlight w:val="none"/>
                      <w:lang w:eastAsia="zh-CN"/>
                    </w:rPr>
                    <w:t>（</w:t>
                  </w:r>
                  <w:r>
                    <w:rPr>
                      <w:rFonts w:hint="default" w:ascii="Times New Roman" w:hAnsi="Times New Roman" w:cs="Times New Roman"/>
                      <w:kern w:val="0"/>
                      <w:sz w:val="21"/>
                      <w:szCs w:val="21"/>
                      <w:highlight w:val="none"/>
                    </w:rPr>
                    <w:t>州人大常委会公告，2019年第5号</w:t>
                  </w:r>
                  <w:r>
                    <w:rPr>
                      <w:rFonts w:hint="eastAsia" w:cs="Times New Roman"/>
                      <w:kern w:val="0"/>
                      <w:sz w:val="21"/>
                      <w:szCs w:val="21"/>
                      <w:highlight w:val="none"/>
                      <w:lang w:eastAsia="zh-CN"/>
                    </w:rPr>
                    <w:t>）</w:t>
                  </w:r>
                </w:p>
              </w:tc>
              <w:tc>
                <w:tcPr>
                  <w:tcW w:w="1792" w:type="pct"/>
                  <w:noWrap w:val="0"/>
                  <w:vAlign w:val="center"/>
                </w:tcPr>
                <w:p w14:paraId="15E51AAA">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highlight w:val="none"/>
                    </w:rPr>
                  </w:pPr>
                  <w:r>
                    <w:rPr>
                      <w:rFonts w:hint="default" w:ascii="Times New Roman" w:hAnsi="Times New Roman" w:cs="Times New Roman"/>
                      <w:kern w:val="0"/>
                      <w:sz w:val="21"/>
                      <w:szCs w:val="21"/>
                      <w:highlight w:val="none"/>
                    </w:rPr>
                    <w:t>禁止新建、改建、扩建严重污染大气环境的项目。向大气排放污染物的企事业单位和其他生产经营者应当履行大</w:t>
                  </w:r>
                  <w:r>
                    <w:rPr>
                      <w:rFonts w:hint="default" w:ascii="Times New Roman" w:hAnsi="Times New Roman" w:cs="Times New Roman"/>
                      <w:kern w:val="0"/>
                      <w:sz w:val="21"/>
                      <w:szCs w:val="21"/>
                      <w:highlight w:val="none"/>
                      <w:lang w:val="en-US" w:eastAsia="zh-CN"/>
                    </w:rPr>
                    <w:t>气</w:t>
                  </w:r>
                  <w:r>
                    <w:rPr>
                      <w:rFonts w:hint="default" w:ascii="Times New Roman" w:hAnsi="Times New Roman" w:cs="Times New Roman"/>
                      <w:kern w:val="0"/>
                      <w:sz w:val="21"/>
                      <w:szCs w:val="21"/>
                      <w:highlight w:val="none"/>
                    </w:rPr>
                    <w:t>污染防治的法治义务，执行大气污染物排放标准，遵守大气污染物排放总量控制要求。</w:t>
                  </w:r>
                </w:p>
              </w:tc>
              <w:tc>
                <w:tcPr>
                  <w:tcW w:w="1938" w:type="pct"/>
                  <w:noWrap w:val="0"/>
                  <w:vAlign w:val="center"/>
                </w:tcPr>
                <w:p w14:paraId="7C6685FE">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highlight w:val="none"/>
                    </w:rPr>
                  </w:pPr>
                  <w:r>
                    <w:rPr>
                      <w:rFonts w:hint="default" w:ascii="Times New Roman" w:hAnsi="Times New Roman" w:cs="Times New Roman"/>
                      <w:kern w:val="0"/>
                      <w:sz w:val="21"/>
                      <w:szCs w:val="21"/>
                      <w:highlight w:val="none"/>
                    </w:rPr>
                    <w:t>本项目为污水处理厂项目，不属于严重污染大气环境的项目；运营期恶臭气体经除臭处理后满足《恶臭污染物排放标准》（GB14554-93）和《城镇污水处理厂污染物排放标准》（GB18918-2002）</w:t>
                  </w:r>
                  <w:r>
                    <w:rPr>
                      <w:rFonts w:hint="eastAsia" w:cs="Times New Roman"/>
                      <w:sz w:val="21"/>
                      <w:szCs w:val="21"/>
                      <w:lang w:val="en-US" w:eastAsia="zh-CN"/>
                    </w:rPr>
                    <w:t>及其修改单</w:t>
                  </w:r>
                  <w:r>
                    <w:rPr>
                      <w:rFonts w:hint="default" w:ascii="Times New Roman" w:hAnsi="Times New Roman" w:cs="Times New Roman"/>
                      <w:kern w:val="0"/>
                      <w:sz w:val="21"/>
                      <w:szCs w:val="21"/>
                      <w:highlight w:val="none"/>
                    </w:rPr>
                    <w:t>要求</w:t>
                  </w:r>
                  <w:r>
                    <w:rPr>
                      <w:rFonts w:hint="default" w:ascii="Times New Roman" w:hAnsi="Times New Roman" w:cs="Times New Roman"/>
                      <w:kern w:val="0"/>
                      <w:sz w:val="21"/>
                      <w:szCs w:val="21"/>
                      <w:highlight w:val="none"/>
                      <w:lang w:eastAsia="zh-CN"/>
                    </w:rPr>
                    <w:t>。</w:t>
                  </w:r>
                </w:p>
              </w:tc>
              <w:tc>
                <w:tcPr>
                  <w:tcW w:w="477" w:type="pct"/>
                  <w:noWrap w:val="0"/>
                  <w:vAlign w:val="center"/>
                </w:tcPr>
                <w:p w14:paraId="7F580D05">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符合</w:t>
                  </w:r>
                </w:p>
              </w:tc>
            </w:tr>
            <w:tr w14:paraId="08BA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restart"/>
                  <w:noWrap w:val="0"/>
                  <w:vAlign w:val="center"/>
                </w:tcPr>
                <w:p w14:paraId="7CD6F2EE">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highlight w:val="none"/>
                      <w:lang w:eastAsia="zh-CN"/>
                    </w:rPr>
                  </w:pPr>
                  <w:r>
                    <w:rPr>
                      <w:rFonts w:hint="default" w:ascii="Times New Roman" w:hAnsi="Times New Roman" w:cs="Times New Roman"/>
                      <w:kern w:val="0"/>
                      <w:sz w:val="21"/>
                      <w:szCs w:val="21"/>
                      <w:highlight w:val="none"/>
                      <w:lang w:eastAsia="zh-CN"/>
                    </w:rPr>
                    <w:t>《</w:t>
                  </w:r>
                  <w:r>
                    <w:rPr>
                      <w:rFonts w:hint="default" w:ascii="Times New Roman" w:hAnsi="Times New Roman" w:cs="Times New Roman"/>
                      <w:kern w:val="0"/>
                      <w:sz w:val="21"/>
                      <w:szCs w:val="21"/>
                      <w:highlight w:val="none"/>
                    </w:rPr>
                    <w:t>新疆维吾尔自治区大气污染防治条例</w:t>
                  </w:r>
                  <w:r>
                    <w:rPr>
                      <w:rFonts w:hint="default" w:ascii="Times New Roman" w:hAnsi="Times New Roman" w:cs="Times New Roman"/>
                      <w:kern w:val="0"/>
                      <w:sz w:val="21"/>
                      <w:szCs w:val="21"/>
                      <w:highlight w:val="none"/>
                      <w:lang w:eastAsia="zh-CN"/>
                    </w:rPr>
                    <w:t>》（</w:t>
                  </w:r>
                  <w:r>
                    <w:rPr>
                      <w:rFonts w:hint="default" w:ascii="Times New Roman" w:hAnsi="Times New Roman" w:cs="Times New Roman"/>
                      <w:kern w:val="0"/>
                      <w:sz w:val="21"/>
                      <w:szCs w:val="21"/>
                      <w:highlight w:val="none"/>
                      <w:lang w:val="en-US" w:eastAsia="zh-CN"/>
                    </w:rPr>
                    <w:t>2019</w:t>
                  </w:r>
                  <w:r>
                    <w:rPr>
                      <w:rFonts w:hint="eastAsia" w:cs="Times New Roman"/>
                      <w:kern w:val="0"/>
                      <w:sz w:val="21"/>
                      <w:szCs w:val="21"/>
                      <w:highlight w:val="none"/>
                      <w:lang w:val="en-US" w:eastAsia="zh-CN"/>
                    </w:rPr>
                    <w:t>年修订</w:t>
                  </w:r>
                  <w:r>
                    <w:rPr>
                      <w:rFonts w:hint="default" w:ascii="Times New Roman" w:hAnsi="Times New Roman" w:cs="Times New Roman"/>
                      <w:kern w:val="0"/>
                      <w:sz w:val="21"/>
                      <w:szCs w:val="21"/>
                      <w:highlight w:val="none"/>
                      <w:lang w:eastAsia="zh-CN"/>
                    </w:rPr>
                    <w:t>）</w:t>
                  </w:r>
                </w:p>
              </w:tc>
              <w:tc>
                <w:tcPr>
                  <w:tcW w:w="1792" w:type="pct"/>
                  <w:noWrap w:val="0"/>
                  <w:vAlign w:val="center"/>
                </w:tcPr>
                <w:p w14:paraId="2625331A">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highlight w:val="none"/>
                    </w:rPr>
                  </w:pPr>
                  <w:r>
                    <w:rPr>
                      <w:rFonts w:hint="default" w:ascii="Times New Roman" w:hAnsi="Times New Roman" w:cs="Times New Roman"/>
                      <w:kern w:val="0"/>
                      <w:sz w:val="21"/>
                      <w:szCs w:val="21"/>
                      <w:highlight w:val="none"/>
                    </w:rPr>
                    <w:t>推进城市建成区、工业园区实行集中供热，使用清洁燃料。在集中供热管网覆盖区域内，禁止新建、改建、扩建燃煤供热锅炉，集中供热管网覆盖前，已建成使用的燃煤供热锅炉应当限期停止使用</w:t>
                  </w:r>
                  <w:r>
                    <w:rPr>
                      <w:rFonts w:hint="default" w:ascii="Times New Roman" w:hAnsi="Times New Roman" w:cs="Times New Roman"/>
                      <w:kern w:val="0"/>
                      <w:sz w:val="21"/>
                      <w:szCs w:val="21"/>
                      <w:highlight w:val="none"/>
                      <w:lang w:eastAsia="zh-CN"/>
                    </w:rPr>
                    <w:t>。</w:t>
                  </w:r>
                </w:p>
                <w:p w14:paraId="3A642C63">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eastAsia="宋体" w:cs="Times New Roman"/>
                      <w:kern w:val="0"/>
                      <w:sz w:val="21"/>
                      <w:szCs w:val="21"/>
                      <w:highlight w:val="none"/>
                      <w:lang w:eastAsia="zh-CN"/>
                    </w:rPr>
                  </w:pPr>
                  <w:r>
                    <w:rPr>
                      <w:rFonts w:hint="default" w:ascii="Times New Roman" w:hAnsi="Times New Roman" w:cs="Times New Roman"/>
                      <w:kern w:val="0"/>
                      <w:sz w:val="21"/>
                      <w:szCs w:val="21"/>
                      <w:highlight w:val="none"/>
                    </w:rPr>
                    <w:t>城市人民政府应当限期淘汰不符合国家和自治区规定规模的燃煤锅炉</w:t>
                  </w:r>
                  <w:r>
                    <w:rPr>
                      <w:rFonts w:hint="default" w:ascii="Times New Roman" w:hAnsi="Times New Roman" w:cs="Times New Roman"/>
                      <w:kern w:val="0"/>
                      <w:sz w:val="21"/>
                      <w:szCs w:val="21"/>
                      <w:highlight w:val="none"/>
                      <w:lang w:eastAsia="zh-CN"/>
                    </w:rPr>
                    <w:t>。</w:t>
                  </w:r>
                </w:p>
              </w:tc>
              <w:tc>
                <w:tcPr>
                  <w:tcW w:w="1938" w:type="pct"/>
                  <w:noWrap w:val="0"/>
                  <w:vAlign w:val="center"/>
                </w:tcPr>
                <w:p w14:paraId="0161DCA3">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highlight w:val="none"/>
                      <w:lang w:val="en-US"/>
                    </w:rPr>
                  </w:pPr>
                  <w:r>
                    <w:rPr>
                      <w:rFonts w:hint="default" w:ascii="Times New Roman" w:hAnsi="Times New Roman" w:cs="Times New Roman"/>
                      <w:kern w:val="0"/>
                      <w:sz w:val="21"/>
                      <w:szCs w:val="21"/>
                      <w:highlight w:val="none"/>
                      <w:lang w:val="en-US" w:eastAsia="zh-CN"/>
                    </w:rPr>
                    <w:t>本项目冬季采用电采暖（空气源热泵系统），不设燃煤锅炉，不使用化石燃料，符合清洁能源要求。</w:t>
                  </w:r>
                </w:p>
              </w:tc>
              <w:tc>
                <w:tcPr>
                  <w:tcW w:w="477" w:type="pct"/>
                  <w:noWrap w:val="0"/>
                  <w:vAlign w:val="center"/>
                </w:tcPr>
                <w:p w14:paraId="30E6E7B6">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符合</w:t>
                  </w:r>
                </w:p>
              </w:tc>
            </w:tr>
            <w:tr w14:paraId="0E614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noWrap w:val="0"/>
                  <w:vAlign w:val="center"/>
                </w:tcPr>
                <w:p w14:paraId="1940DB05">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p>
              </w:tc>
              <w:tc>
                <w:tcPr>
                  <w:tcW w:w="1792" w:type="pct"/>
                  <w:noWrap w:val="0"/>
                  <w:vAlign w:val="center"/>
                </w:tcPr>
                <w:p w14:paraId="142A07D4">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禁止在自治区行政区域内引进能（水）耗不符合相关国家标准中准入值要求且污染物排放和环境风险防控不符合国家（地方）标准及有关产业准入条件的高污染（排放）、高能（水）耗、高环境风险的工业项目</w:t>
                  </w:r>
                  <w:r>
                    <w:rPr>
                      <w:rFonts w:hint="default" w:ascii="Times New Roman" w:hAnsi="Times New Roman" w:cs="Times New Roman"/>
                      <w:kern w:val="0"/>
                      <w:sz w:val="21"/>
                      <w:szCs w:val="21"/>
                      <w:lang w:eastAsia="zh-CN"/>
                    </w:rPr>
                    <w:t>。</w:t>
                  </w:r>
                </w:p>
                <w:p w14:paraId="234F5C83">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eastAsia="宋体" w:cs="Times New Roman"/>
                      <w:kern w:val="0"/>
                      <w:sz w:val="21"/>
                      <w:szCs w:val="21"/>
                      <w:lang w:eastAsia="zh-CN"/>
                    </w:rPr>
                  </w:pPr>
                  <w:r>
                    <w:rPr>
                      <w:rFonts w:hint="default" w:ascii="Times New Roman" w:hAnsi="Times New Roman" w:cs="Times New Roman"/>
                      <w:kern w:val="0"/>
                      <w:sz w:val="21"/>
                      <w:szCs w:val="21"/>
                    </w:rPr>
                    <w:t>自治区人民政府应当制定或者适时修订高污染</w:t>
                  </w:r>
                  <w:r>
                    <w:rPr>
                      <w:rFonts w:hint="default" w:ascii="Times New Roman" w:hAnsi="Times New Roman" w:cs="Times New Roman"/>
                      <w:kern w:val="0"/>
                      <w:sz w:val="21"/>
                      <w:szCs w:val="21"/>
                      <w:lang w:eastAsia="zh-CN"/>
                    </w:rPr>
                    <w:t>（排放）</w:t>
                  </w:r>
                  <w:r>
                    <w:rPr>
                      <w:rFonts w:hint="default" w:ascii="Times New Roman" w:hAnsi="Times New Roman" w:cs="Times New Roman"/>
                      <w:kern w:val="0"/>
                      <w:sz w:val="21"/>
                      <w:szCs w:val="21"/>
                    </w:rPr>
                    <w:t>、高能</w:t>
                  </w:r>
                  <w:r>
                    <w:rPr>
                      <w:rFonts w:hint="default" w:ascii="Times New Roman" w:hAnsi="Times New Roman" w:cs="Times New Roman"/>
                      <w:kern w:val="0"/>
                      <w:sz w:val="21"/>
                      <w:szCs w:val="21"/>
                      <w:lang w:eastAsia="zh-CN"/>
                    </w:rPr>
                    <w:t>（水耗）</w:t>
                  </w:r>
                  <w:r>
                    <w:rPr>
                      <w:rFonts w:hint="default" w:ascii="Times New Roman" w:hAnsi="Times New Roman" w:cs="Times New Roman"/>
                      <w:kern w:val="0"/>
                      <w:sz w:val="21"/>
                      <w:szCs w:val="21"/>
                    </w:rPr>
                    <w:t>、高环境风险项目认定标准，并向社会公布</w:t>
                  </w:r>
                  <w:r>
                    <w:rPr>
                      <w:rFonts w:hint="default" w:ascii="Times New Roman" w:hAnsi="Times New Roman" w:cs="Times New Roman"/>
                      <w:kern w:val="0"/>
                      <w:sz w:val="21"/>
                      <w:szCs w:val="21"/>
                      <w:lang w:eastAsia="zh-CN"/>
                    </w:rPr>
                    <w:t>。</w:t>
                  </w:r>
                </w:p>
              </w:tc>
              <w:tc>
                <w:tcPr>
                  <w:tcW w:w="1938" w:type="pct"/>
                  <w:noWrap w:val="0"/>
                  <w:vAlign w:val="center"/>
                </w:tcPr>
                <w:p w14:paraId="7A4080E8">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lang w:val="en-US" w:eastAsia="zh-CN"/>
                    </w:rPr>
                    <w:t>本项目属于《产业结构调整指导目录（2024年本）》鼓励类项目，不属于高污染、高能耗、高环境风险项目；项目能耗、水耗符合相关标准要求，污染物排放和环境风险防控措施满足国家和地方标准。</w:t>
                  </w:r>
                </w:p>
              </w:tc>
              <w:tc>
                <w:tcPr>
                  <w:tcW w:w="477" w:type="pct"/>
                  <w:noWrap w:val="0"/>
                  <w:vAlign w:val="center"/>
                </w:tcPr>
                <w:p w14:paraId="6620ED95">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符合</w:t>
                  </w:r>
                </w:p>
              </w:tc>
            </w:tr>
            <w:tr w14:paraId="46A6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noWrap w:val="0"/>
                  <w:vAlign w:val="center"/>
                </w:tcPr>
                <w:p w14:paraId="60DCC9CB">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p>
              </w:tc>
              <w:tc>
                <w:tcPr>
                  <w:tcW w:w="1792" w:type="pct"/>
                  <w:noWrap w:val="0"/>
                  <w:vAlign w:val="center"/>
                </w:tcPr>
                <w:p w14:paraId="2C5373C0">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贮存易产生扬尘的煤炭、煤矸石、煤渣、煤灰、水泥、石灰、石膏、砂土等物料的堆场应当密闭；输送的物料应当在装料、卸料处配备吸尘、喷淋等防尘设施</w:t>
                  </w:r>
                </w:p>
              </w:tc>
              <w:tc>
                <w:tcPr>
                  <w:tcW w:w="1938" w:type="pct"/>
                  <w:noWrap w:val="0"/>
                  <w:vAlign w:val="center"/>
                </w:tcPr>
                <w:p w14:paraId="39C4776F">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cs="Times New Roman"/>
                      <w:kern w:val="0"/>
                      <w:sz w:val="21"/>
                      <w:szCs w:val="21"/>
                    </w:rPr>
                    <w:t>本项目不设燃煤设施，不使用上述易产生扬尘的物料；施工期对砂石、水泥等易产生扬尘物料采用防尘网或苫布覆盖，严格落实扬尘防治措施</w:t>
                  </w:r>
                  <w:r>
                    <w:rPr>
                      <w:rFonts w:hint="default" w:ascii="Times New Roman" w:hAnsi="Times New Roman" w:cs="Times New Roman"/>
                      <w:kern w:val="0"/>
                      <w:sz w:val="21"/>
                      <w:szCs w:val="21"/>
                      <w:lang w:eastAsia="zh-CN"/>
                    </w:rPr>
                    <w:t>。</w:t>
                  </w:r>
                </w:p>
              </w:tc>
              <w:tc>
                <w:tcPr>
                  <w:tcW w:w="477" w:type="pct"/>
                  <w:noWrap w:val="0"/>
                  <w:vAlign w:val="center"/>
                </w:tcPr>
                <w:p w14:paraId="1CF7932A">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符合</w:t>
                  </w:r>
                </w:p>
              </w:tc>
            </w:tr>
            <w:tr w14:paraId="60600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restart"/>
                  <w:noWrap w:val="0"/>
                  <w:vAlign w:val="center"/>
                </w:tcPr>
                <w:p w14:paraId="55475DC3">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highlight w:val="none"/>
                    </w:rPr>
                  </w:pPr>
                  <w:r>
                    <w:rPr>
                      <w:rFonts w:hint="default" w:ascii="Times New Roman" w:hAnsi="Times New Roman" w:cs="Times New Roman"/>
                      <w:kern w:val="0"/>
                      <w:sz w:val="21"/>
                      <w:szCs w:val="21"/>
                      <w:highlight w:val="none"/>
                      <w:lang w:val="en-US" w:eastAsia="zh-CN"/>
                    </w:rPr>
                    <w:t>《工业料堆场扬尘整治规范》（DB 65/T 4061-2017）</w:t>
                  </w:r>
                </w:p>
              </w:tc>
              <w:tc>
                <w:tcPr>
                  <w:tcW w:w="1792" w:type="pct"/>
                  <w:noWrap w:val="0"/>
                  <w:vAlign w:val="center"/>
                </w:tcPr>
                <w:p w14:paraId="30C181BF">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highlight w:val="none"/>
                      <w:lang w:val="en-US" w:eastAsia="zh-CN"/>
                    </w:rPr>
                  </w:pPr>
                  <w:r>
                    <w:rPr>
                      <w:rFonts w:hint="default" w:ascii="Times New Roman" w:hAnsi="Times New Roman" w:cs="Times New Roman"/>
                      <w:kern w:val="0"/>
                      <w:sz w:val="21"/>
                      <w:szCs w:val="21"/>
                      <w:highlight w:val="none"/>
                      <w:lang w:val="en-US" w:eastAsia="zh-CN"/>
                    </w:rPr>
                    <w:t>对工业料堆场内装卸、运输等作业过程中，易产生扬尘污染的物料必须采取封闭、遮盖、洒水降尘措施，密闭输送物料必须在装料、卸料处配备吸尘、喷淋防尘措施。</w:t>
                  </w:r>
                </w:p>
              </w:tc>
              <w:tc>
                <w:tcPr>
                  <w:tcW w:w="1938" w:type="pct"/>
                  <w:noWrap w:val="0"/>
                  <w:vAlign w:val="center"/>
                </w:tcPr>
                <w:p w14:paraId="7F434E1F">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highlight w:val="none"/>
                    </w:rPr>
                  </w:pPr>
                  <w:r>
                    <w:rPr>
                      <w:rFonts w:hint="default" w:ascii="Times New Roman" w:hAnsi="Times New Roman" w:cs="Times New Roman"/>
                      <w:kern w:val="0"/>
                      <w:sz w:val="21"/>
                      <w:szCs w:val="21"/>
                      <w:highlight w:val="none"/>
                    </w:rPr>
                    <w:t>本项目不设工业料堆场；施工期对易产生扬尘的砂石、水泥等物料采用防尘网或苫布进行覆盖，施工场地定期洒水降尘</w:t>
                  </w:r>
                </w:p>
              </w:tc>
              <w:tc>
                <w:tcPr>
                  <w:tcW w:w="477" w:type="pct"/>
                  <w:noWrap w:val="0"/>
                  <w:vAlign w:val="center"/>
                </w:tcPr>
                <w:p w14:paraId="60CAF5A6">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lang w:val="en-US" w:eastAsia="zh-CN"/>
                    </w:rPr>
                  </w:pPr>
                  <w:r>
                    <w:rPr>
                      <w:rFonts w:hint="default" w:ascii="Times New Roman" w:hAnsi="Times New Roman" w:cs="Times New Roman"/>
                      <w:kern w:val="0"/>
                      <w:sz w:val="21"/>
                      <w:szCs w:val="21"/>
                      <w:lang w:val="en-US" w:eastAsia="zh-CN"/>
                    </w:rPr>
                    <w:t>符合</w:t>
                  </w:r>
                </w:p>
              </w:tc>
            </w:tr>
            <w:tr w14:paraId="75BC3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noWrap w:val="0"/>
                  <w:vAlign w:val="center"/>
                </w:tcPr>
                <w:p w14:paraId="3BDA60AA">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highlight w:val="none"/>
                    </w:rPr>
                  </w:pPr>
                </w:p>
              </w:tc>
              <w:tc>
                <w:tcPr>
                  <w:tcW w:w="1792" w:type="pct"/>
                  <w:noWrap w:val="0"/>
                  <w:vAlign w:val="center"/>
                </w:tcPr>
                <w:p w14:paraId="66EA0A77">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highlight w:val="none"/>
                      <w:lang w:val="en-US" w:eastAsia="zh-CN"/>
                    </w:rPr>
                  </w:pPr>
                  <w:r>
                    <w:rPr>
                      <w:rFonts w:hint="default" w:ascii="Times New Roman" w:hAnsi="Times New Roman" w:cs="Times New Roman"/>
                      <w:spacing w:val="-6"/>
                      <w:kern w:val="0"/>
                      <w:sz w:val="21"/>
                      <w:szCs w:val="21"/>
                      <w:highlight w:val="none"/>
                    </w:rPr>
                    <w:t>在工业料堆场出口处设置车辆清洗的专用场地，配备运输车辆冲洗保洁设施，冲洗沉积物必须</w:t>
                  </w:r>
                  <w:r>
                    <w:rPr>
                      <w:rFonts w:hint="default" w:ascii="Times New Roman" w:hAnsi="Times New Roman" w:cs="Times New Roman"/>
                      <w:spacing w:val="-6"/>
                      <w:kern w:val="0"/>
                      <w:sz w:val="21"/>
                      <w:szCs w:val="21"/>
                      <w:highlight w:val="none"/>
                      <w:lang w:eastAsia="zh-CN"/>
                    </w:rPr>
                    <w:t>及时</w:t>
                  </w:r>
                  <w:r>
                    <w:rPr>
                      <w:rFonts w:hint="default" w:ascii="Times New Roman" w:hAnsi="Times New Roman" w:cs="Times New Roman"/>
                      <w:spacing w:val="-6"/>
                      <w:kern w:val="0"/>
                      <w:sz w:val="21"/>
                      <w:szCs w:val="21"/>
                      <w:highlight w:val="none"/>
                    </w:rPr>
                    <w:t>清理和清运，冲洗污水必须经回收系统收集、处理。</w:t>
                  </w:r>
                </w:p>
              </w:tc>
              <w:tc>
                <w:tcPr>
                  <w:tcW w:w="1938" w:type="pct"/>
                  <w:noWrap w:val="0"/>
                  <w:vAlign w:val="center"/>
                </w:tcPr>
                <w:p w14:paraId="4FAEF98A">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highlight w:val="none"/>
                      <w:lang w:val="en-US" w:eastAsia="zh-CN"/>
                    </w:rPr>
                  </w:pPr>
                  <w:r>
                    <w:rPr>
                      <w:rFonts w:hint="default" w:ascii="Times New Roman" w:hAnsi="Times New Roman" w:cs="Times New Roman"/>
                      <w:kern w:val="0"/>
                      <w:sz w:val="21"/>
                      <w:szCs w:val="21"/>
                      <w:highlight w:val="none"/>
                      <w:lang w:val="en-US" w:eastAsia="zh-CN"/>
                    </w:rPr>
                    <w:t>本项目在施工场地出口设置车辆冲洗设施，冲洗废水经临时沉淀池处理后回用于场地洒水抑尘，不外排。</w:t>
                  </w:r>
                </w:p>
              </w:tc>
              <w:tc>
                <w:tcPr>
                  <w:tcW w:w="477" w:type="pct"/>
                  <w:noWrap w:val="0"/>
                  <w:vAlign w:val="center"/>
                </w:tcPr>
                <w:p w14:paraId="07CCB3FF">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lang w:val="en-US" w:eastAsia="zh-CN"/>
                    </w:rPr>
                  </w:pPr>
                  <w:r>
                    <w:rPr>
                      <w:rFonts w:hint="default" w:ascii="Times New Roman" w:hAnsi="Times New Roman" w:cs="Times New Roman"/>
                      <w:kern w:val="0"/>
                      <w:sz w:val="21"/>
                      <w:szCs w:val="21"/>
                      <w:lang w:val="en-US" w:eastAsia="zh-CN"/>
                    </w:rPr>
                    <w:t>符合</w:t>
                  </w:r>
                </w:p>
              </w:tc>
            </w:tr>
            <w:tr w14:paraId="62DAD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restart"/>
                  <w:noWrap w:val="0"/>
                  <w:vAlign w:val="center"/>
                </w:tcPr>
                <w:p w14:paraId="505D1BBE">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highlight w:val="none"/>
                    </w:rPr>
                  </w:pPr>
                  <w:r>
                    <w:rPr>
                      <w:rFonts w:hint="default" w:ascii="Times New Roman" w:hAnsi="Times New Roman" w:cs="Times New Roman"/>
                      <w:kern w:val="0"/>
                      <w:sz w:val="21"/>
                      <w:szCs w:val="21"/>
                      <w:highlight w:val="none"/>
                    </w:rPr>
                    <w:t>《自治州大气污染防治三年攻坚行动方案（2023－2025年）》</w:t>
                  </w:r>
                </w:p>
              </w:tc>
              <w:tc>
                <w:tcPr>
                  <w:tcW w:w="1792" w:type="pct"/>
                  <w:noWrap w:val="0"/>
                  <w:vAlign w:val="center"/>
                </w:tcPr>
                <w:p w14:paraId="5594B82E">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highlight w:val="none"/>
                    </w:rPr>
                  </w:pPr>
                  <w:r>
                    <w:rPr>
                      <w:rFonts w:hint="default" w:ascii="Times New Roman" w:hAnsi="Times New Roman" w:cs="Times New Roman"/>
                      <w:kern w:val="0"/>
                      <w:sz w:val="21"/>
                      <w:szCs w:val="21"/>
                      <w:highlight w:val="none"/>
                      <w:lang w:val="en-US" w:eastAsia="zh-CN"/>
                    </w:rPr>
                    <w:t>推进燃煤自备电厂、平板玻璃、金属冶炼、砖瓦窑、石灰等行业全面稳定达标排放。对铸造、水泥、砖瓦、石灰、金属冶炼以及石油化工等行业开展排查，严格控制物料储存、输送及生产工艺过程无组织排放。</w:t>
                  </w:r>
                </w:p>
              </w:tc>
              <w:tc>
                <w:tcPr>
                  <w:tcW w:w="1938" w:type="pct"/>
                  <w:noWrap w:val="0"/>
                  <w:vAlign w:val="center"/>
                </w:tcPr>
                <w:p w14:paraId="04677117">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highlight w:val="none"/>
                      <w:lang w:val="en-US" w:eastAsia="zh-CN"/>
                    </w:rPr>
                  </w:pPr>
                  <w:r>
                    <w:rPr>
                      <w:rFonts w:hint="default" w:ascii="Times New Roman" w:hAnsi="Times New Roman" w:cs="Times New Roman"/>
                      <w:kern w:val="0"/>
                      <w:sz w:val="21"/>
                      <w:szCs w:val="21"/>
                      <w:highlight w:val="none"/>
                      <w:lang w:val="en-US" w:eastAsia="zh-CN"/>
                    </w:rPr>
                    <w:t>本项目为污水处理厂，不属于上述重点行业；运营期对预处理区、生化处理区、污泥处理区等产臭单元进行密闭加盖，臭气经收集处理后排放，有效控制无组织排放。</w:t>
                  </w:r>
                </w:p>
              </w:tc>
              <w:tc>
                <w:tcPr>
                  <w:tcW w:w="477" w:type="pct"/>
                  <w:noWrap w:val="0"/>
                  <w:vAlign w:val="center"/>
                </w:tcPr>
                <w:p w14:paraId="43455EE8">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lang w:val="en-US" w:eastAsia="zh-CN"/>
                    </w:rPr>
                  </w:pPr>
                  <w:r>
                    <w:rPr>
                      <w:rFonts w:hint="default" w:ascii="Times New Roman" w:hAnsi="Times New Roman" w:cs="Times New Roman"/>
                      <w:kern w:val="0"/>
                      <w:sz w:val="21"/>
                      <w:szCs w:val="21"/>
                      <w:lang w:val="en-US" w:eastAsia="zh-CN"/>
                    </w:rPr>
                    <w:t>符合</w:t>
                  </w:r>
                </w:p>
              </w:tc>
            </w:tr>
            <w:tr w14:paraId="6CCE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noWrap w:val="0"/>
                  <w:vAlign w:val="center"/>
                </w:tcPr>
                <w:p w14:paraId="23F5CA4A">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p>
              </w:tc>
              <w:tc>
                <w:tcPr>
                  <w:tcW w:w="1792" w:type="pct"/>
                  <w:noWrap w:val="0"/>
                  <w:vAlign w:val="center"/>
                </w:tcPr>
                <w:p w14:paraId="39E787D1">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lang w:val="en-US" w:eastAsia="zh-CN"/>
                    </w:rPr>
                  </w:pPr>
                  <w:r>
                    <w:rPr>
                      <w:rFonts w:hint="default" w:ascii="Times New Roman" w:hAnsi="Times New Roman" w:cs="Times New Roman"/>
                      <w:kern w:val="0"/>
                      <w:sz w:val="21"/>
                      <w:szCs w:val="21"/>
                      <w:lang w:val="en-US" w:eastAsia="zh-CN"/>
                    </w:rPr>
                    <w:t>落实原料堆场、投料、传输、搅拌、出料全环节密闭；厂区和运输道路实现硬化，并洒水降尘；进出车辆高效冲洗，确保厂区内外无积尘。</w:t>
                  </w:r>
                </w:p>
              </w:tc>
              <w:tc>
                <w:tcPr>
                  <w:tcW w:w="1938" w:type="pct"/>
                  <w:noWrap w:val="0"/>
                  <w:vAlign w:val="center"/>
                </w:tcPr>
                <w:p w14:paraId="2906D895">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lang w:val="en-US" w:eastAsia="zh-CN"/>
                    </w:rPr>
                  </w:pPr>
                  <w:r>
                    <w:rPr>
                      <w:rFonts w:hint="default" w:ascii="Times New Roman" w:hAnsi="Times New Roman" w:cs="Times New Roman"/>
                      <w:kern w:val="0"/>
                      <w:sz w:val="21"/>
                      <w:szCs w:val="21"/>
                      <w:lang w:val="en-US" w:eastAsia="zh-CN"/>
                    </w:rPr>
                    <w:t>本项目施工期落实</w:t>
                  </w:r>
                  <w:r>
                    <w:rPr>
                      <w:rFonts w:hint="eastAsia" w:cs="Times New Roman"/>
                      <w:kern w:val="0"/>
                      <w:sz w:val="21"/>
                      <w:szCs w:val="21"/>
                      <w:lang w:val="en-US" w:eastAsia="zh-CN"/>
                    </w:rPr>
                    <w:t>“</w:t>
                  </w:r>
                  <w:r>
                    <w:rPr>
                      <w:rFonts w:hint="default" w:ascii="Times New Roman" w:hAnsi="Times New Roman" w:cs="Times New Roman"/>
                      <w:kern w:val="0"/>
                      <w:sz w:val="21"/>
                      <w:szCs w:val="21"/>
                      <w:lang w:val="en-US" w:eastAsia="zh-CN"/>
                    </w:rPr>
                    <w:t>六个百分百</w:t>
                  </w:r>
                  <w:r>
                    <w:rPr>
                      <w:rFonts w:hint="eastAsia" w:cs="Times New Roman"/>
                      <w:kern w:val="0"/>
                      <w:sz w:val="21"/>
                      <w:szCs w:val="21"/>
                      <w:lang w:val="en-US" w:eastAsia="zh-CN"/>
                    </w:rPr>
                    <w:t>“</w:t>
                  </w:r>
                  <w:r>
                    <w:rPr>
                      <w:rFonts w:hint="default" w:ascii="Times New Roman" w:hAnsi="Times New Roman" w:cs="Times New Roman"/>
                      <w:kern w:val="0"/>
                      <w:sz w:val="21"/>
                      <w:szCs w:val="21"/>
                      <w:lang w:val="en-US" w:eastAsia="zh-CN"/>
                    </w:rPr>
                    <w:t>要求；运营期厂区道路硬化，定期洒水降尘。</w:t>
                  </w:r>
                </w:p>
              </w:tc>
              <w:tc>
                <w:tcPr>
                  <w:tcW w:w="477" w:type="pct"/>
                  <w:noWrap w:val="0"/>
                  <w:vAlign w:val="center"/>
                </w:tcPr>
                <w:p w14:paraId="7D063454">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lang w:val="en-US" w:eastAsia="zh-CN"/>
                    </w:rPr>
                  </w:pPr>
                  <w:r>
                    <w:rPr>
                      <w:rFonts w:hint="default" w:ascii="Times New Roman" w:hAnsi="Times New Roman" w:cs="Times New Roman"/>
                      <w:kern w:val="0"/>
                      <w:sz w:val="21"/>
                      <w:szCs w:val="21"/>
                      <w:lang w:val="en-US" w:eastAsia="zh-CN"/>
                    </w:rPr>
                    <w:t>符合</w:t>
                  </w:r>
                </w:p>
              </w:tc>
            </w:tr>
            <w:tr w14:paraId="39552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restart"/>
                  <w:noWrap w:val="0"/>
                  <w:vAlign w:val="center"/>
                </w:tcPr>
                <w:p w14:paraId="605F78A5">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sz w:val="21"/>
                      <w:szCs w:val="21"/>
                    </w:rPr>
                    <w:t>《新疆维吾尔自治区主体功能区划》</w:t>
                  </w:r>
                </w:p>
              </w:tc>
              <w:tc>
                <w:tcPr>
                  <w:tcW w:w="1792" w:type="pct"/>
                  <w:shd w:val="clear" w:color="auto" w:fill="auto"/>
                  <w:noWrap w:val="0"/>
                  <w:vAlign w:val="center"/>
                </w:tcPr>
                <w:p w14:paraId="768F4179">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加强基础设施建设：统筹规划建设水利、交通、能源、通信、环保、气象、防灾等基础设施</w:t>
                  </w:r>
                </w:p>
              </w:tc>
              <w:tc>
                <w:tcPr>
                  <w:tcW w:w="1938" w:type="pct"/>
                  <w:shd w:val="clear" w:color="auto" w:fill="auto"/>
                  <w:noWrap w:val="0"/>
                  <w:vAlign w:val="center"/>
                </w:tcPr>
                <w:p w14:paraId="11E5FEA4">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本项目为城镇生活污水处理厂，属于园区环保基础设施的重要组成部分，符合重点开发区域</w:t>
                  </w:r>
                  <w:r>
                    <w:rPr>
                      <w:rFonts w:hint="eastAsia" w:cs="Times New Roman"/>
                      <w:sz w:val="21"/>
                      <w:szCs w:val="21"/>
                      <w:lang w:val="en-US" w:eastAsia="zh-CN"/>
                    </w:rPr>
                    <w:t>“</w:t>
                  </w:r>
                  <w:r>
                    <w:rPr>
                      <w:rFonts w:hint="default" w:ascii="Times New Roman" w:hAnsi="Times New Roman" w:cs="Times New Roman"/>
                      <w:sz w:val="21"/>
                      <w:szCs w:val="21"/>
                      <w:lang w:val="en-US" w:eastAsia="zh-CN"/>
                    </w:rPr>
                    <w:t>加强基础设施建设</w:t>
                  </w:r>
                  <w:r>
                    <w:rPr>
                      <w:rFonts w:hint="eastAsia" w:cs="Times New Roman"/>
                      <w:sz w:val="21"/>
                      <w:szCs w:val="21"/>
                      <w:lang w:val="en-US" w:eastAsia="zh-CN"/>
                    </w:rPr>
                    <w:t>“</w:t>
                  </w:r>
                  <w:r>
                    <w:rPr>
                      <w:rFonts w:hint="default" w:ascii="Times New Roman" w:hAnsi="Times New Roman" w:cs="Times New Roman"/>
                      <w:sz w:val="21"/>
                      <w:szCs w:val="21"/>
                      <w:lang w:val="en-US" w:eastAsia="zh-CN"/>
                    </w:rPr>
                    <w:t>的开发原则</w:t>
                  </w:r>
                </w:p>
              </w:tc>
              <w:tc>
                <w:tcPr>
                  <w:tcW w:w="477" w:type="pct"/>
                  <w:shd w:val="clear" w:color="auto" w:fill="auto"/>
                  <w:noWrap w:val="0"/>
                  <w:vAlign w:val="center"/>
                </w:tcPr>
                <w:p w14:paraId="5F32F321">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符合</w:t>
                  </w:r>
                </w:p>
              </w:tc>
            </w:tr>
            <w:tr w14:paraId="7AF7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noWrap w:val="0"/>
                  <w:vAlign w:val="center"/>
                </w:tcPr>
                <w:p w14:paraId="3009244D">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p>
              </w:tc>
              <w:tc>
                <w:tcPr>
                  <w:tcW w:w="1792" w:type="pct"/>
                  <w:shd w:val="clear" w:color="auto" w:fill="auto"/>
                  <w:noWrap w:val="0"/>
                  <w:vAlign w:val="center"/>
                </w:tcPr>
                <w:p w14:paraId="3A25DB26">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禁止开发区域管控要求：禁止开发区域是指依法设立的各级各类自然文化资源保护区域，以及其他禁止进行工业化城镇化开发、需要特殊保护的重点生态功能区</w:t>
                  </w:r>
                </w:p>
              </w:tc>
              <w:tc>
                <w:tcPr>
                  <w:tcW w:w="1938" w:type="pct"/>
                  <w:shd w:val="clear" w:color="auto" w:fill="auto"/>
                  <w:noWrap w:val="0"/>
                  <w:vAlign w:val="center"/>
                </w:tcPr>
                <w:p w14:paraId="295DF348">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本项目选址位于石油石化产业园现有厂区内，不涉及自然保护区、风景名胜区、森林公园、地质公园、重要水源地等国家和自治区层面禁止开发区域</w:t>
                  </w:r>
                </w:p>
              </w:tc>
              <w:tc>
                <w:tcPr>
                  <w:tcW w:w="477" w:type="pct"/>
                  <w:shd w:val="clear" w:color="auto" w:fill="auto"/>
                  <w:noWrap w:val="0"/>
                  <w:vAlign w:val="center"/>
                </w:tcPr>
                <w:p w14:paraId="24CA97DA">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符合</w:t>
                  </w:r>
                </w:p>
              </w:tc>
            </w:tr>
            <w:tr w14:paraId="1194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noWrap w:val="0"/>
                  <w:vAlign w:val="center"/>
                </w:tcPr>
                <w:p w14:paraId="0AB07E62">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p>
              </w:tc>
              <w:tc>
                <w:tcPr>
                  <w:tcW w:w="1792" w:type="pct"/>
                  <w:shd w:val="clear" w:color="auto" w:fill="auto"/>
                  <w:noWrap w:val="0"/>
                  <w:vAlign w:val="center"/>
                </w:tcPr>
                <w:p w14:paraId="4AC06B67">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功能定位：重点开发区域是指有一定经济基础，资源环境承载能力较强，发展潜力较大，集聚人口和经济条件较好，从而应该重点进行工业化城镇化开发的城市化地区。自治区层面重点开发区域主要指点状分布的承载绿洲经济发展的县市城关镇和重要工业园区</w:t>
                  </w:r>
                </w:p>
              </w:tc>
              <w:tc>
                <w:tcPr>
                  <w:tcW w:w="1938" w:type="pct"/>
                  <w:shd w:val="clear" w:color="auto" w:fill="auto"/>
                  <w:noWrap w:val="0"/>
                  <w:vAlign w:val="center"/>
                </w:tcPr>
                <w:p w14:paraId="65D62364">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本项目位于库尔勒上库高新技术产业开发区石油石化产业园，该园区属于自治区人民政府批准设立的工业园区，为重点开发区域中</w:t>
                  </w:r>
                  <w:r>
                    <w:rPr>
                      <w:rFonts w:hint="eastAsia" w:cs="Times New Roman"/>
                      <w:sz w:val="21"/>
                      <w:szCs w:val="21"/>
                      <w:lang w:val="en-US" w:eastAsia="zh-CN"/>
                    </w:rPr>
                    <w:t>“</w:t>
                  </w:r>
                  <w:r>
                    <w:rPr>
                      <w:rFonts w:hint="default" w:ascii="Times New Roman" w:hAnsi="Times New Roman" w:cs="Times New Roman"/>
                      <w:sz w:val="21"/>
                      <w:szCs w:val="21"/>
                      <w:lang w:val="en-US" w:eastAsia="zh-CN"/>
                    </w:rPr>
                    <w:t>重要工业园区</w:t>
                  </w:r>
                  <w:r>
                    <w:rPr>
                      <w:rFonts w:hint="eastAsia" w:cs="Times New Roman"/>
                      <w:sz w:val="21"/>
                      <w:szCs w:val="21"/>
                      <w:lang w:val="en-US" w:eastAsia="zh-CN"/>
                    </w:rPr>
                    <w:t>“</w:t>
                  </w:r>
                  <w:r>
                    <w:rPr>
                      <w:rFonts w:hint="default" w:ascii="Times New Roman" w:hAnsi="Times New Roman" w:cs="Times New Roman"/>
                      <w:sz w:val="21"/>
                      <w:szCs w:val="21"/>
                      <w:lang w:val="en-US" w:eastAsia="zh-CN"/>
                    </w:rPr>
                    <w:t>的组成部分。项目作为园区配套的环保基础设施，符合重点开发区域的功能定位。</w:t>
                  </w:r>
                </w:p>
              </w:tc>
              <w:tc>
                <w:tcPr>
                  <w:tcW w:w="477" w:type="pct"/>
                  <w:shd w:val="clear" w:color="auto" w:fill="auto"/>
                  <w:noWrap w:val="0"/>
                  <w:vAlign w:val="center"/>
                </w:tcPr>
                <w:p w14:paraId="1DE14779">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符合</w:t>
                  </w:r>
                </w:p>
              </w:tc>
            </w:tr>
            <w:tr w14:paraId="697A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restart"/>
                  <w:noWrap w:val="0"/>
                  <w:vAlign w:val="center"/>
                </w:tcPr>
                <w:p w14:paraId="2A3D3364">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《关于推进污水资源化利用的指导意见》</w:t>
                  </w:r>
                </w:p>
              </w:tc>
              <w:tc>
                <w:tcPr>
                  <w:tcW w:w="1792" w:type="pct"/>
                  <w:shd w:val="clear" w:color="auto" w:fill="auto"/>
                  <w:noWrap w:val="0"/>
                  <w:vAlign w:val="center"/>
                </w:tcPr>
                <w:p w14:paraId="7ABCF42A">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在城镇、工业和农业农村等领域系统开展污水资源化利用，以缺水地区和水环境敏感区域为重点，以城镇生活污水资源化利用为突破口，以工业利用和生态补水为主要途径</w:t>
                  </w:r>
                </w:p>
              </w:tc>
              <w:tc>
                <w:tcPr>
                  <w:tcW w:w="1938" w:type="pct"/>
                  <w:shd w:val="clear" w:color="auto" w:fill="auto"/>
                  <w:noWrap w:val="0"/>
                  <w:vAlign w:val="center"/>
                </w:tcPr>
                <w:p w14:paraId="6EB366F7">
                  <w:pPr>
                    <w:pStyle w:val="24"/>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本项目为城镇生活污水处理厂，服务范围为库尔勒上库高新区石油石化产业园，设计处理能力2500m</w:t>
                  </w:r>
                  <w:r>
                    <w:rPr>
                      <w:rFonts w:hint="eastAsia" w:cs="Times New Roman"/>
                      <w:sz w:val="21"/>
                      <w:szCs w:val="21"/>
                      <w:vertAlign w:val="superscript"/>
                      <w:lang w:val="en-US" w:eastAsia="zh-CN"/>
                    </w:rPr>
                    <w:t>3</w:t>
                  </w:r>
                  <w:r>
                    <w:rPr>
                      <w:rFonts w:hint="default" w:ascii="Times New Roman" w:hAnsi="Times New Roman" w:cs="Times New Roman"/>
                      <w:sz w:val="21"/>
                      <w:szCs w:val="21"/>
                      <w:lang w:val="en-US" w:eastAsia="zh-CN"/>
                    </w:rPr>
                    <w:t>/d，出水水质执行《城镇污水处理厂污染物排放标准》（GB18918-2002）及其修改单一级A标准，尾水全部回用，属于典型的城镇生活污水资源化利用项目，符合以城镇生活污水资源化利用为突破口的政策导向。</w:t>
                  </w:r>
                </w:p>
              </w:tc>
              <w:tc>
                <w:tcPr>
                  <w:tcW w:w="477" w:type="pct"/>
                  <w:shd w:val="clear" w:color="auto" w:fill="auto"/>
                  <w:noWrap w:val="0"/>
                  <w:vAlign w:val="center"/>
                </w:tcPr>
                <w:p w14:paraId="6DC18384">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符合</w:t>
                  </w:r>
                </w:p>
              </w:tc>
            </w:tr>
            <w:tr w14:paraId="7BA4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noWrap w:val="0"/>
                  <w:vAlign w:val="center"/>
                </w:tcPr>
                <w:p w14:paraId="4516935E">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p>
              </w:tc>
              <w:tc>
                <w:tcPr>
                  <w:tcW w:w="1792" w:type="pct"/>
                  <w:shd w:val="clear" w:color="auto" w:fill="auto"/>
                  <w:noWrap w:val="0"/>
                  <w:vAlign w:val="center"/>
                </w:tcPr>
                <w:p w14:paraId="4409E520">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基本原则——节水优先、统筹推进：秉持</w:t>
                  </w:r>
                  <w:r>
                    <w:rPr>
                      <w:rFonts w:hint="eastAsia" w:cs="Times New Roman"/>
                      <w:sz w:val="21"/>
                      <w:szCs w:val="21"/>
                      <w:lang w:val="en-US" w:eastAsia="zh-CN"/>
                    </w:rPr>
                    <w:t>“</w:t>
                  </w:r>
                  <w:r>
                    <w:rPr>
                      <w:rFonts w:hint="default" w:ascii="Times New Roman" w:hAnsi="Times New Roman" w:cs="Times New Roman"/>
                      <w:sz w:val="21"/>
                      <w:szCs w:val="21"/>
                      <w:lang w:val="en-US" w:eastAsia="zh-CN"/>
                    </w:rPr>
                    <w:t>节水即治污</w:t>
                  </w:r>
                  <w:r>
                    <w:rPr>
                      <w:rFonts w:hint="eastAsia" w:cs="Times New Roman"/>
                      <w:sz w:val="21"/>
                      <w:szCs w:val="21"/>
                      <w:lang w:val="en-US" w:eastAsia="zh-CN"/>
                    </w:rPr>
                    <w:t>“</w:t>
                  </w:r>
                  <w:r>
                    <w:rPr>
                      <w:rFonts w:hint="default" w:ascii="Times New Roman" w:hAnsi="Times New Roman" w:cs="Times New Roman"/>
                      <w:sz w:val="21"/>
                      <w:szCs w:val="21"/>
                      <w:lang w:val="en-US" w:eastAsia="zh-CN"/>
                    </w:rPr>
                    <w:t>的理念，坚持节水优先，强化用水总量和强度双控。将污水资源化利用作为节水开源的重要内容，再生水纳入水资源统一配置</w:t>
                  </w:r>
                </w:p>
              </w:tc>
              <w:tc>
                <w:tcPr>
                  <w:tcW w:w="1938" w:type="pct"/>
                  <w:shd w:val="clear" w:color="auto" w:fill="auto"/>
                  <w:noWrap w:val="0"/>
                  <w:vAlign w:val="center"/>
                </w:tcPr>
                <w:p w14:paraId="7CD076DC">
                  <w:pPr>
                    <w:pStyle w:val="24"/>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本项目设计出水水质执行一级A标准，灌溉期用于园区绿化灌溉，非灌溉期供给园区企业回用或储存至现状中水库，再生水回用率100%，有效替代新鲜水资源，减少园区新鲜水取用量，是将污水资源化利用作为节水开源重要内容的具体实践。</w:t>
                  </w:r>
                </w:p>
              </w:tc>
              <w:tc>
                <w:tcPr>
                  <w:tcW w:w="477" w:type="pct"/>
                  <w:shd w:val="clear" w:color="auto" w:fill="auto"/>
                  <w:noWrap w:val="0"/>
                  <w:vAlign w:val="center"/>
                </w:tcPr>
                <w:p w14:paraId="3EFE58A0">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符合</w:t>
                  </w:r>
                </w:p>
              </w:tc>
            </w:tr>
            <w:tr w14:paraId="34CE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noWrap w:val="0"/>
                  <w:vAlign w:val="center"/>
                </w:tcPr>
                <w:p w14:paraId="7E1BEF09">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p>
              </w:tc>
              <w:tc>
                <w:tcPr>
                  <w:tcW w:w="1792" w:type="pct"/>
                  <w:shd w:val="clear" w:color="auto" w:fill="auto"/>
                  <w:noWrap w:val="0"/>
                  <w:vAlign w:val="center"/>
                </w:tcPr>
                <w:p w14:paraId="17CE8664">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因地制宜、分类施策：根据本地水资源禀赋、水环境承载力、发展需求和经济技术水平等因素分区分类开展污水资源化利用工作</w:t>
                  </w:r>
                </w:p>
              </w:tc>
              <w:tc>
                <w:tcPr>
                  <w:tcW w:w="1938" w:type="pct"/>
                  <w:shd w:val="clear" w:color="auto" w:fill="auto"/>
                  <w:noWrap w:val="0"/>
                  <w:vAlign w:val="center"/>
                </w:tcPr>
                <w:p w14:paraId="5BBCFBC6">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库尔勒地处塔里木盆地东北缘，属典型干旱半干旱大陆性气候区，降水稀少、蒸发强烈，水资源禀赋较差，属于资源型缺水地区。本项目因地制宜采用</w:t>
                  </w:r>
                  <w:r>
                    <w:rPr>
                      <w:rFonts w:hint="eastAsia" w:cs="Times New Roman"/>
                      <w:sz w:val="21"/>
                      <w:szCs w:val="21"/>
                      <w:lang w:val="en-US" w:eastAsia="zh-CN"/>
                    </w:rPr>
                    <w:t>“</w:t>
                  </w:r>
                  <w:r>
                    <w:rPr>
                      <w:rFonts w:hint="default" w:ascii="Times New Roman" w:hAnsi="Times New Roman" w:cs="Times New Roman"/>
                      <w:sz w:val="21"/>
                      <w:szCs w:val="21"/>
                      <w:lang w:val="en-US" w:eastAsia="zh-CN"/>
                    </w:rPr>
                    <w:t>AAO生物池+二沉池+高效沉淀池+精密过滤+消毒</w:t>
                  </w:r>
                  <w:r>
                    <w:rPr>
                      <w:rFonts w:hint="eastAsia" w:cs="Times New Roman"/>
                      <w:sz w:val="21"/>
                      <w:szCs w:val="21"/>
                      <w:lang w:val="en-US" w:eastAsia="zh-CN"/>
                    </w:rPr>
                    <w:t>“</w:t>
                  </w:r>
                  <w:r>
                    <w:rPr>
                      <w:rFonts w:hint="default" w:ascii="Times New Roman" w:hAnsi="Times New Roman" w:cs="Times New Roman"/>
                      <w:sz w:val="21"/>
                      <w:szCs w:val="21"/>
                      <w:lang w:val="en-US" w:eastAsia="zh-CN"/>
                    </w:rPr>
                    <w:t>工艺，出水水质稳定，尾水回用于园区绿化和企业工业用水，符合因地制宜、分类施策的原则。</w:t>
                  </w:r>
                </w:p>
              </w:tc>
              <w:tc>
                <w:tcPr>
                  <w:tcW w:w="477" w:type="pct"/>
                  <w:shd w:val="clear" w:color="auto" w:fill="auto"/>
                  <w:noWrap w:val="0"/>
                  <w:vAlign w:val="center"/>
                </w:tcPr>
                <w:p w14:paraId="65C84563">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符合</w:t>
                  </w:r>
                </w:p>
              </w:tc>
            </w:tr>
            <w:tr w14:paraId="1D17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noWrap w:val="0"/>
                  <w:vAlign w:val="center"/>
                </w:tcPr>
                <w:p w14:paraId="518F78BB">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p>
              </w:tc>
              <w:tc>
                <w:tcPr>
                  <w:tcW w:w="1792" w:type="pct"/>
                  <w:shd w:val="clear" w:color="auto" w:fill="auto"/>
                  <w:noWrap w:val="0"/>
                  <w:vAlign w:val="center"/>
                </w:tcPr>
                <w:p w14:paraId="57D43B49">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到2025年，全国地级及以上缺水城市再生水利用率达到25%以上；到2035年，形成系统、安全、环保、经济的污水资源化利用格局</w:t>
                  </w:r>
                </w:p>
              </w:tc>
              <w:tc>
                <w:tcPr>
                  <w:tcW w:w="1938" w:type="pct"/>
                  <w:shd w:val="clear" w:color="auto" w:fill="auto"/>
                  <w:noWrap w:val="0"/>
                  <w:vAlign w:val="center"/>
                </w:tcPr>
                <w:p w14:paraId="7B5631B2">
                  <w:pPr>
                    <w:pStyle w:val="24"/>
                    <w:keepNext w:val="0"/>
                    <w:keepLines w:val="0"/>
                    <w:pageBreakBefore w:val="0"/>
                    <w:widowControl w:val="0"/>
                    <w:kinsoku/>
                    <w:wordWrap/>
                    <w:overflowPunct/>
                    <w:topLinePunct w:val="0"/>
                    <w:bidi w:val="0"/>
                    <w:adjustRightInd/>
                    <w:snapToGrid/>
                    <w:jc w:val="both"/>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本项目再生水回用率100%，远高于缺水城市25%的目标要求。项目建成后，全厂（一期+二期）处理规模达3000m</w:t>
                  </w:r>
                  <w:r>
                    <w:rPr>
                      <w:rFonts w:hint="eastAsia" w:cs="Times New Roman"/>
                      <w:sz w:val="21"/>
                      <w:szCs w:val="21"/>
                      <w:vertAlign w:val="superscript"/>
                      <w:lang w:val="en-US" w:eastAsia="zh-CN"/>
                    </w:rPr>
                    <w:t>3</w:t>
                  </w:r>
                  <w:r>
                    <w:rPr>
                      <w:rFonts w:hint="default" w:ascii="Times New Roman" w:hAnsi="Times New Roman" w:cs="Times New Roman"/>
                      <w:sz w:val="21"/>
                      <w:szCs w:val="21"/>
                      <w:lang w:val="en-US" w:eastAsia="zh-CN"/>
                    </w:rPr>
                    <w:t>/d，年处理水量109.5万m</w:t>
                  </w:r>
                  <w:r>
                    <w:rPr>
                      <w:rFonts w:hint="eastAsia" w:cs="Times New Roman"/>
                      <w:sz w:val="21"/>
                      <w:szCs w:val="21"/>
                      <w:vertAlign w:val="superscript"/>
                      <w:lang w:val="en-US" w:eastAsia="zh-CN"/>
                    </w:rPr>
                    <w:t>3</w:t>
                  </w:r>
                  <w:r>
                    <w:rPr>
                      <w:rFonts w:hint="default" w:ascii="Times New Roman" w:hAnsi="Times New Roman" w:cs="Times New Roman"/>
                      <w:sz w:val="21"/>
                      <w:szCs w:val="21"/>
                      <w:lang w:val="en-US" w:eastAsia="zh-CN"/>
                    </w:rPr>
                    <w:t>，尾水全部回用，可有效替代新鲜水资源，对推动区域污水资源化利用格局的形成具有积极意义。</w:t>
                  </w:r>
                </w:p>
              </w:tc>
              <w:tc>
                <w:tcPr>
                  <w:tcW w:w="477" w:type="pct"/>
                  <w:shd w:val="clear" w:color="auto" w:fill="auto"/>
                  <w:noWrap w:val="0"/>
                  <w:vAlign w:val="center"/>
                </w:tcPr>
                <w:p w14:paraId="23A3A281">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符合</w:t>
                  </w:r>
                </w:p>
              </w:tc>
            </w:tr>
            <w:tr w14:paraId="0ECD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noWrap w:val="0"/>
                  <w:vAlign w:val="center"/>
                </w:tcPr>
                <w:p w14:paraId="54649143">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p>
              </w:tc>
              <w:tc>
                <w:tcPr>
                  <w:tcW w:w="1792" w:type="pct"/>
                  <w:shd w:val="clear" w:color="auto" w:fill="auto"/>
                  <w:noWrap w:val="0"/>
                  <w:vAlign w:val="center"/>
                </w:tcPr>
                <w:p w14:paraId="186EE7D0">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加快推动城镇生活污水资源化利用：系统分析日益增长的生产、生活和生态用水需求，以现有污水处理厂为基础，合理布局再生水利用基础设施</w:t>
                  </w:r>
                </w:p>
              </w:tc>
              <w:tc>
                <w:tcPr>
                  <w:tcW w:w="1938" w:type="pct"/>
                  <w:shd w:val="clear" w:color="auto" w:fill="auto"/>
                  <w:noWrap w:val="0"/>
                  <w:vAlign w:val="center"/>
                </w:tcPr>
                <w:p w14:paraId="103998D8">
                  <w:pPr>
                    <w:pStyle w:val="24"/>
                    <w:keepNext w:val="0"/>
                    <w:keepLines w:val="0"/>
                    <w:pageBreakBefore w:val="0"/>
                    <w:widowControl w:val="0"/>
                    <w:kinsoku/>
                    <w:wordWrap/>
                    <w:overflowPunct/>
                    <w:topLinePunct w:val="0"/>
                    <w:bidi w:val="0"/>
                    <w:adjustRightInd/>
                    <w:snapToGrid/>
                    <w:jc w:val="both"/>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本项目在现有500m</w:t>
                  </w:r>
                  <w:r>
                    <w:rPr>
                      <w:rFonts w:hint="eastAsia" w:cs="Times New Roman"/>
                      <w:sz w:val="21"/>
                      <w:szCs w:val="21"/>
                      <w:vertAlign w:val="superscript"/>
                      <w:lang w:val="en-US" w:eastAsia="zh-CN"/>
                    </w:rPr>
                    <w:t>3</w:t>
                  </w:r>
                  <w:r>
                    <w:rPr>
                      <w:rFonts w:hint="default" w:ascii="Times New Roman" w:hAnsi="Times New Roman" w:cs="Times New Roman"/>
                      <w:sz w:val="21"/>
                      <w:szCs w:val="21"/>
                      <w:lang w:val="en-US" w:eastAsia="zh-CN"/>
                    </w:rPr>
                    <w:t>/d生活污水处理厂区内扩建2500m</w:t>
                  </w:r>
                  <w:r>
                    <w:rPr>
                      <w:rFonts w:hint="eastAsia" w:cs="Times New Roman"/>
                      <w:sz w:val="21"/>
                      <w:szCs w:val="21"/>
                      <w:vertAlign w:val="superscript"/>
                      <w:lang w:val="en-US" w:eastAsia="zh-CN"/>
                    </w:rPr>
                    <w:t>3</w:t>
                  </w:r>
                  <w:r>
                    <w:rPr>
                      <w:rFonts w:hint="default" w:ascii="Times New Roman" w:hAnsi="Times New Roman" w:cs="Times New Roman"/>
                      <w:sz w:val="21"/>
                      <w:szCs w:val="21"/>
                      <w:lang w:val="en-US" w:eastAsia="zh-CN"/>
                    </w:rPr>
                    <w:t>/d处理能力，配套建设再生水管道约8481m（聚乙烯管DN300），将处理达标后的尾水输送至</w:t>
                  </w:r>
                  <w:r>
                    <w:rPr>
                      <w:rFonts w:hint="eastAsia" w:cs="Times New Roman"/>
                      <w:sz w:val="21"/>
                      <w:szCs w:val="21"/>
                      <w:lang w:val="en-US" w:eastAsia="zh-CN"/>
                    </w:rPr>
                    <w:t>现状</w:t>
                  </w:r>
                  <w:r>
                    <w:rPr>
                      <w:rFonts w:hint="default" w:ascii="Times New Roman" w:hAnsi="Times New Roman" w:cs="Times New Roman"/>
                      <w:sz w:val="21"/>
                      <w:szCs w:val="21"/>
                      <w:lang w:val="en-US" w:eastAsia="zh-CN"/>
                    </w:rPr>
                    <w:t>中水站及园区企业，实现污水资源化利用，是以现有污水处理厂为基础合理布局再生水利用基础设施的典型实践。</w:t>
                  </w:r>
                </w:p>
              </w:tc>
              <w:tc>
                <w:tcPr>
                  <w:tcW w:w="477" w:type="pct"/>
                  <w:shd w:val="clear" w:color="auto" w:fill="auto"/>
                  <w:noWrap w:val="0"/>
                  <w:vAlign w:val="center"/>
                </w:tcPr>
                <w:p w14:paraId="3D1DCDB6">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符合</w:t>
                  </w:r>
                </w:p>
              </w:tc>
            </w:tr>
            <w:tr w14:paraId="4DA9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noWrap w:val="0"/>
                  <w:vAlign w:val="center"/>
                </w:tcPr>
                <w:p w14:paraId="44A472EA">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p>
              </w:tc>
              <w:tc>
                <w:tcPr>
                  <w:tcW w:w="1792" w:type="pct"/>
                  <w:shd w:val="clear" w:color="auto" w:fill="auto"/>
                  <w:noWrap w:val="0"/>
                  <w:vAlign w:val="center"/>
                </w:tcPr>
                <w:p w14:paraId="1F528445">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缺水地区特别是水质型缺水地区，在确保污水稳定达标排放前提下，优先将达标排放水转化为可利用的水资源，推进区域污水资源化循环利用；资源型缺水地区实施以需定供、分质用</w:t>
                  </w:r>
                </w:p>
              </w:tc>
              <w:tc>
                <w:tcPr>
                  <w:tcW w:w="1938" w:type="pct"/>
                  <w:shd w:val="clear" w:color="auto" w:fill="auto"/>
                  <w:noWrap w:val="0"/>
                  <w:vAlign w:val="center"/>
                </w:tcPr>
                <w:p w14:paraId="12CC6121">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本项目根据不同回用途径执行不同水质标准：灌溉期执行《城市污水再生利用 城市杂用水水质》（GB/T 18920-2020），非灌溉期执行《城市污水再生利用 工业用水水质》（GB/T 19923-2024），实行按需定供、分质用水。项目同时配套建设污水收集管道和再生水管道，形成了</w:t>
                  </w:r>
                  <w:r>
                    <w:rPr>
                      <w:rFonts w:hint="eastAsia" w:cs="Times New Roman"/>
                      <w:sz w:val="21"/>
                      <w:szCs w:val="21"/>
                      <w:lang w:val="en-US" w:eastAsia="zh-CN"/>
                    </w:rPr>
                    <w:t>“</w:t>
                  </w:r>
                  <w:r>
                    <w:rPr>
                      <w:rFonts w:hint="default" w:ascii="Times New Roman" w:hAnsi="Times New Roman" w:cs="Times New Roman"/>
                      <w:sz w:val="21"/>
                      <w:szCs w:val="21"/>
                      <w:lang w:val="en-US" w:eastAsia="zh-CN"/>
                    </w:rPr>
                    <w:t>收集-处理-回用</w:t>
                  </w:r>
                  <w:r>
                    <w:rPr>
                      <w:rFonts w:hint="eastAsia" w:cs="Times New Roman"/>
                      <w:sz w:val="21"/>
                      <w:szCs w:val="21"/>
                      <w:lang w:val="en-US" w:eastAsia="zh-CN"/>
                    </w:rPr>
                    <w:t>“</w:t>
                  </w:r>
                  <w:r>
                    <w:rPr>
                      <w:rFonts w:hint="default" w:ascii="Times New Roman" w:hAnsi="Times New Roman" w:cs="Times New Roman"/>
                      <w:sz w:val="21"/>
                      <w:szCs w:val="21"/>
                      <w:lang w:val="en-US" w:eastAsia="zh-CN"/>
                    </w:rPr>
                    <w:t>的完整循环体系，推进了区域污水资源化循环利用。</w:t>
                  </w:r>
                </w:p>
              </w:tc>
              <w:tc>
                <w:tcPr>
                  <w:tcW w:w="477" w:type="pct"/>
                  <w:shd w:val="clear" w:color="auto" w:fill="auto"/>
                  <w:noWrap w:val="0"/>
                  <w:vAlign w:val="center"/>
                </w:tcPr>
                <w:p w14:paraId="7F69A3AE">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符合</w:t>
                  </w:r>
                </w:p>
              </w:tc>
            </w:tr>
            <w:tr w14:paraId="374A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noWrap w:val="0"/>
                  <w:vAlign w:val="center"/>
                </w:tcPr>
                <w:p w14:paraId="2FC8FD74">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p>
              </w:tc>
              <w:tc>
                <w:tcPr>
                  <w:tcW w:w="1792" w:type="pct"/>
                  <w:shd w:val="clear" w:color="auto" w:fill="auto"/>
                  <w:noWrap w:val="0"/>
                  <w:vAlign w:val="center"/>
                </w:tcPr>
                <w:p w14:paraId="1ECD595A">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积极推动工业废水资源化利用：推进园区内企业间用水系统集成优化，实现串联用水、分质用水、一水多用和梯级利用</w:t>
                  </w:r>
                </w:p>
              </w:tc>
              <w:tc>
                <w:tcPr>
                  <w:tcW w:w="1938" w:type="pct"/>
                  <w:shd w:val="clear" w:color="auto" w:fill="auto"/>
                  <w:noWrap w:val="0"/>
                  <w:vAlign w:val="center"/>
                </w:tcPr>
                <w:p w14:paraId="21D9BAEB">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本项目收集处理石油石化产业园生活污水，达标尾水通过再生水管道供给园区企业回用，实现了园区内水资源的企业间循环利用，是园区内企业间用水系统集成优化的具体体现</w:t>
                  </w:r>
                </w:p>
              </w:tc>
              <w:tc>
                <w:tcPr>
                  <w:tcW w:w="477" w:type="pct"/>
                  <w:shd w:val="clear" w:color="auto" w:fill="auto"/>
                  <w:noWrap w:val="0"/>
                  <w:vAlign w:val="center"/>
                </w:tcPr>
                <w:p w14:paraId="1400C4E3">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符合</w:t>
                  </w:r>
                </w:p>
              </w:tc>
            </w:tr>
            <w:tr w14:paraId="4A14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noWrap w:val="0"/>
                  <w:vAlign w:val="center"/>
                </w:tcPr>
                <w:p w14:paraId="1B731779">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default" w:ascii="Times New Roman" w:hAnsi="Times New Roman" w:cs="Times New Roman"/>
                      <w:kern w:val="0"/>
                      <w:sz w:val="21"/>
                      <w:szCs w:val="21"/>
                    </w:rPr>
                  </w:pPr>
                </w:p>
              </w:tc>
              <w:tc>
                <w:tcPr>
                  <w:tcW w:w="1792" w:type="pct"/>
                  <w:shd w:val="clear" w:color="auto" w:fill="auto"/>
                  <w:noWrap w:val="0"/>
                  <w:vAlign w:val="center"/>
                </w:tcPr>
                <w:p w14:paraId="76DA707A">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实施污水资源化利用重点工程——污水收集及资源化利用设施建设</w:t>
                  </w:r>
                </w:p>
              </w:tc>
              <w:tc>
                <w:tcPr>
                  <w:tcW w:w="1938" w:type="pct"/>
                  <w:shd w:val="clear" w:color="auto" w:fill="auto"/>
                  <w:noWrap w:val="0"/>
                  <w:vAlign w:val="center"/>
                </w:tcPr>
                <w:p w14:paraId="34EE8F79">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本项目配套建设厂外污水收集管道约2350m（HDPE双壁波纹管DN300）和再生水管道约8481m（聚乙烯管DN300），属于污水收集及资源化利用设施建设工程。</w:t>
                  </w:r>
                </w:p>
              </w:tc>
              <w:tc>
                <w:tcPr>
                  <w:tcW w:w="477" w:type="pct"/>
                  <w:shd w:val="clear" w:color="auto" w:fill="auto"/>
                  <w:noWrap w:val="0"/>
                  <w:vAlign w:val="center"/>
                </w:tcPr>
                <w:p w14:paraId="331D77CC">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符合</w:t>
                  </w:r>
                </w:p>
              </w:tc>
            </w:tr>
            <w:tr w14:paraId="1E0D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restart"/>
                  <w:noWrap w:val="0"/>
                  <w:vAlign w:val="center"/>
                </w:tcPr>
                <w:p w14:paraId="2D6E0769">
                  <w:pPr>
                    <w:keepNext w:val="0"/>
                    <w:keepLines w:val="0"/>
                    <w:pageBreakBefore w:val="0"/>
                    <w:widowControl w:val="0"/>
                    <w:kinsoku/>
                    <w:wordWrap/>
                    <w:overflowPunct/>
                    <w:topLinePunct w:val="0"/>
                    <w:autoSpaceDE w:val="0"/>
                    <w:autoSpaceDN w:val="0"/>
                    <w:bidi w:val="0"/>
                    <w:adjustRightInd/>
                    <w:snapToGrid/>
                    <w:spacing w:line="300" w:lineRule="exact"/>
                    <w:jc w:val="both"/>
                    <w:textAlignment w:val="auto"/>
                    <w:rPr>
                      <w:rFonts w:hint="default" w:ascii="Times New Roman" w:hAnsi="Times New Roman" w:cs="Times New Roman"/>
                      <w:kern w:val="0"/>
                      <w:sz w:val="21"/>
                      <w:szCs w:val="21"/>
                    </w:rPr>
                  </w:pPr>
                  <w:r>
                    <w:rPr>
                      <w:rFonts w:hint="default" w:ascii="Times New Roman" w:hAnsi="Times New Roman" w:cs="Times New Roman"/>
                      <w:kern w:val="0"/>
                      <w:sz w:val="21"/>
                      <w:szCs w:val="21"/>
                    </w:rPr>
                    <w:t>《关于进一步规范城镇（园区）污水处理环境管理的通知》</w:t>
                  </w:r>
                </w:p>
              </w:tc>
              <w:tc>
                <w:tcPr>
                  <w:tcW w:w="1792" w:type="pct"/>
                  <w:shd w:val="clear" w:color="auto" w:fill="auto"/>
                  <w:noWrap w:val="0"/>
                  <w:vAlign w:val="center"/>
                </w:tcPr>
                <w:p w14:paraId="40168430">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运营单位应配合地方人民政府或园区管理机构认真调查实际接纳的工业污水类型，发现存在现有工艺无法处理的工业污水且无法与来水单位协商解决的，要书面报请当地人民政府依法采取相应措施</w:t>
                  </w:r>
                </w:p>
              </w:tc>
              <w:tc>
                <w:tcPr>
                  <w:tcW w:w="1938" w:type="pct"/>
                  <w:shd w:val="clear" w:color="auto" w:fill="auto"/>
                  <w:noWrap w:val="0"/>
                  <w:vAlign w:val="center"/>
                </w:tcPr>
                <w:p w14:paraId="7446BCAA">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本项目服务范围为石油石化产业园生活污水，不接收工业废水。运营期间将配合园区管理机构做好服务范围内污水类型的调查工作，确保只接收生活污水。如发现不符合纳管要求的工业污水进入，将及时报告园区管理机构依法处理。</w:t>
                  </w:r>
                </w:p>
              </w:tc>
              <w:tc>
                <w:tcPr>
                  <w:tcW w:w="477" w:type="pct"/>
                  <w:shd w:val="clear" w:color="auto" w:fill="auto"/>
                  <w:noWrap w:val="0"/>
                  <w:vAlign w:val="center"/>
                </w:tcPr>
                <w:p w14:paraId="66A2379E">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eastAsia" w:cs="Times New Roman"/>
                      <w:sz w:val="21"/>
                      <w:szCs w:val="21"/>
                      <w:lang w:val="en-US" w:eastAsia="zh-CN"/>
                    </w:rPr>
                    <w:t>符合</w:t>
                  </w:r>
                </w:p>
              </w:tc>
            </w:tr>
            <w:tr w14:paraId="1BB2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pct"/>
                  <w:vMerge w:val="continue"/>
                  <w:noWrap w:val="0"/>
                  <w:vAlign w:val="center"/>
                </w:tcPr>
                <w:p w14:paraId="394A1391">
                  <w:pPr>
                    <w:keepNext w:val="0"/>
                    <w:keepLines w:val="0"/>
                    <w:pageBreakBefore w:val="0"/>
                    <w:widowControl w:val="0"/>
                    <w:kinsoku/>
                    <w:wordWrap/>
                    <w:overflowPunct/>
                    <w:topLinePunct w:val="0"/>
                    <w:autoSpaceDE w:val="0"/>
                    <w:autoSpaceDN w:val="0"/>
                    <w:bidi w:val="0"/>
                    <w:adjustRightInd/>
                    <w:snapToGrid/>
                    <w:spacing w:line="300" w:lineRule="exact"/>
                    <w:jc w:val="both"/>
                    <w:textAlignment w:val="auto"/>
                    <w:rPr>
                      <w:rFonts w:hint="default" w:ascii="Times New Roman" w:hAnsi="Times New Roman" w:cs="Times New Roman"/>
                      <w:kern w:val="0"/>
                      <w:sz w:val="21"/>
                      <w:szCs w:val="21"/>
                    </w:rPr>
                  </w:pPr>
                </w:p>
              </w:tc>
              <w:tc>
                <w:tcPr>
                  <w:tcW w:w="1792" w:type="pct"/>
                  <w:shd w:val="clear" w:color="auto" w:fill="auto"/>
                  <w:noWrap w:val="0"/>
                  <w:vAlign w:val="center"/>
                </w:tcPr>
                <w:p w14:paraId="58F4074F">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合理设置与抗风险能力相匹配的事故调蓄设施和环境应急措施，发现进水异常，可能导致污水处理系统受损和出水超标时，立即启动应急预案</w:t>
                  </w:r>
                </w:p>
              </w:tc>
              <w:tc>
                <w:tcPr>
                  <w:tcW w:w="1938" w:type="pct"/>
                  <w:shd w:val="clear" w:color="auto" w:fill="auto"/>
                  <w:noWrap w:val="0"/>
                  <w:vAlign w:val="center"/>
                </w:tcPr>
                <w:p w14:paraId="5B4A9CE9">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本项目设置有调节池（改造后有效容积约910m</w:t>
                  </w:r>
                  <w:r>
                    <w:rPr>
                      <w:rFonts w:hint="eastAsia" w:cs="Times New Roman"/>
                      <w:sz w:val="21"/>
                      <w:szCs w:val="21"/>
                      <w:vertAlign w:val="superscript"/>
                      <w:lang w:val="en-US" w:eastAsia="zh-CN"/>
                    </w:rPr>
                    <w:t>3</w:t>
                  </w:r>
                  <w:r>
                    <w:rPr>
                      <w:rFonts w:hint="default" w:ascii="Times New Roman" w:hAnsi="Times New Roman" w:cs="Times New Roman"/>
                      <w:sz w:val="21"/>
                      <w:szCs w:val="21"/>
                      <w:lang w:val="en-US" w:eastAsia="zh-CN"/>
                    </w:rPr>
                    <w:t>，停留时间7.28h），可在事故状态下临时储存未处理污水，防止污水直接外溢。项目建成后将编制突发环境事件应急预案并备案，配备应急物资，定期开展应急演练。发现进水异常时立即启动应急预案，开展污染物溯源，留存水样和泥样，并第一时间向生态环境部门报告。</w:t>
                  </w:r>
                </w:p>
              </w:tc>
              <w:tc>
                <w:tcPr>
                  <w:tcW w:w="477" w:type="pct"/>
                  <w:shd w:val="clear" w:color="auto" w:fill="auto"/>
                  <w:noWrap w:val="0"/>
                  <w:vAlign w:val="center"/>
                </w:tcPr>
                <w:p w14:paraId="774B8053">
                  <w:pPr>
                    <w:pStyle w:val="24"/>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cs="Times New Roman"/>
                      <w:sz w:val="21"/>
                      <w:szCs w:val="21"/>
                      <w:lang w:val="en-US" w:eastAsia="zh-CN"/>
                    </w:rPr>
                  </w:pPr>
                  <w:r>
                    <w:rPr>
                      <w:rFonts w:hint="eastAsia" w:cs="Times New Roman"/>
                      <w:sz w:val="21"/>
                      <w:szCs w:val="21"/>
                      <w:lang w:val="en-US" w:eastAsia="zh-CN"/>
                    </w:rPr>
                    <w:t>符合</w:t>
                  </w:r>
                </w:p>
              </w:tc>
            </w:tr>
          </w:tbl>
          <w:p w14:paraId="1B1DF904">
            <w:pPr>
              <w:pStyle w:val="3"/>
              <w:keepNext/>
              <w:keepLines/>
              <w:pageBreakBefore w:val="0"/>
              <w:widowControl w:val="0"/>
              <w:numPr>
                <w:ilvl w:val="0"/>
                <w:numId w:val="0"/>
              </w:numPr>
              <w:kinsoku/>
              <w:wordWrap/>
              <w:overflowPunct/>
              <w:topLinePunct w:val="0"/>
              <w:autoSpaceDE/>
              <w:autoSpaceDN/>
              <w:bidi w:val="0"/>
              <w:adjustRightInd/>
              <w:snapToGrid/>
              <w:spacing w:before="157" w:beforeLines="50" w:line="360" w:lineRule="auto"/>
              <w:ind w:left="0" w:leftChars="0" w:firstLine="0" w:firstLineChars="0"/>
              <w:textAlignment w:val="auto"/>
              <w:rPr>
                <w:rFonts w:hint="eastAsia" w:ascii="Times New Roman" w:hAnsi="Times New Roman" w:eastAsia="宋体" w:cs="Times New Roman"/>
                <w:b/>
                <w:bCs/>
                <w:color w:val="auto"/>
                <w:kern w:val="2"/>
                <w:sz w:val="24"/>
                <w:szCs w:val="24"/>
                <w:lang w:val="en-US" w:eastAsia="zh-CN" w:bidi="ar-SA"/>
              </w:rPr>
            </w:pPr>
            <w:r>
              <w:rPr>
                <w:rFonts w:hint="eastAsia" w:ascii="Times New Roman" w:hAnsi="Times New Roman" w:cs="Times New Roman"/>
                <w:b/>
                <w:bCs/>
                <w:color w:val="auto"/>
                <w:kern w:val="2"/>
                <w:sz w:val="24"/>
                <w:szCs w:val="24"/>
                <w:lang w:val="en-US" w:eastAsia="zh-CN" w:bidi="ar-SA"/>
              </w:rPr>
              <w:t>1.6</w:t>
            </w:r>
            <w:r>
              <w:rPr>
                <w:rFonts w:hint="eastAsia" w:ascii="Times New Roman" w:hAnsi="Times New Roman" w:eastAsia="宋体" w:cs="Times New Roman"/>
                <w:b/>
                <w:bCs/>
                <w:color w:val="auto"/>
                <w:kern w:val="2"/>
                <w:sz w:val="24"/>
                <w:szCs w:val="24"/>
                <w:lang w:val="en-US" w:eastAsia="zh-CN" w:bidi="ar-SA"/>
              </w:rPr>
              <w:t>生态环境分区管控要求符合性分析</w:t>
            </w:r>
          </w:p>
          <w:p w14:paraId="3A1A657D">
            <w:pPr>
              <w:pageBreakBefore w:val="0"/>
              <w:widowControl w:val="0"/>
              <w:kinsoku/>
              <w:wordWrap/>
              <w:overflowPunct/>
              <w:topLinePunct w:val="0"/>
              <w:autoSpaceDE/>
              <w:autoSpaceDN/>
              <w:bidi w:val="0"/>
              <w:adjustRightInd/>
              <w:snapToGrid/>
              <w:spacing w:line="360" w:lineRule="auto"/>
              <w:textAlignment w:val="auto"/>
              <w:rPr>
                <w:rFonts w:hint="eastAsia" w:cs="Times New Roman"/>
                <w:b/>
                <w:bCs/>
                <w:color w:val="auto"/>
                <w:kern w:val="2"/>
                <w:sz w:val="24"/>
                <w:szCs w:val="24"/>
                <w:lang w:val="en-US" w:eastAsia="zh-CN" w:bidi="ar-SA"/>
              </w:rPr>
            </w:pPr>
            <w:r>
              <w:rPr>
                <w:rFonts w:hint="eastAsia" w:cs="Times New Roman"/>
                <w:b/>
                <w:bCs/>
                <w:color w:val="auto"/>
                <w:kern w:val="2"/>
                <w:sz w:val="24"/>
                <w:szCs w:val="24"/>
                <w:lang w:val="en-US" w:eastAsia="zh-CN" w:bidi="ar-SA"/>
              </w:rPr>
              <w:t>1.6.1与《中华人民共和国生态环境法典》（（2026</w:t>
            </w:r>
            <w:r>
              <w:rPr>
                <w:rFonts w:hint="eastAsia" w:cs="Times New Roman"/>
                <w:b/>
                <w:bCs/>
                <w:color w:val="auto"/>
                <w:kern w:val="2"/>
                <w:sz w:val="24"/>
                <w:szCs w:val="24"/>
                <w:lang w:val="en-US" w:eastAsia="zh-CN" w:bidi="ar-SA"/>
              </w:rPr>
              <w:noBreakHyphen/>
            </w:r>
            <w:r>
              <w:rPr>
                <w:rFonts w:hint="eastAsia" w:cs="Times New Roman"/>
                <w:b/>
                <w:bCs/>
                <w:color w:val="auto"/>
                <w:kern w:val="2"/>
                <w:sz w:val="24"/>
                <w:szCs w:val="24"/>
                <w:lang w:val="en-US" w:eastAsia="zh-CN" w:bidi="ar-SA"/>
              </w:rPr>
              <w:t>08</w:t>
            </w:r>
            <w:r>
              <w:rPr>
                <w:rFonts w:hint="eastAsia" w:cs="Times New Roman"/>
                <w:b/>
                <w:bCs/>
                <w:color w:val="auto"/>
                <w:kern w:val="2"/>
                <w:sz w:val="24"/>
                <w:szCs w:val="24"/>
                <w:lang w:val="en-US" w:eastAsia="zh-CN" w:bidi="ar-SA"/>
              </w:rPr>
              <w:noBreakHyphen/>
            </w:r>
            <w:r>
              <w:rPr>
                <w:rFonts w:hint="eastAsia" w:cs="Times New Roman"/>
                <w:b/>
                <w:bCs/>
                <w:color w:val="auto"/>
                <w:kern w:val="2"/>
                <w:sz w:val="24"/>
                <w:szCs w:val="24"/>
                <w:lang w:val="en-US" w:eastAsia="zh-CN" w:bidi="ar-SA"/>
              </w:rPr>
              <w:t>15施行））的符合性分析</w:t>
            </w:r>
          </w:p>
          <w:p w14:paraId="0DF471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val="0"/>
                <w:color w:val="auto"/>
                <w:kern w:val="2"/>
                <w:sz w:val="24"/>
                <w:szCs w:val="24"/>
                <w:lang w:val="en-US" w:eastAsia="zh-CN" w:bidi="ar-SA"/>
              </w:rPr>
            </w:pPr>
            <w:r>
              <w:rPr>
                <w:rFonts w:hint="eastAsia" w:cs="Times New Roman"/>
                <w:b w:val="0"/>
                <w:bCs w:val="0"/>
                <w:color w:val="auto"/>
                <w:kern w:val="2"/>
                <w:sz w:val="24"/>
                <w:szCs w:val="24"/>
                <w:lang w:val="en-US" w:eastAsia="zh-CN" w:bidi="ar-SA"/>
              </w:rPr>
              <w:t>本项目</w:t>
            </w:r>
            <w:r>
              <w:rPr>
                <w:rFonts w:hint="default" w:ascii="Times New Roman" w:hAnsi="Times New Roman" w:cs="Times New Roman"/>
                <w:b w:val="0"/>
                <w:bCs w:val="0"/>
                <w:color w:val="auto"/>
                <w:kern w:val="2"/>
                <w:sz w:val="24"/>
                <w:szCs w:val="24"/>
                <w:lang w:val="en-US" w:eastAsia="zh-CN" w:bidi="ar-SA"/>
              </w:rPr>
              <w:t>与《中华人民共和国生态环境法典》（2026</w:t>
            </w:r>
            <w:r>
              <w:rPr>
                <w:rFonts w:hint="default" w:ascii="Times New Roman" w:hAnsi="Times New Roman" w:cs="Times New Roman"/>
                <w:b w:val="0"/>
                <w:bCs w:val="0"/>
                <w:color w:val="auto"/>
                <w:kern w:val="2"/>
                <w:sz w:val="24"/>
                <w:szCs w:val="24"/>
                <w:lang w:val="en-US" w:eastAsia="zh-CN" w:bidi="ar-SA"/>
              </w:rPr>
              <w:noBreakHyphen/>
            </w:r>
            <w:r>
              <w:rPr>
                <w:rFonts w:hint="default" w:ascii="Times New Roman" w:hAnsi="Times New Roman" w:cs="Times New Roman"/>
                <w:b w:val="0"/>
                <w:bCs w:val="0"/>
                <w:color w:val="auto"/>
                <w:kern w:val="2"/>
                <w:sz w:val="24"/>
                <w:szCs w:val="24"/>
                <w:lang w:val="en-US" w:eastAsia="zh-CN" w:bidi="ar-SA"/>
              </w:rPr>
              <w:t>08</w:t>
            </w:r>
            <w:r>
              <w:rPr>
                <w:rFonts w:hint="default" w:ascii="Times New Roman" w:hAnsi="Times New Roman" w:cs="Times New Roman"/>
                <w:b w:val="0"/>
                <w:bCs w:val="0"/>
                <w:color w:val="auto"/>
                <w:kern w:val="2"/>
                <w:sz w:val="24"/>
                <w:szCs w:val="24"/>
                <w:lang w:val="en-US" w:eastAsia="zh-CN" w:bidi="ar-SA"/>
              </w:rPr>
              <w:noBreakHyphen/>
            </w:r>
            <w:r>
              <w:rPr>
                <w:rFonts w:hint="default" w:ascii="Times New Roman" w:hAnsi="Times New Roman" w:cs="Times New Roman"/>
                <w:b w:val="0"/>
                <w:bCs w:val="0"/>
                <w:color w:val="auto"/>
                <w:kern w:val="2"/>
                <w:sz w:val="24"/>
                <w:szCs w:val="24"/>
                <w:lang w:val="en-US" w:eastAsia="zh-CN" w:bidi="ar-SA"/>
              </w:rPr>
              <w:t>15施行）的符合性分析见表1-5：</w:t>
            </w:r>
          </w:p>
          <w:p w14:paraId="38CEC5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val="0"/>
                <w:color w:val="auto"/>
                <w:kern w:val="2"/>
                <w:sz w:val="24"/>
                <w:szCs w:val="24"/>
                <w:lang w:val="en-US" w:eastAsia="zh-CN" w:bidi="ar-SA"/>
              </w:rPr>
            </w:pPr>
          </w:p>
          <w:p w14:paraId="134C76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val="0"/>
                <w:color w:val="auto"/>
                <w:kern w:val="2"/>
                <w:sz w:val="24"/>
                <w:szCs w:val="24"/>
                <w:lang w:val="en-US" w:eastAsia="zh-CN" w:bidi="ar-SA"/>
              </w:rPr>
            </w:pPr>
          </w:p>
          <w:p w14:paraId="687211BC">
            <w:pPr>
              <w:pStyle w:val="23"/>
              <w:bidi w:val="0"/>
              <w:rPr>
                <w:rFonts w:hint="eastAsia"/>
                <w:lang w:eastAsia="zh-CN"/>
              </w:rPr>
            </w:pPr>
            <w:r>
              <w:t>表</w:t>
            </w:r>
            <w:r>
              <w:fldChar w:fldCharType="begin"/>
            </w:r>
            <w:r>
              <w:instrText xml:space="preserve"> STYLEREF 1 \s \* ARABIC </w:instrText>
            </w:r>
            <w:r>
              <w:fldChar w:fldCharType="separate"/>
            </w:r>
            <w:r>
              <w:t>1</w:t>
            </w:r>
            <w:r>
              <w:fldChar w:fldCharType="end"/>
            </w:r>
            <w:r>
              <w:rPr>
                <w:rFonts w:hint="eastAsia"/>
                <w:lang w:eastAsia="zh-CN"/>
              </w:rPr>
              <w:t>-</w:t>
            </w:r>
            <w:r>
              <w:fldChar w:fldCharType="begin"/>
            </w:r>
            <w:r>
              <w:instrText xml:space="preserve"> SEQ 表 \* ARABIC \s 1 </w:instrText>
            </w:r>
            <w:r>
              <w:fldChar w:fldCharType="separate"/>
            </w:r>
            <w:r>
              <w:t>5</w:t>
            </w:r>
            <w:r>
              <w:fldChar w:fldCharType="end"/>
            </w:r>
            <w:r>
              <w:rPr>
                <w:rFonts w:hint="eastAsia"/>
                <w:lang w:eastAsia="zh-CN"/>
              </w:rPr>
              <w:t>本项目与《</w:t>
            </w:r>
            <w:r>
              <w:rPr>
                <w:rFonts w:hint="eastAsia"/>
                <w:lang w:val="en-US" w:eastAsia="zh-CN"/>
              </w:rPr>
              <w:t>中华人民共和国生态环境法典</w:t>
            </w:r>
            <w:r>
              <w:rPr>
                <w:rFonts w:hint="eastAsia"/>
                <w:lang w:eastAsia="zh-CN"/>
              </w:rPr>
              <w:t>》符合性分析</w:t>
            </w:r>
          </w:p>
          <w:tbl>
            <w:tblPr>
              <w:tblStyle w:val="16"/>
              <w:tblW w:w="6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2963"/>
              <w:gridCol w:w="2962"/>
              <w:gridCol w:w="496"/>
            </w:tblGrid>
            <w:tr w14:paraId="3745C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Align w:val="center"/>
                </w:tcPr>
                <w:p w14:paraId="2895056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管控维度</w:t>
                  </w:r>
                </w:p>
              </w:tc>
              <w:tc>
                <w:tcPr>
                  <w:tcW w:w="2963" w:type="dxa"/>
                  <w:vAlign w:val="center"/>
                </w:tcPr>
                <w:p w14:paraId="4F0B01C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管控要求</w:t>
                  </w:r>
                </w:p>
              </w:tc>
              <w:tc>
                <w:tcPr>
                  <w:tcW w:w="2962" w:type="dxa"/>
                  <w:vAlign w:val="center"/>
                </w:tcPr>
                <w:p w14:paraId="0542670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本项目情况</w:t>
                  </w:r>
                </w:p>
              </w:tc>
              <w:tc>
                <w:tcPr>
                  <w:tcW w:w="496" w:type="dxa"/>
                  <w:vAlign w:val="center"/>
                </w:tcPr>
                <w:p w14:paraId="35F5D63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符合性</w:t>
                  </w:r>
                </w:p>
              </w:tc>
            </w:tr>
            <w:tr w14:paraId="1AECC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Align w:val="center"/>
                </w:tcPr>
                <w:p w14:paraId="5126ED8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水污染防治</w:t>
                  </w:r>
                </w:p>
              </w:tc>
              <w:tc>
                <w:tcPr>
                  <w:tcW w:w="2963" w:type="dxa"/>
                  <w:vAlign w:val="center"/>
                </w:tcPr>
                <w:p w14:paraId="26F5EB1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第301条城镇污水应当集中处理</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县级以上地方人民政府应当通过财政预算和其他渠道筹集资金，统筹安排建设城镇污水集中处理设施及配套管网、污泥无害化处理处置设施，因地制宜推进雨污分流，提高本行政区域城镇污水的收集率和处理率。</w:t>
                  </w:r>
                </w:p>
                <w:p w14:paraId="261C26E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第304条城镇污水集中处理设施的运营单位和污泥无害化处理处置单位应当无害化处理处置污泥，保证处理处置后的污泥符合国家标准，并对污泥的流向、用途、用量等进行跟踪、记录，并报告城镇排水主管部门、生态环境主管部门。</w:t>
                  </w:r>
                </w:p>
              </w:tc>
              <w:tc>
                <w:tcPr>
                  <w:tcW w:w="2962" w:type="dxa"/>
                  <w:vAlign w:val="center"/>
                </w:tcPr>
                <w:p w14:paraId="37E99AB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新建污水处理厂主体设施，配套2350m污水收集管网，建设污泥浓缩、脱水设施；对现有一期格栅间、调节池等设施改造利旧，建成后与一期联合运行；厂内污泥脱水滤液、设备冲洗水、化验废水全部回流污水处理系统前端处理；运营期建立污泥管理台账，记录污泥产生及去向。</w:t>
                  </w:r>
                </w:p>
              </w:tc>
              <w:tc>
                <w:tcPr>
                  <w:tcW w:w="496" w:type="dxa"/>
                  <w:vAlign w:val="center"/>
                </w:tcPr>
                <w:p w14:paraId="1EBC393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5E01D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Align w:val="center"/>
                </w:tcPr>
                <w:p w14:paraId="3268ACB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固体废物污染防治</w:t>
                  </w:r>
                </w:p>
              </w:tc>
              <w:tc>
                <w:tcPr>
                  <w:tcW w:w="2963" w:type="dxa"/>
                  <w:vAlign w:val="center"/>
                </w:tcPr>
                <w:p w14:paraId="38C0FBC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第526条禁止擅自倾倒、堆放、丢弃、抛撒、遗撒或者焚烧城镇污水处理设施产生的污泥和处理处置后的污泥</w:t>
                  </w:r>
                  <w:r>
                    <w:rPr>
                      <w:rFonts w:hint="eastAsia" w:cs="Times New Roman"/>
                      <w:color w:val="auto"/>
                      <w:sz w:val="21"/>
                      <w:szCs w:val="21"/>
                      <w:highlight w:val="none"/>
                      <w:lang w:val="en-US" w:eastAsia="zh-CN"/>
                    </w:rPr>
                    <w:t>。从事水体清淤疏浚应当按照国家规定处理清淤疏浚过程中产生的底泥，防止污染环境。</w:t>
                  </w:r>
                </w:p>
              </w:tc>
              <w:tc>
                <w:tcPr>
                  <w:tcW w:w="2962" w:type="dxa"/>
                  <w:vAlign w:val="center"/>
                </w:tcPr>
                <w:p w14:paraId="2862A2C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项目污泥经浓缩</w:t>
                  </w:r>
                  <w:r>
                    <w:rPr>
                      <w:rFonts w:hint="default" w:ascii="Times New Roman" w:hAnsi="Times New Roman" w:eastAsia="宋体" w:cs="Times New Roman"/>
                      <w:color w:val="auto"/>
                      <w:sz w:val="21"/>
                      <w:szCs w:val="21"/>
                      <w:highlight w:val="none"/>
                      <w:lang w:val="en-US" w:eastAsia="zh-CN"/>
                    </w:rPr>
                    <w:noBreakHyphen/>
                  </w:r>
                  <w:r>
                    <w:rPr>
                      <w:rFonts w:hint="default" w:ascii="Times New Roman" w:hAnsi="Times New Roman" w:eastAsia="宋体" w:cs="Times New Roman"/>
                      <w:color w:val="auto"/>
                      <w:sz w:val="21"/>
                      <w:szCs w:val="21"/>
                      <w:highlight w:val="none"/>
                      <w:lang w:val="en-US" w:eastAsia="zh-CN"/>
                    </w:rPr>
                    <w:t>板框压滤脱水至含水率≤60%后送生活垃圾填埋场处置；栅渣、沉砂交由环卫部门清运；设置15</w:t>
                  </w:r>
                  <w:r>
                    <w:rPr>
                      <w:rFonts w:hint="eastAsia" w:cs="Times New Roman"/>
                      <w:color w:val="auto"/>
                      <w:sz w:val="21"/>
                      <w:szCs w:val="21"/>
                      <w:highlight w:val="none"/>
                      <w:lang w:val="en-US" w:eastAsia="zh-CN"/>
                    </w:rPr>
                    <w:t>m</w:t>
                  </w:r>
                  <w:r>
                    <w:rPr>
                      <w:rFonts w:hint="eastAsia"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独立危险废物贮存隔间，化验废液、废机油、含油废抹布分类收集暂存，委托有资质单位处置，建立完整固废管理台账。</w:t>
                  </w:r>
                </w:p>
              </w:tc>
              <w:tc>
                <w:tcPr>
                  <w:tcW w:w="496" w:type="dxa"/>
                  <w:vAlign w:val="center"/>
                </w:tcPr>
                <w:p w14:paraId="247C529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66607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Align w:val="center"/>
                </w:tcPr>
                <w:p w14:paraId="24015A0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大气污染防治（恶臭）</w:t>
                  </w:r>
                </w:p>
              </w:tc>
              <w:tc>
                <w:tcPr>
                  <w:tcW w:w="2963" w:type="dxa"/>
                  <w:vAlign w:val="center"/>
                </w:tcPr>
                <w:p w14:paraId="365C309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第</w:t>
                  </w:r>
                  <w:r>
                    <w:rPr>
                      <w:rFonts w:hint="eastAsia" w:cs="Times New Roman"/>
                      <w:color w:val="auto"/>
                      <w:sz w:val="21"/>
                      <w:szCs w:val="21"/>
                      <w:highlight w:val="none"/>
                      <w:lang w:val="en-US" w:eastAsia="zh-CN"/>
                    </w:rPr>
                    <w:t>249</w:t>
                  </w:r>
                  <w:r>
                    <w:rPr>
                      <w:rFonts w:hint="default" w:ascii="Times New Roman" w:hAnsi="Times New Roman" w:eastAsia="宋体" w:cs="Times New Roman"/>
                      <w:color w:val="auto"/>
                      <w:sz w:val="21"/>
                      <w:szCs w:val="21"/>
                      <w:highlight w:val="none"/>
                      <w:lang w:val="en-US" w:eastAsia="zh-CN"/>
                    </w:rPr>
                    <w:t>条各级人民政府及其有关部门编制国土空间规划和相关规划，应当统筹规划，合理安排土地用途和建设布局，防止、减少恶臭污染。</w:t>
                  </w:r>
                </w:p>
                <w:p w14:paraId="3CC1559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企业事业单位和其他生产经营者在生产经营活动中产生恶臭气体的，应当科学选址，设置合理的防护距离，并安装净化装置或者采取其他有效措施，防止排放恶臭气体。</w:t>
                  </w:r>
                </w:p>
              </w:tc>
              <w:tc>
                <w:tcPr>
                  <w:tcW w:w="2962" w:type="dxa"/>
                  <w:vAlign w:val="center"/>
                </w:tcPr>
                <w:p w14:paraId="6D4105B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项目预处理单元恶臭采用离子除臭；生物池、污泥处理单元进行加盖密闭收集，配套生物除臭设施，处理后废气经15m排气筒排放，控制厂界氨、硫化氢满足标准要求。</w:t>
                  </w:r>
                </w:p>
              </w:tc>
              <w:tc>
                <w:tcPr>
                  <w:tcW w:w="496" w:type="dxa"/>
                  <w:vAlign w:val="center"/>
                </w:tcPr>
                <w:p w14:paraId="2487648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1276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Align w:val="center"/>
                </w:tcPr>
                <w:p w14:paraId="48D2918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噪声污染防治</w:t>
                  </w:r>
                </w:p>
              </w:tc>
              <w:tc>
                <w:tcPr>
                  <w:tcW w:w="2963" w:type="dxa"/>
                  <w:vAlign w:val="center"/>
                </w:tcPr>
                <w:p w14:paraId="04721E9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第</w:t>
                  </w:r>
                  <w:r>
                    <w:rPr>
                      <w:rFonts w:hint="eastAsia" w:cs="Times New Roman"/>
                      <w:color w:val="auto"/>
                      <w:sz w:val="21"/>
                      <w:szCs w:val="21"/>
                      <w:highlight w:val="none"/>
                      <w:lang w:val="en-US" w:eastAsia="zh-CN"/>
                    </w:rPr>
                    <w:t>567</w:t>
                  </w:r>
                  <w:r>
                    <w:rPr>
                      <w:rFonts w:hint="default" w:ascii="Times New Roman" w:hAnsi="Times New Roman" w:eastAsia="宋体" w:cs="Times New Roman"/>
                      <w:color w:val="auto"/>
                      <w:sz w:val="21"/>
                      <w:szCs w:val="21"/>
                      <w:highlight w:val="none"/>
                      <w:lang w:val="en-US" w:eastAsia="zh-CN"/>
                    </w:rPr>
                    <w:t>条排放工业噪声的企业事业单位和其他生产经营者，应当采取有效措施，减少振动、降低噪声。</w:t>
                  </w:r>
                </w:p>
              </w:tc>
              <w:tc>
                <w:tcPr>
                  <w:tcW w:w="2962" w:type="dxa"/>
                  <w:vAlign w:val="center"/>
                </w:tcPr>
                <w:p w14:paraId="312AFFA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sz w:val="21"/>
                      <w:szCs w:val="21"/>
                    </w:rPr>
                    <w:t>本项目选用低噪声设备，水泵、风机、压滤机等高噪声设备采取基础减振、厂房隔声、安装消声器等降噪措施</w:t>
                  </w:r>
                </w:p>
              </w:tc>
              <w:tc>
                <w:tcPr>
                  <w:tcW w:w="496" w:type="dxa"/>
                  <w:vAlign w:val="center"/>
                </w:tcPr>
                <w:p w14:paraId="29790FC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5849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Align w:val="center"/>
                </w:tcPr>
                <w:p w14:paraId="17C4473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污水资源化利用</w:t>
                  </w:r>
                </w:p>
              </w:tc>
              <w:tc>
                <w:tcPr>
                  <w:tcW w:w="2963" w:type="dxa"/>
                  <w:vAlign w:val="center"/>
                </w:tcPr>
                <w:p w14:paraId="42A7DD8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第</w:t>
                  </w:r>
                  <w:r>
                    <w:rPr>
                      <w:rFonts w:hint="eastAsia" w:cs="Times New Roman"/>
                      <w:color w:val="auto"/>
                      <w:sz w:val="21"/>
                      <w:szCs w:val="21"/>
                      <w:highlight w:val="none"/>
                      <w:lang w:val="en-US" w:eastAsia="zh-CN"/>
                    </w:rPr>
                    <w:t>789</w:t>
                  </w:r>
                  <w:r>
                    <w:rPr>
                      <w:rFonts w:hint="default" w:ascii="Times New Roman" w:hAnsi="Times New Roman" w:eastAsia="宋体" w:cs="Times New Roman"/>
                      <w:color w:val="auto"/>
                      <w:sz w:val="21"/>
                      <w:szCs w:val="21"/>
                      <w:highlight w:val="none"/>
                      <w:lang w:val="en-US" w:eastAsia="zh-CN"/>
                    </w:rPr>
                    <w:t>条国家鼓励、支持污水资源化利用，县级以上地方人民政府应当统筹规划、建设污水资源化利用基础设施。</w:t>
                  </w:r>
                </w:p>
                <w:p w14:paraId="5FA0A8B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县</w:t>
                  </w:r>
                  <w:r>
                    <w:rPr>
                      <w:rFonts w:hint="default" w:ascii="Times New Roman" w:hAnsi="Times New Roman" w:eastAsia="宋体" w:cs="Times New Roman"/>
                      <w:color w:val="auto"/>
                      <w:sz w:val="21"/>
                      <w:szCs w:val="21"/>
                      <w:highlight w:val="none"/>
                      <w:lang w:val="en-US" w:eastAsia="zh-CN"/>
                    </w:rPr>
                    <w:t>级以上地方人民政府应当根据当地水资源状况，加强污水处理回用，将再生水、集蓄雨水、海水及海水淡化水、矿井（坑）水、</w:t>
                  </w:r>
                  <w:r>
                    <w:rPr>
                      <w:rFonts w:hint="default" w:ascii="Times New Roman" w:hAnsi="Times New Roman" w:eastAsia="宋体" w:cs="Times New Roman"/>
                      <w:color w:val="auto"/>
                      <w:spacing w:val="-6"/>
                      <w:sz w:val="21"/>
                      <w:szCs w:val="21"/>
                      <w:highlight w:val="none"/>
                      <w:lang w:val="en-US" w:eastAsia="zh-CN"/>
                    </w:rPr>
                    <w:t>微咸水等非常规水纳入水资源统一配置，统筹规划、建设非常规水开发利用设施。</w:t>
                  </w:r>
                </w:p>
              </w:tc>
              <w:tc>
                <w:tcPr>
                  <w:tcW w:w="2962" w:type="dxa"/>
                  <w:vAlign w:val="center"/>
                </w:tcPr>
                <w:p w14:paraId="3CE4A7A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项目配套8481m再生水压力输送管网，尾水经深度消毒处理后输送至园区中水站，实现再生水资源化回用。</w:t>
                  </w:r>
                </w:p>
              </w:tc>
              <w:tc>
                <w:tcPr>
                  <w:tcW w:w="496" w:type="dxa"/>
                  <w:vAlign w:val="center"/>
                </w:tcPr>
                <w:p w14:paraId="661ADA5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6CF5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Align w:val="center"/>
                </w:tcPr>
                <w:p w14:paraId="67ADE4B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ascii="宋体" w:hAnsi="宋体" w:eastAsia="宋体" w:cs="宋体"/>
                      <w:sz w:val="24"/>
                      <w:szCs w:val="24"/>
                    </w:rPr>
                    <w:t>环境管理</w:t>
                  </w:r>
                </w:p>
              </w:tc>
              <w:tc>
                <w:tcPr>
                  <w:tcW w:w="2963" w:type="dxa"/>
                  <w:vAlign w:val="center"/>
                </w:tcPr>
                <w:p w14:paraId="216F2DF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第</w:t>
                  </w:r>
                  <w:r>
                    <w:rPr>
                      <w:rFonts w:hint="eastAsia" w:cs="Times New Roman"/>
                      <w:color w:val="auto"/>
                      <w:sz w:val="21"/>
                      <w:szCs w:val="21"/>
                      <w:highlight w:val="none"/>
                      <w:lang w:val="en-US" w:eastAsia="zh-CN"/>
                    </w:rPr>
                    <w:t>83</w:t>
                  </w:r>
                  <w:r>
                    <w:rPr>
                      <w:rFonts w:hint="default" w:ascii="Times New Roman" w:hAnsi="Times New Roman" w:eastAsia="宋体" w:cs="Times New Roman"/>
                      <w:color w:val="auto"/>
                      <w:sz w:val="21"/>
                      <w:szCs w:val="21"/>
                      <w:highlight w:val="none"/>
                      <w:lang w:val="en-US" w:eastAsia="zh-CN"/>
                    </w:rPr>
                    <w:t>条编制有关开发利用规划，建设对生态环境有影响的项目，应当依法进行生态环境影响评价。</w:t>
                  </w:r>
                </w:p>
                <w:p w14:paraId="23B04D5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未依法进行生态环境影响评价的开</w:t>
                  </w:r>
                  <w:r>
                    <w:rPr>
                      <w:rFonts w:hint="default" w:ascii="Times New Roman" w:hAnsi="Times New Roman" w:eastAsia="宋体" w:cs="Times New Roman"/>
                      <w:color w:val="auto"/>
                      <w:spacing w:val="-6"/>
                      <w:sz w:val="21"/>
                      <w:szCs w:val="21"/>
                      <w:highlight w:val="none"/>
                      <w:lang w:val="en-US" w:eastAsia="zh-CN"/>
                    </w:rPr>
                    <w:t>发利用规划，不得组织实施；未依法进行生态环境影响评价的建设项目，不得开工建设。</w:t>
                  </w:r>
                </w:p>
              </w:tc>
              <w:tc>
                <w:tcPr>
                  <w:tcW w:w="2962" w:type="dxa"/>
                  <w:vAlign w:val="center"/>
                </w:tcPr>
                <w:p w14:paraId="136FAF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本项目编制环境影响报告表报批；各项环保设施与主体工程落实</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三同时</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；项目投产前依法申领排污许可证，落实自行监测、环境台账记录等环境管理要求。</w:t>
                  </w:r>
                </w:p>
              </w:tc>
              <w:tc>
                <w:tcPr>
                  <w:tcW w:w="496" w:type="dxa"/>
                  <w:vAlign w:val="center"/>
                </w:tcPr>
                <w:p w14:paraId="0905F7C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bl>
          <w:p w14:paraId="52D10340">
            <w:pPr>
              <w:pStyle w:val="4"/>
              <w:keepNext w:val="0"/>
              <w:keepLines w:val="0"/>
              <w:pageBreakBefore w:val="0"/>
              <w:widowControl w:val="0"/>
              <w:numPr>
                <w:ilvl w:val="1"/>
                <w:numId w:val="0"/>
              </w:numPr>
              <w:kinsoku/>
              <w:wordWrap/>
              <w:overflowPunct/>
              <w:topLinePunct w:val="0"/>
              <w:autoSpaceDE/>
              <w:autoSpaceDN/>
              <w:bidi w:val="0"/>
              <w:adjustRightInd/>
              <w:snapToGrid/>
              <w:spacing w:before="157" w:beforeLines="50"/>
              <w:ind w:left="0" w:leftChars="0" w:firstLine="0" w:firstLineChars="0"/>
              <w:textAlignment w:val="auto"/>
              <w:rPr>
                <w:rFonts w:hint="default" w:ascii="Times New Roman" w:hAnsi="Times New Roman" w:eastAsia="宋体" w:cs="Times New Roman"/>
                <w:b/>
                <w:bCs/>
                <w:color w:val="auto"/>
                <w:kern w:val="2"/>
                <w:sz w:val="24"/>
                <w:szCs w:val="24"/>
                <w:lang w:val="en-US" w:eastAsia="zh-CN" w:bidi="ar-SA"/>
              </w:rPr>
            </w:pPr>
            <w:r>
              <w:rPr>
                <w:rFonts w:hint="eastAsia" w:ascii="Times New Roman" w:hAnsi="Times New Roman" w:cs="Times New Roman"/>
                <w:b/>
                <w:bCs/>
                <w:color w:val="auto"/>
                <w:kern w:val="2"/>
                <w:sz w:val="24"/>
                <w:szCs w:val="24"/>
                <w:lang w:val="en-US" w:eastAsia="zh-CN" w:bidi="ar-SA"/>
              </w:rPr>
              <w:t>1.6.2</w:t>
            </w:r>
            <w:r>
              <w:rPr>
                <w:rFonts w:hint="default" w:ascii="Times New Roman" w:hAnsi="Times New Roman" w:eastAsia="宋体" w:cs="Times New Roman"/>
                <w:b/>
                <w:bCs/>
                <w:color w:val="auto"/>
                <w:kern w:val="2"/>
                <w:sz w:val="24"/>
                <w:szCs w:val="24"/>
                <w:lang w:val="en-US" w:eastAsia="zh-CN" w:bidi="ar-SA"/>
              </w:rPr>
              <w:t>生态环境分区管控要求符合性分析与《关于印发〈新疆维吾尔自治区生态环境分区管控动态更新成果〉的通知》（新环环评发〔2024〕157号）的符合性分析</w:t>
            </w:r>
          </w:p>
          <w:p w14:paraId="10586EB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本项目厂址位于库尔勒上库高新区石油石化产业园，属于生态环境分区管控中南疆三地州片区，为新疆维吾尔自治区重点管控单元，本项目与《新疆维吾尔自治区生态环境分区管控动态更新成果》符合性分析见表1-</w:t>
            </w:r>
            <w:r>
              <w:rPr>
                <w:rFonts w:hint="eastAsia" w:cs="Times New Roman"/>
                <w:color w:val="auto"/>
                <w:kern w:val="0"/>
                <w:sz w:val="24"/>
                <w:highlight w:val="none"/>
                <w:lang w:val="en-US" w:eastAsia="zh-CN"/>
              </w:rPr>
              <w:t>6</w:t>
            </w:r>
            <w:r>
              <w:rPr>
                <w:rFonts w:hint="eastAsia" w:ascii="Times New Roman" w:hAnsi="Times New Roman" w:eastAsia="宋体" w:cs="Times New Roman"/>
                <w:color w:val="auto"/>
                <w:kern w:val="0"/>
                <w:sz w:val="24"/>
                <w:highlight w:val="none"/>
                <w:lang w:val="en-US" w:eastAsia="zh-CN"/>
              </w:rPr>
              <w:t>：</w:t>
            </w:r>
          </w:p>
          <w:p w14:paraId="7AC69F08">
            <w:pPr>
              <w:pStyle w:val="23"/>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lang w:eastAsia="zh-CN"/>
              </w:rPr>
            </w:pPr>
            <w:r>
              <w:t>表</w:t>
            </w:r>
            <w:r>
              <w:fldChar w:fldCharType="begin"/>
            </w:r>
            <w:r>
              <w:instrText xml:space="preserve"> STYLEREF 1 \s \* ARABIC </w:instrText>
            </w:r>
            <w:r>
              <w:fldChar w:fldCharType="separate"/>
            </w:r>
            <w:r>
              <w:t>1</w:t>
            </w:r>
            <w:r>
              <w:fldChar w:fldCharType="end"/>
            </w:r>
            <w:r>
              <w:rPr>
                <w:rFonts w:hint="eastAsia"/>
                <w:lang w:eastAsia="zh-CN"/>
              </w:rPr>
              <w:t>-</w:t>
            </w:r>
            <w:r>
              <w:rPr>
                <w:rFonts w:hint="eastAsia"/>
                <w:lang w:val="en-US" w:eastAsia="zh-CN"/>
              </w:rPr>
              <w:t>6</w:t>
            </w:r>
            <w:r>
              <w:rPr>
                <w:rFonts w:hint="eastAsia"/>
                <w:lang w:eastAsia="zh-CN"/>
              </w:rPr>
              <w:t>本项目与《新疆维吾尔自治区生态环境分区管控动态更新成果》符合性分析</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
              <w:gridCol w:w="2754"/>
              <w:gridCol w:w="3248"/>
              <w:gridCol w:w="4"/>
              <w:gridCol w:w="392"/>
            </w:tblGrid>
            <w:tr w14:paraId="24DE2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217ED0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管控维度</w:t>
                  </w:r>
                </w:p>
              </w:tc>
              <w:tc>
                <w:tcPr>
                  <w:tcW w:w="19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B8291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管控要求</w:t>
                  </w:r>
                </w:p>
              </w:tc>
              <w:tc>
                <w:tcPr>
                  <w:tcW w:w="2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08E7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本项目情况</w:t>
                  </w:r>
                </w:p>
              </w:tc>
              <w:tc>
                <w:tcPr>
                  <w:tcW w:w="286"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21040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符合性</w:t>
                  </w:r>
                </w:p>
              </w:tc>
            </w:tr>
            <w:tr w14:paraId="5544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restart"/>
                  <w:tcBorders>
                    <w:top w:val="single" w:color="000000" w:sz="4" w:space="0"/>
                    <w:left w:val="single" w:color="000000" w:sz="4" w:space="0"/>
                    <w:right w:val="single" w:color="000000" w:sz="4" w:space="0"/>
                  </w:tcBorders>
                  <w:shd w:val="clear" w:color="auto" w:fill="FFFFFF"/>
                  <w:vAlign w:val="center"/>
                </w:tcPr>
                <w:p w14:paraId="048B232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A1空间布局约束</w:t>
                  </w:r>
                </w:p>
              </w:tc>
              <w:tc>
                <w:tcPr>
                  <w:tcW w:w="19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BE95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（A1.1-1）禁止新建、扩建《产业结构调整指导目录（2024年本）》中淘汰类项目。禁止引入《市场准入负面清单（2022年版）》禁止准入类事项。</w:t>
                  </w:r>
                </w:p>
              </w:tc>
              <w:tc>
                <w:tcPr>
                  <w:tcW w:w="2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A07B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本项目为生活污水处理项目，属于《产业结构调整指导目录（2024年本）》鼓励类</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四十二、环境保护与资源节约综合利用</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中</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3、城镇污水垃圾处理</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和</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10、工业‘三废’循环利用</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；不属于《市场准入负面清单》禁止准入类事项。</w:t>
                  </w:r>
                </w:p>
              </w:tc>
              <w:tc>
                <w:tcPr>
                  <w:tcW w:w="286"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02F9B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67BA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tcBorders>
                    <w:left w:val="single" w:color="000000" w:sz="4" w:space="0"/>
                    <w:right w:val="single" w:color="000000" w:sz="4" w:space="0"/>
                  </w:tcBorders>
                  <w:shd w:val="clear" w:color="auto" w:fill="FFFFFF"/>
                  <w:vAlign w:val="center"/>
                </w:tcPr>
                <w:p w14:paraId="59823D6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9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45B95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（A1.1-2）禁止建设不符合国家和自治区环境保护标准的项目。</w:t>
                  </w:r>
                </w:p>
              </w:tc>
              <w:tc>
                <w:tcPr>
                  <w:tcW w:w="2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9BCF3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本项目施工期和运营期均采取相应的污染防治措施，废气、噪声可达标排放，废水零排放，固废妥善处置，符合国家和自治区环境保护标准要求。</w:t>
                  </w:r>
                </w:p>
              </w:tc>
              <w:tc>
                <w:tcPr>
                  <w:tcW w:w="286"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6A43D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283C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tcBorders>
                    <w:left w:val="single" w:color="000000" w:sz="4" w:space="0"/>
                    <w:right w:val="single" w:color="000000" w:sz="4" w:space="0"/>
                  </w:tcBorders>
                  <w:shd w:val="clear" w:color="auto" w:fill="FFFFFF"/>
                  <w:vAlign w:val="center"/>
                </w:tcPr>
                <w:p w14:paraId="22EFAC0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9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761B9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（A1.1-3）禁止在饮用水水源保护区、风景名胜区、自然保护区的核心区和缓冲区、城镇居民区、文化教育科学研究区等人口集中区域以及法律、法规规定的其他禁止养殖区域建设畜禽养殖场、养殖小区。</w:t>
                  </w:r>
                </w:p>
              </w:tc>
              <w:tc>
                <w:tcPr>
                  <w:tcW w:w="235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9E741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本项目为污水处理厂建设项目，不涉及畜禽养殖；项目选址位于石油石化产业园内，不涉及饮用水水源保护区、风景名胜区、自然保护区等敏感区域。</w:t>
                  </w:r>
                </w:p>
              </w:tc>
              <w:tc>
                <w:tcPr>
                  <w:tcW w:w="2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919C7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5A1A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tcBorders>
                    <w:left w:val="single" w:color="000000" w:sz="4" w:space="0"/>
                    <w:right w:val="single" w:color="000000" w:sz="4" w:space="0"/>
                  </w:tcBorders>
                  <w:shd w:val="clear" w:color="auto" w:fill="FFFFFF"/>
                  <w:vAlign w:val="center"/>
                </w:tcPr>
                <w:p w14:paraId="1799C5C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9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B25B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（A1.1-4）禁止在水源涵养区、地下水源、饮用水源、自然保护区、风景名胜区、森林公园、重要湿地及人群密集区等生态敏感区域内进行煤炭、石油、天然气开发。</w:t>
                  </w:r>
                </w:p>
              </w:tc>
              <w:tc>
                <w:tcPr>
                  <w:tcW w:w="235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F787B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本项目为污水处理厂建设项目，不涉及煤炭、石油、天然气开发。</w:t>
                  </w:r>
                </w:p>
              </w:tc>
              <w:tc>
                <w:tcPr>
                  <w:tcW w:w="2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AC02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2FE23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tcBorders>
                    <w:left w:val="single" w:color="000000" w:sz="4" w:space="0"/>
                    <w:right w:val="single" w:color="000000" w:sz="4" w:space="0"/>
                  </w:tcBorders>
                  <w:shd w:val="clear" w:color="auto" w:fill="FFFFFF"/>
                  <w:vAlign w:val="center"/>
                </w:tcPr>
                <w:p w14:paraId="56296D0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9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2E0E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（A1.1-5）禁止破坏湿地及其生态功能的行为。</w:t>
                  </w:r>
                </w:p>
              </w:tc>
              <w:tc>
                <w:tcPr>
                  <w:tcW w:w="235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B1303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本项目选址位于石油石化产业园现有厂区内，不涉及湿地。</w:t>
                  </w:r>
                </w:p>
              </w:tc>
              <w:tc>
                <w:tcPr>
                  <w:tcW w:w="2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2277B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20BD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tcBorders>
                    <w:left w:val="single" w:color="000000" w:sz="4" w:space="0"/>
                    <w:bottom w:val="single" w:color="000000" w:sz="4" w:space="0"/>
                    <w:right w:val="single" w:color="000000" w:sz="4" w:space="0"/>
                  </w:tcBorders>
                  <w:shd w:val="clear" w:color="auto" w:fill="FFFFFF"/>
                  <w:vAlign w:val="center"/>
                </w:tcPr>
                <w:p w14:paraId="0254434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9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FA772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1.1-6）禁止在自治区行政区域内引进能（水）耗不符合相关国家标准中准入值要求且污染物排放和环境风险防控不符合国家（地方）标准及有关产业准入条件的高污染（排放）、高能（水）耗、高环境风险的工业项目。</w:t>
                  </w:r>
                </w:p>
              </w:tc>
              <w:tc>
                <w:tcPr>
                  <w:tcW w:w="235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DF0C7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本项目为生活污水处理厂，不属于高污染（排放）、高能（水）耗、高环境风险的工业项目；项目能耗、水耗符合相关标准要求，污染物排放和环境风险防控措施满足国家和地方标准。</w:t>
                  </w:r>
                </w:p>
              </w:tc>
              <w:tc>
                <w:tcPr>
                  <w:tcW w:w="2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E7B7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7217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7D660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A2污染物排放管控</w:t>
                  </w:r>
                </w:p>
              </w:tc>
              <w:tc>
                <w:tcPr>
                  <w:tcW w:w="19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3483B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新、改、扩建重点行业建设项目应符合</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三线一单</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、产业政</w:t>
                  </w:r>
                  <w:r>
                    <w:rPr>
                      <w:rFonts w:hint="default" w:ascii="Times New Roman" w:hAnsi="Times New Roman" w:eastAsia="宋体" w:cs="Times New Roman"/>
                      <w:color w:val="auto"/>
                      <w:spacing w:val="-6"/>
                      <w:sz w:val="21"/>
                      <w:szCs w:val="21"/>
                      <w:highlight w:val="none"/>
                      <w:lang w:val="en-US" w:eastAsia="zh-CN"/>
                    </w:rPr>
                    <w:t>策、区域环评、规划环评和行业环境准入管控要求。</w:t>
                  </w:r>
                </w:p>
              </w:tc>
              <w:tc>
                <w:tcPr>
                  <w:tcW w:w="235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25EBD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本项目符合</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三线一单</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管控要求，属于鼓励类产业政策，符合园区规划及规划环评要求，满足行业环境准入条件。</w:t>
                  </w:r>
                </w:p>
              </w:tc>
              <w:tc>
                <w:tcPr>
                  <w:tcW w:w="2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50FF7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78C2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8FA38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9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25B87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执行自治区七一大片区管控要求和自治州总体管控要求中关于水</w:t>
                  </w:r>
                  <w:r>
                    <w:rPr>
                      <w:rFonts w:hint="default" w:ascii="Times New Roman" w:hAnsi="Times New Roman" w:eastAsia="宋体" w:cs="Times New Roman"/>
                      <w:color w:val="auto"/>
                      <w:spacing w:val="-6"/>
                      <w:sz w:val="21"/>
                      <w:szCs w:val="21"/>
                      <w:highlight w:val="none"/>
                      <w:lang w:val="en-US" w:eastAsia="zh-CN"/>
                    </w:rPr>
                    <w:t>、大气环境重点管控区的污染物排放管控要求。</w:t>
                  </w:r>
                </w:p>
              </w:tc>
              <w:tc>
                <w:tcPr>
                  <w:tcW w:w="235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669F2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本项目运营期废气经除臭处理后达标排放，尾水全部回用不外排，固废妥善处置，污染物排放满足相关管控要求。</w:t>
                  </w:r>
                </w:p>
              </w:tc>
              <w:tc>
                <w:tcPr>
                  <w:tcW w:w="2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D0BE6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240C2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D1648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A3环境风险防控</w:t>
                  </w:r>
                </w:p>
              </w:tc>
              <w:tc>
                <w:tcPr>
                  <w:tcW w:w="19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7712A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强化环境风险防控，落实环境风险防范措施。</w:t>
                  </w:r>
                </w:p>
              </w:tc>
              <w:tc>
                <w:tcPr>
                  <w:tcW w:w="235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E3CFD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本项目将严格落实环境风险管控要求，编制并备案突发环境事件应急预案，配备环境应急物资，定期组织应急演练，建立环境风险防控体系。</w:t>
                  </w:r>
                </w:p>
              </w:tc>
              <w:tc>
                <w:tcPr>
                  <w:tcW w:w="2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A1AF5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34EE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29B2B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A4资源利用效率</w:t>
                  </w:r>
                </w:p>
              </w:tc>
              <w:tc>
                <w:tcPr>
                  <w:tcW w:w="19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F78AE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不断提升资源利用效率。</w:t>
                  </w:r>
                </w:p>
              </w:tc>
              <w:tc>
                <w:tcPr>
                  <w:tcW w:w="235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4B7B4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本项目为污水处理及再生利用项目，尾水全部回用于园区绿化灌溉和企业工业用水，实现污水资源化利用，有效提高了水资源利用效率。</w:t>
                  </w:r>
                </w:p>
              </w:tc>
              <w:tc>
                <w:tcPr>
                  <w:tcW w:w="2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6B860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bl>
          <w:p w14:paraId="50181117">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425" w:leftChars="0" w:hanging="425" w:firstLineChars="0"/>
              <w:jc w:val="left"/>
              <w:textAlignment w:val="auto"/>
              <w:rPr>
                <w:rFonts w:hint="eastAsia" w:ascii="Times New Roman" w:hAnsi="Times New Roman" w:eastAsia="宋体" w:cs="Times New Roman"/>
                <w:b/>
                <w:bCs/>
                <w:color w:val="auto"/>
                <w:kern w:val="2"/>
                <w:sz w:val="24"/>
                <w:szCs w:val="24"/>
                <w:lang w:val="en-US" w:eastAsia="zh-CN" w:bidi="ar-SA"/>
              </w:rPr>
            </w:pPr>
            <w:r>
              <w:rPr>
                <w:rFonts w:hint="eastAsia" w:cs="Times New Roman"/>
                <w:b/>
                <w:bCs/>
                <w:color w:val="auto"/>
                <w:kern w:val="2"/>
                <w:sz w:val="24"/>
                <w:szCs w:val="24"/>
                <w:lang w:val="en-US" w:eastAsia="zh-CN" w:bidi="ar-SA"/>
              </w:rPr>
              <w:t>1.6.3</w:t>
            </w:r>
            <w:r>
              <w:rPr>
                <w:rFonts w:hint="eastAsia" w:ascii="Times New Roman" w:hAnsi="Times New Roman" w:eastAsia="宋体" w:cs="Times New Roman"/>
                <w:b/>
                <w:bCs/>
                <w:color w:val="auto"/>
                <w:kern w:val="2"/>
                <w:sz w:val="24"/>
                <w:szCs w:val="24"/>
                <w:lang w:val="en-US" w:eastAsia="zh-CN" w:bidi="ar-SA"/>
              </w:rPr>
              <w:t>与《巴音郭楞蒙古自治州</w:t>
            </w:r>
            <w:r>
              <w:rPr>
                <w:rFonts w:hint="eastAsia" w:cs="Times New Roman"/>
                <w:b/>
                <w:bCs/>
                <w:color w:val="auto"/>
                <w:kern w:val="2"/>
                <w:sz w:val="24"/>
                <w:szCs w:val="24"/>
                <w:lang w:val="en-US" w:eastAsia="zh-CN" w:bidi="ar-SA"/>
              </w:rPr>
              <w:t>“</w:t>
            </w:r>
            <w:r>
              <w:rPr>
                <w:rFonts w:hint="eastAsia" w:ascii="Times New Roman" w:hAnsi="Times New Roman" w:eastAsia="宋体" w:cs="Times New Roman"/>
                <w:b/>
                <w:bCs/>
                <w:color w:val="auto"/>
                <w:kern w:val="2"/>
                <w:sz w:val="24"/>
                <w:szCs w:val="24"/>
                <w:lang w:val="en-US" w:eastAsia="zh-CN" w:bidi="ar-SA"/>
              </w:rPr>
              <w:t>三线一单</w:t>
            </w:r>
            <w:r>
              <w:rPr>
                <w:rFonts w:hint="eastAsia" w:cs="Times New Roman"/>
                <w:b/>
                <w:bCs/>
                <w:color w:val="auto"/>
                <w:kern w:val="2"/>
                <w:sz w:val="24"/>
                <w:szCs w:val="24"/>
                <w:lang w:val="en-US" w:eastAsia="zh-CN" w:bidi="ar-SA"/>
              </w:rPr>
              <w:t>”</w:t>
            </w:r>
            <w:r>
              <w:rPr>
                <w:rFonts w:hint="eastAsia" w:ascii="Times New Roman" w:hAnsi="Times New Roman" w:eastAsia="宋体" w:cs="Times New Roman"/>
                <w:b/>
                <w:bCs/>
                <w:color w:val="auto"/>
                <w:kern w:val="2"/>
                <w:sz w:val="24"/>
                <w:szCs w:val="24"/>
                <w:lang w:val="en-US" w:eastAsia="zh-CN" w:bidi="ar-SA"/>
              </w:rPr>
              <w:t>生态环境分区管控动态更新成果（2023年）》符合性分析</w:t>
            </w:r>
          </w:p>
          <w:p w14:paraId="508062D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color w:val="auto"/>
                <w:kern w:val="0"/>
                <w:sz w:val="24"/>
                <w:highlight w:val="none"/>
                <w:lang w:val="en-US" w:eastAsia="zh-CN"/>
              </w:rPr>
              <w:t>本项目与《巴音郭楞蒙古自治州</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三线一单</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生态环境分区管控动态更新成果（2023年）》符合性见表1-</w:t>
            </w:r>
            <w:r>
              <w:rPr>
                <w:rFonts w:hint="eastAsia" w:cs="Times New Roman"/>
                <w:color w:val="auto"/>
                <w:kern w:val="0"/>
                <w:sz w:val="24"/>
                <w:highlight w:val="none"/>
                <w:lang w:val="en-US" w:eastAsia="zh-CN"/>
              </w:rPr>
              <w:t>7</w:t>
            </w:r>
            <w:r>
              <w:rPr>
                <w:rFonts w:hint="eastAsia" w:ascii="Times New Roman" w:hAnsi="Times New Roman" w:eastAsia="宋体" w:cs="Times New Roman"/>
                <w:color w:val="auto"/>
                <w:kern w:val="0"/>
                <w:sz w:val="24"/>
                <w:highlight w:val="none"/>
                <w:lang w:val="en-US" w:eastAsia="zh-CN"/>
              </w:rPr>
              <w:t>：</w:t>
            </w:r>
          </w:p>
          <w:p w14:paraId="5F813CF3">
            <w:pPr>
              <w:pStyle w:val="8"/>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kern w:val="2"/>
                <w:sz w:val="21"/>
                <w:szCs w:val="21"/>
                <w:lang w:val="en-US" w:eastAsia="zh-CN" w:bidi="ar-SA"/>
              </w:rPr>
              <w:t xml:space="preserve">表 </w:t>
            </w:r>
            <w:r>
              <w:rPr>
                <w:rFonts w:hint="default" w:ascii="Times New Roman" w:hAnsi="Times New Roman" w:eastAsia="宋体" w:cs="Times New Roman"/>
                <w:b/>
                <w:bCs/>
                <w:kern w:val="2"/>
                <w:sz w:val="21"/>
                <w:szCs w:val="21"/>
                <w:lang w:val="en-US" w:eastAsia="zh-CN" w:bidi="ar-SA"/>
              </w:rPr>
              <w:fldChar w:fldCharType="begin"/>
            </w:r>
            <w:r>
              <w:rPr>
                <w:rFonts w:hint="default" w:ascii="Times New Roman" w:hAnsi="Times New Roman" w:eastAsia="宋体" w:cs="Times New Roman"/>
                <w:b/>
                <w:bCs/>
                <w:kern w:val="2"/>
                <w:sz w:val="21"/>
                <w:szCs w:val="21"/>
                <w:lang w:val="en-US" w:eastAsia="zh-CN" w:bidi="ar-SA"/>
              </w:rPr>
              <w:instrText xml:space="preserve"> STYLEREF 1 \s \* ARABIC </w:instrText>
            </w:r>
            <w:r>
              <w:rPr>
                <w:rFonts w:hint="default" w:ascii="Times New Roman" w:hAnsi="Times New Roman" w:eastAsia="宋体" w:cs="Times New Roman"/>
                <w:b/>
                <w:bCs/>
                <w:kern w:val="2"/>
                <w:sz w:val="21"/>
                <w:szCs w:val="21"/>
                <w:lang w:val="en-US" w:eastAsia="zh-CN" w:bidi="ar-SA"/>
              </w:rPr>
              <w:fldChar w:fldCharType="separate"/>
            </w:r>
            <w:r>
              <w:rPr>
                <w:rFonts w:hint="default" w:ascii="Times New Roman" w:hAnsi="Times New Roman" w:eastAsia="宋体" w:cs="Times New Roman"/>
                <w:b/>
                <w:bCs/>
                <w:kern w:val="2"/>
                <w:sz w:val="21"/>
                <w:szCs w:val="21"/>
                <w:lang w:val="en-US" w:eastAsia="zh-CN" w:bidi="ar-SA"/>
              </w:rPr>
              <w:t>1</w:t>
            </w:r>
            <w:r>
              <w:rPr>
                <w:rFonts w:hint="default" w:ascii="Times New Roman" w:hAnsi="Times New Roman" w:eastAsia="宋体" w:cs="Times New Roman"/>
                <w:b/>
                <w:bCs/>
                <w:kern w:val="2"/>
                <w:sz w:val="21"/>
                <w:szCs w:val="21"/>
                <w:lang w:val="en-US" w:eastAsia="zh-CN" w:bidi="ar-SA"/>
              </w:rPr>
              <w:fldChar w:fldCharType="end"/>
            </w:r>
            <w:r>
              <w:rPr>
                <w:rFonts w:hint="default" w:ascii="Times New Roman" w:hAnsi="Times New Roman" w:eastAsia="宋体" w:cs="Times New Roman"/>
                <w:b/>
                <w:bCs/>
                <w:kern w:val="2"/>
                <w:sz w:val="21"/>
                <w:szCs w:val="21"/>
                <w:lang w:val="en-US" w:eastAsia="zh-CN" w:bidi="ar-SA"/>
              </w:rPr>
              <w:t>-</w:t>
            </w:r>
            <w:r>
              <w:rPr>
                <w:rFonts w:hint="eastAsia" w:ascii="Times New Roman" w:hAnsi="Times New Roman" w:eastAsia="宋体" w:cs="Times New Roman"/>
                <w:b/>
                <w:bCs/>
                <w:kern w:val="2"/>
                <w:sz w:val="21"/>
                <w:szCs w:val="21"/>
                <w:lang w:val="en-US" w:eastAsia="zh-CN" w:bidi="ar-SA"/>
              </w:rPr>
              <w:t>7</w:t>
            </w:r>
            <w:r>
              <w:rPr>
                <w:rFonts w:hint="default" w:ascii="Times New Roman" w:hAnsi="Times New Roman" w:eastAsia="宋体" w:cs="Times New Roman"/>
                <w:b/>
                <w:bCs/>
                <w:kern w:val="2"/>
                <w:sz w:val="21"/>
                <w:szCs w:val="21"/>
                <w:lang w:val="en-US" w:eastAsia="zh-CN" w:bidi="ar-SA"/>
              </w:rPr>
              <w:t>本项目与《巴音郭楞蒙古自治州</w:t>
            </w:r>
            <w:r>
              <w:rPr>
                <w:rFonts w:hint="eastAsia" w:ascii="Times New Roman" w:hAnsi="Times New Roman" w:eastAsia="宋体" w:cs="Times New Roman"/>
                <w:b/>
                <w:bCs/>
                <w:kern w:val="2"/>
                <w:sz w:val="21"/>
                <w:szCs w:val="21"/>
                <w:lang w:val="en-US" w:eastAsia="zh-CN" w:bidi="ar-SA"/>
              </w:rPr>
              <w:t>“</w:t>
            </w:r>
            <w:r>
              <w:rPr>
                <w:rFonts w:hint="default" w:ascii="Times New Roman" w:hAnsi="Times New Roman" w:eastAsia="宋体" w:cs="Times New Roman"/>
                <w:b/>
                <w:bCs/>
                <w:kern w:val="2"/>
                <w:sz w:val="21"/>
                <w:szCs w:val="21"/>
                <w:lang w:val="en-US" w:eastAsia="zh-CN" w:bidi="ar-SA"/>
              </w:rPr>
              <w:t>三线一单</w:t>
            </w:r>
            <w:r>
              <w:rPr>
                <w:rFonts w:hint="eastAsia" w:ascii="Times New Roman" w:hAnsi="Times New Roman" w:eastAsia="宋体" w:cs="Times New Roman"/>
                <w:b/>
                <w:bCs/>
                <w:kern w:val="2"/>
                <w:sz w:val="21"/>
                <w:szCs w:val="21"/>
                <w:lang w:val="en-US" w:eastAsia="zh-CN" w:bidi="ar-SA"/>
              </w:rPr>
              <w:t>”</w:t>
            </w:r>
            <w:r>
              <w:rPr>
                <w:rFonts w:hint="default" w:ascii="Times New Roman" w:hAnsi="Times New Roman" w:eastAsia="宋体" w:cs="Times New Roman"/>
                <w:b/>
                <w:bCs/>
                <w:kern w:val="2"/>
                <w:sz w:val="21"/>
                <w:szCs w:val="21"/>
                <w:lang w:val="en-US" w:eastAsia="zh-CN" w:bidi="ar-SA"/>
              </w:rPr>
              <w:t>生态环境分区管控动态更新成果（2023年）》符合性分析</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4"/>
              <w:gridCol w:w="2415"/>
              <w:gridCol w:w="2461"/>
              <w:gridCol w:w="815"/>
            </w:tblGrid>
            <w:tr w14:paraId="108AF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6E5E5874">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管控维度</w:t>
                  </w:r>
                </w:p>
              </w:tc>
              <w:tc>
                <w:tcPr>
                  <w:tcW w:w="17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C86113">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管控要求</w:t>
                  </w:r>
                </w:p>
              </w:tc>
              <w:tc>
                <w:tcPr>
                  <w:tcW w:w="1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3F1AEE">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本项目情况</w:t>
                  </w: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62D1B">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符合性</w:t>
                  </w:r>
                </w:p>
              </w:tc>
            </w:tr>
            <w:tr w14:paraId="31066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01491A">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生态保护红线</w:t>
                  </w:r>
                </w:p>
              </w:tc>
              <w:tc>
                <w:tcPr>
                  <w:tcW w:w="17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8D5824">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eastAsia="宋体" w:cs="Times New Roman"/>
                      <w:sz w:val="21"/>
                      <w:szCs w:val="21"/>
                      <w:lang w:eastAsia="zh-CN"/>
                    </w:rPr>
                  </w:pPr>
                  <w:r>
                    <w:rPr>
                      <w:rFonts w:hint="default" w:ascii="Times New Roman" w:hAnsi="Times New Roman" w:cs="Times New Roman"/>
                      <w:sz w:val="21"/>
                      <w:szCs w:val="21"/>
                    </w:rPr>
                    <w:t>按照</w:t>
                  </w:r>
                  <w:r>
                    <w:rPr>
                      <w:rFonts w:hint="eastAsia" w:ascii="Times New Roman" w:cs="Times New Roman"/>
                      <w:sz w:val="21"/>
                      <w:szCs w:val="21"/>
                      <w:lang w:eastAsia="zh-CN"/>
                    </w:rPr>
                    <w:t>“</w:t>
                  </w:r>
                  <w:r>
                    <w:rPr>
                      <w:rFonts w:hint="default" w:ascii="Times New Roman" w:hAnsi="Times New Roman" w:cs="Times New Roman"/>
                      <w:sz w:val="21"/>
                      <w:szCs w:val="21"/>
                    </w:rPr>
                    <w:t>生态功能不降低、面积不减少、性质不改变</w:t>
                  </w:r>
                  <w:r>
                    <w:rPr>
                      <w:rFonts w:hint="eastAsia" w:ascii="Times New Roman" w:cs="Times New Roman"/>
                      <w:sz w:val="21"/>
                      <w:szCs w:val="21"/>
                      <w:lang w:eastAsia="zh-CN"/>
                    </w:rPr>
                    <w:t>“</w:t>
                  </w:r>
                  <w:r>
                    <w:rPr>
                      <w:rFonts w:hint="default" w:ascii="Times New Roman" w:hAnsi="Times New Roman" w:cs="Times New Roman"/>
                      <w:sz w:val="21"/>
                      <w:szCs w:val="21"/>
                    </w:rPr>
                    <w:t>的基本要求，对划定的生态保护红线以及一般生态空间实施严格监管</w:t>
                  </w:r>
                </w:p>
              </w:tc>
              <w:tc>
                <w:tcPr>
                  <w:tcW w:w="1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1509DF">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pacing w:val="-6"/>
                      <w:sz w:val="21"/>
                      <w:szCs w:val="21"/>
                    </w:rPr>
                    <w:t>本项目位于库尔勒上库高新区石油石化产业园内，不涉及自然保护区、风景名胜区、水源保护区等生态敏感区，不在生态保护红线范围内</w:t>
                  </w: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11705C">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593A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7E919E">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环境质量底线</w:t>
                  </w:r>
                </w:p>
              </w:tc>
              <w:tc>
                <w:tcPr>
                  <w:tcW w:w="17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0EBE17">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eastAsia="宋体" w:cs="Times New Roman"/>
                      <w:sz w:val="21"/>
                      <w:szCs w:val="21"/>
                      <w:lang w:eastAsia="zh-CN"/>
                    </w:rPr>
                  </w:pPr>
                  <w:r>
                    <w:rPr>
                      <w:rFonts w:hint="default" w:ascii="Times New Roman" w:hAnsi="Times New Roman" w:cs="Times New Roman"/>
                      <w:sz w:val="21"/>
                      <w:szCs w:val="21"/>
                    </w:rPr>
                    <w:t>全区水环境质量持续改善，饮用水安全保障水平持续提升；环境空气质量有所提升，重污染天数持续减少；土壤环境质量保持稳定</w:t>
                  </w:r>
                </w:p>
              </w:tc>
              <w:tc>
                <w:tcPr>
                  <w:tcW w:w="1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5D2DD0">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本项目为污水处理厂项目，本身为污染物减排工程，运营期尾水全部回用不外排，废气经除臭处理后达标排放，固废妥善处置，不会突破区域环境质量底线</w:t>
                  </w: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C29819">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117F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72FA89">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资源利用上线</w:t>
                  </w:r>
                </w:p>
              </w:tc>
              <w:tc>
                <w:tcPr>
                  <w:tcW w:w="17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77B01">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强化节约集约利用，持续提升资源能源利用效率，水资源、土地资源、能源消耗等达到国家、自治区下达的总量和强度控制目标</w:t>
                  </w:r>
                </w:p>
              </w:tc>
              <w:tc>
                <w:tcPr>
                  <w:tcW w:w="1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FF077">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本项目为污水再生利用项目，尾水全部回用于园区绿化和企业工业用水，实现污水资源化利用，有效提高水资源利用效率</w:t>
                  </w: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E7AA6">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040F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pct"/>
                  <w:vMerge w:val="restart"/>
                  <w:tcBorders>
                    <w:top w:val="single" w:color="000000" w:sz="4" w:space="0"/>
                    <w:left w:val="single" w:color="000000" w:sz="4" w:space="0"/>
                    <w:bottom w:val="single" w:color="000000" w:sz="4" w:space="0"/>
                    <w:right w:val="single" w:color="000000" w:sz="4" w:space="0"/>
                  </w:tcBorders>
                  <w:vAlign w:val="center"/>
                </w:tcPr>
                <w:p w14:paraId="6069809A">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A1空间布局约束</w:t>
                  </w:r>
                </w:p>
              </w:tc>
              <w:tc>
                <w:tcPr>
                  <w:tcW w:w="1748" w:type="pct"/>
                  <w:tcBorders>
                    <w:top w:val="single" w:color="000000" w:sz="4" w:space="0"/>
                    <w:left w:val="single" w:color="000000" w:sz="4" w:space="0"/>
                    <w:bottom w:val="single" w:color="000000" w:sz="4" w:space="0"/>
                    <w:right w:val="single" w:color="000000" w:sz="4" w:space="0"/>
                  </w:tcBorders>
                  <w:vAlign w:val="center"/>
                </w:tcPr>
                <w:p w14:paraId="193CA299">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1.严格执行国家、自治区产业政策和环境准入要求，严禁</w:t>
                  </w:r>
                  <w:r>
                    <w:rPr>
                      <w:rFonts w:hint="eastAsia" w:ascii="Times New Roman" w:cs="Times New Roman"/>
                      <w:sz w:val="21"/>
                      <w:szCs w:val="21"/>
                      <w:lang w:eastAsia="zh-CN"/>
                    </w:rPr>
                    <w:t>“</w:t>
                  </w:r>
                  <w:r>
                    <w:rPr>
                      <w:rFonts w:hint="default" w:ascii="Times New Roman" w:hAnsi="Times New Roman" w:cs="Times New Roman"/>
                      <w:sz w:val="21"/>
                      <w:szCs w:val="21"/>
                    </w:rPr>
                    <w:t>三高</w:t>
                  </w:r>
                  <w:r>
                    <w:rPr>
                      <w:rFonts w:hint="eastAsia" w:ascii="Times New Roman" w:cs="Times New Roman"/>
                      <w:sz w:val="21"/>
                      <w:szCs w:val="21"/>
                      <w:lang w:eastAsia="zh-CN"/>
                    </w:rPr>
                    <w:t>“</w:t>
                  </w:r>
                  <w:r>
                    <w:rPr>
                      <w:rFonts w:hint="default" w:ascii="Times New Roman" w:hAnsi="Times New Roman" w:cs="Times New Roman"/>
                      <w:sz w:val="21"/>
                      <w:szCs w:val="21"/>
                    </w:rPr>
                    <w:t>项目进新疆，坚决遏制</w:t>
                  </w:r>
                  <w:r>
                    <w:rPr>
                      <w:rFonts w:hint="eastAsia" w:ascii="Times New Roman" w:cs="Times New Roman"/>
                      <w:sz w:val="21"/>
                      <w:szCs w:val="21"/>
                      <w:lang w:eastAsia="zh-CN"/>
                    </w:rPr>
                    <w:t>“</w:t>
                  </w:r>
                  <w:r>
                    <w:rPr>
                      <w:rFonts w:hint="default" w:ascii="Times New Roman" w:hAnsi="Times New Roman" w:cs="Times New Roman"/>
                      <w:sz w:val="21"/>
                      <w:szCs w:val="21"/>
                    </w:rPr>
                    <w:t>两高</w:t>
                  </w:r>
                  <w:r>
                    <w:rPr>
                      <w:rFonts w:hint="eastAsia" w:ascii="Times New Roman" w:cs="Times New Roman"/>
                      <w:sz w:val="21"/>
                      <w:szCs w:val="21"/>
                      <w:lang w:eastAsia="zh-CN"/>
                    </w:rPr>
                    <w:t>“</w:t>
                  </w:r>
                  <w:r>
                    <w:rPr>
                      <w:rFonts w:hint="default" w:ascii="Times New Roman" w:hAnsi="Times New Roman" w:cs="Times New Roman"/>
                      <w:sz w:val="21"/>
                      <w:szCs w:val="21"/>
                    </w:rPr>
                    <w:t>项目盲目发展</w:t>
                  </w:r>
                </w:p>
              </w:tc>
              <w:tc>
                <w:tcPr>
                  <w:tcW w:w="1782" w:type="pct"/>
                  <w:tcBorders>
                    <w:top w:val="single" w:color="000000" w:sz="4" w:space="0"/>
                    <w:left w:val="single" w:color="000000" w:sz="4" w:space="0"/>
                    <w:bottom w:val="single" w:color="000000" w:sz="4" w:space="0"/>
                    <w:right w:val="single" w:color="000000" w:sz="4" w:space="0"/>
                  </w:tcBorders>
                  <w:vAlign w:val="center"/>
                </w:tcPr>
                <w:p w14:paraId="11FDECE6">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本项目属于《产业结构调整指导目录（2024年本）》鼓励类项目，不属于</w:t>
                  </w:r>
                  <w:r>
                    <w:rPr>
                      <w:rFonts w:hint="eastAsia" w:ascii="Times New Roman" w:cs="Times New Roman"/>
                      <w:sz w:val="21"/>
                      <w:szCs w:val="21"/>
                      <w:lang w:eastAsia="zh-CN"/>
                    </w:rPr>
                    <w:t>“</w:t>
                  </w:r>
                  <w:r>
                    <w:rPr>
                      <w:rFonts w:hint="default" w:ascii="Times New Roman" w:hAnsi="Times New Roman" w:cs="Times New Roman"/>
                      <w:sz w:val="21"/>
                      <w:szCs w:val="21"/>
                    </w:rPr>
                    <w:t>三高</w:t>
                  </w:r>
                  <w:r>
                    <w:rPr>
                      <w:rFonts w:hint="eastAsia" w:ascii="Times New Roman" w:cs="Times New Roman"/>
                      <w:sz w:val="21"/>
                      <w:szCs w:val="21"/>
                      <w:lang w:eastAsia="zh-CN"/>
                    </w:rPr>
                    <w:t>“</w:t>
                  </w:r>
                  <w:r>
                    <w:rPr>
                      <w:rFonts w:hint="default" w:ascii="Times New Roman" w:hAnsi="Times New Roman" w:cs="Times New Roman"/>
                      <w:sz w:val="21"/>
                      <w:szCs w:val="21"/>
                    </w:rPr>
                    <w:t>或</w:t>
                  </w:r>
                  <w:r>
                    <w:rPr>
                      <w:rFonts w:hint="eastAsia" w:ascii="Times New Roman" w:cs="Times New Roman"/>
                      <w:sz w:val="21"/>
                      <w:szCs w:val="21"/>
                      <w:lang w:eastAsia="zh-CN"/>
                    </w:rPr>
                    <w:t>“</w:t>
                  </w:r>
                  <w:r>
                    <w:rPr>
                      <w:rFonts w:hint="default" w:ascii="Times New Roman" w:hAnsi="Times New Roman" w:cs="Times New Roman"/>
                      <w:sz w:val="21"/>
                      <w:szCs w:val="21"/>
                    </w:rPr>
                    <w:t>两高</w:t>
                  </w:r>
                  <w:r>
                    <w:rPr>
                      <w:rFonts w:hint="eastAsia" w:ascii="Times New Roman" w:cs="Times New Roman"/>
                      <w:sz w:val="21"/>
                      <w:szCs w:val="21"/>
                      <w:lang w:eastAsia="zh-CN"/>
                    </w:rPr>
                    <w:t>“</w:t>
                  </w:r>
                  <w:r>
                    <w:rPr>
                      <w:rFonts w:hint="default" w:ascii="Times New Roman" w:hAnsi="Times New Roman" w:cs="Times New Roman"/>
                      <w:sz w:val="21"/>
                      <w:szCs w:val="21"/>
                    </w:rPr>
                    <w:t>项目</w:t>
                  </w:r>
                </w:p>
              </w:tc>
              <w:tc>
                <w:tcPr>
                  <w:tcW w:w="590" w:type="pct"/>
                  <w:tcBorders>
                    <w:top w:val="single" w:color="000000" w:sz="4" w:space="0"/>
                    <w:left w:val="single" w:color="000000" w:sz="4" w:space="0"/>
                    <w:bottom w:val="single" w:color="000000" w:sz="4" w:space="0"/>
                    <w:right w:val="single" w:color="000000" w:sz="4" w:space="0"/>
                  </w:tcBorders>
                  <w:vAlign w:val="center"/>
                </w:tcPr>
                <w:p w14:paraId="68F70179">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0BB9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pct"/>
                  <w:vMerge w:val="continue"/>
                  <w:tcBorders>
                    <w:top w:val="single" w:color="000000" w:sz="4" w:space="0"/>
                    <w:left w:val="single" w:color="000000" w:sz="4" w:space="0"/>
                    <w:bottom w:val="single" w:color="000000" w:sz="4" w:space="0"/>
                    <w:right w:val="single" w:color="000000" w:sz="4" w:space="0"/>
                  </w:tcBorders>
                  <w:vAlign w:val="center"/>
                </w:tcPr>
                <w:p w14:paraId="178EF985">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p>
              </w:tc>
              <w:tc>
                <w:tcPr>
                  <w:tcW w:w="1748" w:type="pct"/>
                  <w:tcBorders>
                    <w:top w:val="single" w:color="000000" w:sz="4" w:space="0"/>
                    <w:left w:val="single" w:color="000000" w:sz="4" w:space="0"/>
                    <w:bottom w:val="single" w:color="000000" w:sz="4" w:space="0"/>
                    <w:right w:val="single" w:color="000000" w:sz="4" w:space="0"/>
                  </w:tcBorders>
                  <w:vAlign w:val="center"/>
                </w:tcPr>
                <w:p w14:paraId="7A3B6375">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2.不得在水源涵养区、饮用水水源保护区内和河流、湖泊、水库周围建设重化工、涉重金属等工业污染项目</w:t>
                  </w:r>
                </w:p>
              </w:tc>
              <w:tc>
                <w:tcPr>
                  <w:tcW w:w="1782" w:type="pct"/>
                  <w:tcBorders>
                    <w:top w:val="single" w:color="000000" w:sz="4" w:space="0"/>
                    <w:left w:val="single" w:color="000000" w:sz="4" w:space="0"/>
                    <w:bottom w:val="single" w:color="000000" w:sz="4" w:space="0"/>
                    <w:right w:val="single" w:color="000000" w:sz="4" w:space="0"/>
                  </w:tcBorders>
                  <w:vAlign w:val="center"/>
                </w:tcPr>
                <w:p w14:paraId="5A8B755C">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本项目选址位于石油石化产业园现有厂区内，不涉及水源涵养区、饮用水水源保护区等敏感区域</w:t>
                  </w:r>
                </w:p>
              </w:tc>
              <w:tc>
                <w:tcPr>
                  <w:tcW w:w="590" w:type="pct"/>
                  <w:tcBorders>
                    <w:top w:val="single" w:color="000000" w:sz="4" w:space="0"/>
                    <w:left w:val="single" w:color="000000" w:sz="4" w:space="0"/>
                    <w:bottom w:val="single" w:color="000000" w:sz="4" w:space="0"/>
                    <w:right w:val="single" w:color="000000" w:sz="4" w:space="0"/>
                  </w:tcBorders>
                  <w:vAlign w:val="center"/>
                </w:tcPr>
                <w:p w14:paraId="17385677">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21154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pct"/>
                  <w:vMerge w:val="continue"/>
                  <w:tcBorders>
                    <w:top w:val="single" w:color="000000" w:sz="4" w:space="0"/>
                    <w:left w:val="single" w:color="000000" w:sz="4" w:space="0"/>
                    <w:bottom w:val="single" w:color="000000" w:sz="4" w:space="0"/>
                    <w:right w:val="single" w:color="000000" w:sz="4" w:space="0"/>
                  </w:tcBorders>
                  <w:vAlign w:val="center"/>
                </w:tcPr>
                <w:p w14:paraId="1900DB74">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p>
              </w:tc>
              <w:tc>
                <w:tcPr>
                  <w:tcW w:w="1748" w:type="pct"/>
                  <w:tcBorders>
                    <w:top w:val="single" w:color="000000" w:sz="4" w:space="0"/>
                    <w:left w:val="single" w:color="000000" w:sz="4" w:space="0"/>
                    <w:bottom w:val="single" w:color="000000" w:sz="4" w:space="0"/>
                    <w:right w:val="single" w:color="000000" w:sz="4" w:space="0"/>
                  </w:tcBorders>
                  <w:vAlign w:val="center"/>
                </w:tcPr>
                <w:p w14:paraId="015EB73F">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3.</w:t>
                  </w:r>
                  <w:r>
                    <w:rPr>
                      <w:rFonts w:hint="default" w:ascii="Times New Roman" w:hAnsi="Times New Roman" w:cs="Times New Roman"/>
                      <w:spacing w:val="-6"/>
                      <w:sz w:val="21"/>
                      <w:szCs w:val="21"/>
                    </w:rPr>
                    <w:t>新建、改建、扩建工业项目原则上应布置于由县级及以上人民政府批准建立、环境保护基础设施完善的产业园区、工业聚集区或规划矿区，并且符合相关规划和规划环评要求</w:t>
                  </w:r>
                </w:p>
              </w:tc>
              <w:tc>
                <w:tcPr>
                  <w:tcW w:w="1782" w:type="pct"/>
                  <w:tcBorders>
                    <w:top w:val="single" w:color="000000" w:sz="4" w:space="0"/>
                    <w:left w:val="single" w:color="000000" w:sz="4" w:space="0"/>
                    <w:bottom w:val="single" w:color="000000" w:sz="4" w:space="0"/>
                    <w:right w:val="single" w:color="000000" w:sz="4" w:space="0"/>
                  </w:tcBorders>
                  <w:vAlign w:val="center"/>
                </w:tcPr>
                <w:p w14:paraId="3F665D23">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本项目位于库尔勒上库高新区石油石化产业园（自治区人民政府批准设立的园区），符合园区规划及规划环评要求</w:t>
                  </w:r>
                </w:p>
              </w:tc>
              <w:tc>
                <w:tcPr>
                  <w:tcW w:w="590" w:type="pct"/>
                  <w:tcBorders>
                    <w:top w:val="single" w:color="000000" w:sz="4" w:space="0"/>
                    <w:left w:val="single" w:color="000000" w:sz="4" w:space="0"/>
                    <w:bottom w:val="single" w:color="000000" w:sz="4" w:space="0"/>
                    <w:right w:val="single" w:color="000000" w:sz="4" w:space="0"/>
                  </w:tcBorders>
                  <w:vAlign w:val="center"/>
                </w:tcPr>
                <w:p w14:paraId="353754C1">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0B2C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pct"/>
                  <w:vMerge w:val="continue"/>
                  <w:tcBorders>
                    <w:top w:val="single" w:color="000000" w:sz="4" w:space="0"/>
                    <w:left w:val="single" w:color="000000" w:sz="4" w:space="0"/>
                    <w:bottom w:val="single" w:color="000000" w:sz="4" w:space="0"/>
                    <w:right w:val="single" w:color="000000" w:sz="4" w:space="0"/>
                  </w:tcBorders>
                  <w:vAlign w:val="center"/>
                </w:tcPr>
                <w:p w14:paraId="59161DA8">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p>
              </w:tc>
              <w:tc>
                <w:tcPr>
                  <w:tcW w:w="1748" w:type="pct"/>
                  <w:tcBorders>
                    <w:top w:val="single" w:color="000000" w:sz="4" w:space="0"/>
                    <w:left w:val="single" w:color="000000" w:sz="4" w:space="0"/>
                    <w:bottom w:val="single" w:color="000000" w:sz="4" w:space="0"/>
                    <w:right w:val="single" w:color="000000" w:sz="4" w:space="0"/>
                  </w:tcBorders>
                  <w:vAlign w:val="center"/>
                </w:tcPr>
                <w:p w14:paraId="46AFED64">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4.</w:t>
                  </w:r>
                  <w:r>
                    <w:rPr>
                      <w:rFonts w:hint="default" w:ascii="Times New Roman" w:hAnsi="Times New Roman" w:cs="Times New Roman"/>
                      <w:spacing w:val="-6"/>
                      <w:sz w:val="21"/>
                      <w:szCs w:val="21"/>
                    </w:rPr>
                    <w:t>符合国家环保和节能减排要求，严禁国家明文规定的限制类、淘汰类项目进入园区；不得采用国家、自治区淘汰或禁止使用的生产工艺、技术和设备</w:t>
                  </w:r>
                </w:p>
              </w:tc>
              <w:tc>
                <w:tcPr>
                  <w:tcW w:w="1782" w:type="pct"/>
                  <w:tcBorders>
                    <w:top w:val="single" w:color="000000" w:sz="4" w:space="0"/>
                    <w:left w:val="single" w:color="000000" w:sz="4" w:space="0"/>
                    <w:bottom w:val="single" w:color="000000" w:sz="4" w:space="0"/>
                    <w:right w:val="single" w:color="000000" w:sz="4" w:space="0"/>
                  </w:tcBorders>
                  <w:vAlign w:val="center"/>
                </w:tcPr>
                <w:p w14:paraId="6BBED3B9">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本项目采用工艺和设备均不属于淘汰或禁止使用类，符合国家环保和节能减排要求</w:t>
                  </w:r>
                </w:p>
              </w:tc>
              <w:tc>
                <w:tcPr>
                  <w:tcW w:w="590" w:type="pct"/>
                  <w:tcBorders>
                    <w:top w:val="single" w:color="000000" w:sz="4" w:space="0"/>
                    <w:left w:val="single" w:color="000000" w:sz="4" w:space="0"/>
                    <w:bottom w:val="single" w:color="000000" w:sz="4" w:space="0"/>
                    <w:right w:val="single" w:color="000000" w:sz="4" w:space="0"/>
                  </w:tcBorders>
                  <w:vAlign w:val="center"/>
                </w:tcPr>
                <w:p w14:paraId="01AF8826">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6B2C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pct"/>
                  <w:vMerge w:val="restart"/>
                  <w:tcBorders>
                    <w:top w:val="single" w:color="000000" w:sz="4" w:space="0"/>
                    <w:left w:val="single" w:color="000000" w:sz="4" w:space="0"/>
                    <w:right w:val="single" w:color="000000" w:sz="4" w:space="0"/>
                  </w:tcBorders>
                  <w:vAlign w:val="center"/>
                </w:tcPr>
                <w:p w14:paraId="5743B26F">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A2污染物排放管控</w:t>
                  </w:r>
                </w:p>
              </w:tc>
              <w:tc>
                <w:tcPr>
                  <w:tcW w:w="1748" w:type="pct"/>
                  <w:tcBorders>
                    <w:top w:val="single" w:color="000000" w:sz="4" w:space="0"/>
                    <w:left w:val="single" w:color="000000" w:sz="4" w:space="0"/>
                    <w:bottom w:val="single" w:color="000000" w:sz="4" w:space="0"/>
                    <w:right w:val="single" w:color="000000" w:sz="4" w:space="0"/>
                  </w:tcBorders>
                  <w:vAlign w:val="center"/>
                </w:tcPr>
                <w:p w14:paraId="48B20F27">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1.执行自治区七大片区天山南坡管控要求和巴州总体管控要求中关于水、大气环境重点管控区的污染物排放管控要求</w:t>
                  </w:r>
                </w:p>
              </w:tc>
              <w:tc>
                <w:tcPr>
                  <w:tcW w:w="1782" w:type="pct"/>
                  <w:tcBorders>
                    <w:top w:val="single" w:color="000000" w:sz="4" w:space="0"/>
                    <w:left w:val="single" w:color="000000" w:sz="4" w:space="0"/>
                    <w:bottom w:val="single" w:color="000000" w:sz="4" w:space="0"/>
                    <w:right w:val="single" w:color="000000" w:sz="4" w:space="0"/>
                  </w:tcBorders>
                  <w:vAlign w:val="center"/>
                </w:tcPr>
                <w:p w14:paraId="32F3FAEC">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本项目运营期废气经除臭处理后达标排放，尾水全部回用不外排，固废妥善处置，污染物排放满足相关管控要求</w:t>
                  </w:r>
                </w:p>
              </w:tc>
              <w:tc>
                <w:tcPr>
                  <w:tcW w:w="590" w:type="pct"/>
                  <w:tcBorders>
                    <w:top w:val="single" w:color="000000" w:sz="4" w:space="0"/>
                    <w:left w:val="single" w:color="000000" w:sz="4" w:space="0"/>
                    <w:bottom w:val="single" w:color="000000" w:sz="4" w:space="0"/>
                    <w:right w:val="single" w:color="000000" w:sz="4" w:space="0"/>
                  </w:tcBorders>
                  <w:vAlign w:val="center"/>
                </w:tcPr>
                <w:p w14:paraId="36745A25">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0382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pct"/>
                  <w:vMerge w:val="continue"/>
                  <w:tcBorders>
                    <w:left w:val="single" w:color="000000" w:sz="4" w:space="0"/>
                    <w:right w:val="single" w:color="000000" w:sz="4" w:space="0"/>
                  </w:tcBorders>
                  <w:vAlign w:val="center"/>
                </w:tcPr>
                <w:p w14:paraId="19F3C7E3">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p>
              </w:tc>
              <w:tc>
                <w:tcPr>
                  <w:tcW w:w="1748" w:type="pct"/>
                  <w:tcBorders>
                    <w:top w:val="single" w:color="000000" w:sz="4" w:space="0"/>
                    <w:left w:val="single" w:color="000000" w:sz="4" w:space="0"/>
                    <w:bottom w:val="single" w:color="000000" w:sz="4" w:space="0"/>
                    <w:right w:val="single" w:color="000000" w:sz="4" w:space="0"/>
                  </w:tcBorders>
                  <w:vAlign w:val="center"/>
                </w:tcPr>
                <w:p w14:paraId="45AAC6D8">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2.深化行业污染源头治理，强化煤化工、石化、有机化工、表面涂装、包装印刷等重点行业挥发性有机物控制</w:t>
                  </w:r>
                </w:p>
              </w:tc>
              <w:tc>
                <w:tcPr>
                  <w:tcW w:w="1782" w:type="pct"/>
                  <w:tcBorders>
                    <w:top w:val="single" w:color="000000" w:sz="4" w:space="0"/>
                    <w:left w:val="single" w:color="000000" w:sz="4" w:space="0"/>
                    <w:bottom w:val="single" w:color="000000" w:sz="4" w:space="0"/>
                    <w:right w:val="single" w:color="000000" w:sz="4" w:space="0"/>
                  </w:tcBorders>
                  <w:vAlign w:val="center"/>
                </w:tcPr>
                <w:p w14:paraId="79615653">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本项目主要大气污染物为恶臭气体（NH</w:t>
                  </w:r>
                  <w:r>
                    <w:rPr>
                      <w:rFonts w:hint="default" w:ascii="Times New Roman" w:hAnsi="Times New Roman" w:cs="Times New Roman"/>
                      <w:sz w:val="21"/>
                      <w:szCs w:val="21"/>
                      <w:vertAlign w:val="subscript"/>
                    </w:rPr>
                    <w:t>3</w:t>
                  </w:r>
                  <w:r>
                    <w:rPr>
                      <w:rFonts w:hint="default" w:ascii="Times New Roman" w:hAnsi="Times New Roman" w:cs="Times New Roman"/>
                      <w:sz w:val="21"/>
                      <w:szCs w:val="21"/>
                    </w:rPr>
                    <w:t>、H</w:t>
                  </w:r>
                  <w:r>
                    <w:rPr>
                      <w:rFonts w:hint="default" w:ascii="Times New Roman" w:hAnsi="Times New Roman" w:cs="Times New Roman"/>
                      <w:sz w:val="21"/>
                      <w:szCs w:val="21"/>
                      <w:vertAlign w:val="subscript"/>
                    </w:rPr>
                    <w:t>2</w:t>
                  </w:r>
                  <w:r>
                    <w:rPr>
                      <w:rFonts w:hint="default" w:ascii="Times New Roman" w:hAnsi="Times New Roman" w:cs="Times New Roman"/>
                      <w:sz w:val="21"/>
                      <w:szCs w:val="21"/>
                    </w:rPr>
                    <w:t>S），不涉及VOCs的工业源排放</w:t>
                  </w:r>
                </w:p>
              </w:tc>
              <w:tc>
                <w:tcPr>
                  <w:tcW w:w="590" w:type="pct"/>
                  <w:tcBorders>
                    <w:top w:val="single" w:color="000000" w:sz="4" w:space="0"/>
                    <w:left w:val="single" w:color="000000" w:sz="4" w:space="0"/>
                    <w:bottom w:val="single" w:color="000000" w:sz="4" w:space="0"/>
                    <w:right w:val="single" w:color="000000" w:sz="4" w:space="0"/>
                  </w:tcBorders>
                  <w:vAlign w:val="center"/>
                </w:tcPr>
                <w:p w14:paraId="77048B3F">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6EBA3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pct"/>
                  <w:vMerge w:val="continue"/>
                  <w:tcBorders>
                    <w:left w:val="single" w:color="000000" w:sz="4" w:space="0"/>
                    <w:bottom w:val="single" w:color="000000" w:sz="4" w:space="0"/>
                    <w:right w:val="single" w:color="000000" w:sz="4" w:space="0"/>
                  </w:tcBorders>
                  <w:vAlign w:val="center"/>
                </w:tcPr>
                <w:p w14:paraId="7EAAF3A5">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p>
              </w:tc>
              <w:tc>
                <w:tcPr>
                  <w:tcW w:w="1748" w:type="pct"/>
                  <w:tcBorders>
                    <w:top w:val="single" w:color="000000" w:sz="4" w:space="0"/>
                    <w:left w:val="single" w:color="000000" w:sz="4" w:space="0"/>
                    <w:bottom w:val="single" w:color="000000" w:sz="4" w:space="0"/>
                    <w:right w:val="single" w:color="000000" w:sz="4" w:space="0"/>
                  </w:tcBorders>
                  <w:vAlign w:val="center"/>
                </w:tcPr>
                <w:p w14:paraId="7F1F9F15">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3.建设项目中的防治措施必须与主体工程同时设计、同时施工、同时投产使用</w:t>
                  </w:r>
                </w:p>
              </w:tc>
              <w:tc>
                <w:tcPr>
                  <w:tcW w:w="1782" w:type="pct"/>
                  <w:tcBorders>
                    <w:top w:val="single" w:color="000000" w:sz="4" w:space="0"/>
                    <w:left w:val="single" w:color="000000" w:sz="4" w:space="0"/>
                    <w:bottom w:val="single" w:color="000000" w:sz="4" w:space="0"/>
                    <w:right w:val="single" w:color="000000" w:sz="4" w:space="0"/>
                  </w:tcBorders>
                  <w:vAlign w:val="center"/>
                </w:tcPr>
                <w:p w14:paraId="0F5FADCD">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本项目废气治理设施（离子除臭、生物除臭）等环保设施与主体工程同步设计、同步施工、同步投产使用</w:t>
                  </w:r>
                </w:p>
              </w:tc>
              <w:tc>
                <w:tcPr>
                  <w:tcW w:w="590" w:type="pct"/>
                  <w:tcBorders>
                    <w:top w:val="single" w:color="000000" w:sz="4" w:space="0"/>
                    <w:left w:val="single" w:color="000000" w:sz="4" w:space="0"/>
                    <w:bottom w:val="single" w:color="000000" w:sz="4" w:space="0"/>
                    <w:right w:val="single" w:color="000000" w:sz="4" w:space="0"/>
                  </w:tcBorders>
                  <w:vAlign w:val="center"/>
                </w:tcPr>
                <w:p w14:paraId="2AE1DEE3">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38B45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pct"/>
                  <w:tcBorders>
                    <w:top w:val="single" w:color="000000" w:sz="4" w:space="0"/>
                    <w:left w:val="single" w:color="000000" w:sz="4" w:space="0"/>
                    <w:bottom w:val="single" w:color="000000" w:sz="4" w:space="0"/>
                    <w:right w:val="single" w:color="000000" w:sz="4" w:space="0"/>
                  </w:tcBorders>
                  <w:vAlign w:val="center"/>
                </w:tcPr>
                <w:p w14:paraId="47D6DD5C">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A3环境风险防控</w:t>
                  </w:r>
                </w:p>
              </w:tc>
              <w:tc>
                <w:tcPr>
                  <w:tcW w:w="1748" w:type="pct"/>
                  <w:tcBorders>
                    <w:top w:val="single" w:color="000000" w:sz="4" w:space="0"/>
                    <w:left w:val="single" w:color="000000" w:sz="4" w:space="0"/>
                    <w:bottom w:val="single" w:color="000000" w:sz="4" w:space="0"/>
                    <w:right w:val="single" w:color="000000" w:sz="4" w:space="0"/>
                  </w:tcBorders>
                  <w:vAlign w:val="center"/>
                </w:tcPr>
                <w:p w14:paraId="249A5844">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强化环境风险防控，落实环境风险防范措施，建立健全环境风险防控体系</w:t>
                  </w:r>
                </w:p>
              </w:tc>
              <w:tc>
                <w:tcPr>
                  <w:tcW w:w="1782" w:type="pct"/>
                  <w:tcBorders>
                    <w:top w:val="single" w:color="000000" w:sz="4" w:space="0"/>
                    <w:left w:val="single" w:color="000000" w:sz="4" w:space="0"/>
                    <w:bottom w:val="single" w:color="000000" w:sz="4" w:space="0"/>
                    <w:right w:val="single" w:color="000000" w:sz="4" w:space="0"/>
                  </w:tcBorders>
                  <w:vAlign w:val="center"/>
                </w:tcPr>
                <w:p w14:paraId="7DF8D5C8">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本项目将严格落实环境风险管控要求，编制并备案突发环境事件应急预案，配备环境应急物资，定期组织应急演练</w:t>
                  </w:r>
                </w:p>
              </w:tc>
              <w:tc>
                <w:tcPr>
                  <w:tcW w:w="590" w:type="pct"/>
                  <w:tcBorders>
                    <w:top w:val="single" w:color="000000" w:sz="4" w:space="0"/>
                    <w:left w:val="single" w:color="000000" w:sz="4" w:space="0"/>
                    <w:bottom w:val="single" w:color="000000" w:sz="4" w:space="0"/>
                    <w:right w:val="single" w:color="000000" w:sz="4" w:space="0"/>
                  </w:tcBorders>
                  <w:vAlign w:val="center"/>
                </w:tcPr>
                <w:p w14:paraId="0AEE3892">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1D6F0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pct"/>
                  <w:tcBorders>
                    <w:top w:val="single" w:color="000000" w:sz="4" w:space="0"/>
                    <w:left w:val="single" w:color="000000" w:sz="4" w:space="0"/>
                    <w:bottom w:val="single" w:color="000000" w:sz="4" w:space="0"/>
                    <w:right w:val="single" w:color="000000" w:sz="4" w:space="0"/>
                  </w:tcBorders>
                  <w:vAlign w:val="center"/>
                </w:tcPr>
                <w:p w14:paraId="33B6C3D4">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A4资源利用效率</w:t>
                  </w:r>
                </w:p>
              </w:tc>
              <w:tc>
                <w:tcPr>
                  <w:tcW w:w="1748" w:type="pct"/>
                  <w:tcBorders>
                    <w:top w:val="single" w:color="000000" w:sz="4" w:space="0"/>
                    <w:left w:val="single" w:color="000000" w:sz="4" w:space="0"/>
                    <w:bottom w:val="single" w:color="000000" w:sz="4" w:space="0"/>
                    <w:right w:val="single" w:color="000000" w:sz="4" w:space="0"/>
                  </w:tcBorders>
                  <w:vAlign w:val="center"/>
                </w:tcPr>
                <w:p w14:paraId="6CA4B371">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不断提升资源利用效率，推进低碳发展</w:t>
                  </w:r>
                </w:p>
              </w:tc>
              <w:tc>
                <w:tcPr>
                  <w:tcW w:w="1782" w:type="pct"/>
                  <w:tcBorders>
                    <w:top w:val="single" w:color="000000" w:sz="4" w:space="0"/>
                    <w:left w:val="single" w:color="000000" w:sz="4" w:space="0"/>
                    <w:bottom w:val="single" w:color="000000" w:sz="4" w:space="0"/>
                    <w:right w:val="single" w:color="000000" w:sz="4" w:space="0"/>
                  </w:tcBorders>
                  <w:vAlign w:val="center"/>
                </w:tcPr>
                <w:p w14:paraId="5253E0AD">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本项目为污水处理及再生利用项目，尾水全部回用，实现污水资源化利用；冬季采用电采暖，不设燃煤锅炉</w:t>
                  </w:r>
                </w:p>
              </w:tc>
              <w:tc>
                <w:tcPr>
                  <w:tcW w:w="590" w:type="pct"/>
                  <w:tcBorders>
                    <w:top w:val="single" w:color="000000" w:sz="4" w:space="0"/>
                    <w:left w:val="single" w:color="000000" w:sz="4" w:space="0"/>
                    <w:bottom w:val="single" w:color="000000" w:sz="4" w:space="0"/>
                    <w:right w:val="single" w:color="000000" w:sz="4" w:space="0"/>
                  </w:tcBorders>
                  <w:vAlign w:val="center"/>
                </w:tcPr>
                <w:p w14:paraId="5259FCDA">
                  <w:pPr>
                    <w:pStyle w:val="25"/>
                    <w:keepNext w:val="0"/>
                    <w:keepLines w:val="0"/>
                    <w:pageBreakBefore w:val="0"/>
                    <w:widowControl w:val="0"/>
                    <w:kinsoku/>
                    <w:wordWrap/>
                    <w:overflowPunct/>
                    <w:topLinePunct w:val="0"/>
                    <w:autoSpaceDE/>
                    <w:autoSpaceDN/>
                    <w:bidi w:val="0"/>
                    <w:adjustRightInd w:val="0"/>
                    <w:snapToGrid w:val="0"/>
                    <w:spacing w:line="2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符合</w:t>
                  </w:r>
                </w:p>
              </w:tc>
            </w:tr>
          </w:tbl>
          <w:p w14:paraId="58B2AF71">
            <w:pPr>
              <w:pStyle w:val="4"/>
              <w:keepNext w:val="0"/>
              <w:keepLines w:val="0"/>
              <w:pageBreakBefore w:val="0"/>
              <w:widowControl w:val="0"/>
              <w:numPr>
                <w:ilvl w:val="1"/>
                <w:numId w:val="0"/>
              </w:numPr>
              <w:kinsoku/>
              <w:wordWrap/>
              <w:overflowPunct/>
              <w:topLinePunct w:val="0"/>
              <w:autoSpaceDE/>
              <w:autoSpaceDN/>
              <w:bidi w:val="0"/>
              <w:adjustRightInd/>
              <w:snapToGrid/>
              <w:spacing w:before="157" w:beforeLines="50"/>
              <w:ind w:left="0" w:leftChars="0" w:firstLine="0" w:firstLineChars="0"/>
              <w:textAlignment w:val="auto"/>
              <w:rPr>
                <w:rFonts w:hint="eastAsia" w:ascii="Times New Roman" w:hAnsi="Times New Roman" w:eastAsia="宋体" w:cs="Times New Roman"/>
                <w:b/>
                <w:bCs/>
                <w:color w:val="auto"/>
                <w:kern w:val="2"/>
                <w:sz w:val="24"/>
                <w:szCs w:val="24"/>
                <w:lang w:val="en-US" w:eastAsia="zh-CN" w:bidi="ar-SA"/>
              </w:rPr>
            </w:pPr>
            <w:r>
              <w:rPr>
                <w:rFonts w:hint="eastAsia" w:ascii="Times New Roman" w:hAnsi="Times New Roman" w:cs="Times New Roman"/>
                <w:b/>
                <w:bCs/>
                <w:color w:val="auto"/>
                <w:kern w:val="2"/>
                <w:sz w:val="24"/>
                <w:szCs w:val="24"/>
                <w:lang w:val="en-US" w:eastAsia="zh-CN" w:bidi="ar-SA"/>
              </w:rPr>
              <w:t>1.6.4</w:t>
            </w:r>
            <w:r>
              <w:rPr>
                <w:rFonts w:hint="eastAsia" w:ascii="Times New Roman" w:hAnsi="Times New Roman" w:eastAsia="宋体" w:cs="Times New Roman"/>
                <w:b/>
                <w:bCs/>
                <w:color w:val="auto"/>
                <w:kern w:val="2"/>
                <w:sz w:val="24"/>
                <w:szCs w:val="24"/>
                <w:lang w:val="en-US" w:eastAsia="zh-CN" w:bidi="ar-SA"/>
              </w:rPr>
              <w:t>与《巴音郭楞蒙古自治州生态环境准入清单》（2023版）符合性分析</w:t>
            </w:r>
          </w:p>
          <w:p w14:paraId="7F03A474">
            <w:pPr>
              <w:pStyle w:val="7"/>
              <w:bidi w:val="0"/>
              <w:rPr>
                <w:rFonts w:hint="default" w:ascii="Times New Roman"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根据巴音郭楞蒙古自治州</w:t>
            </w:r>
            <w:r>
              <w:rPr>
                <w:rFonts w:hint="eastAsia" w:ascii="Times New Roman" w:cs="Times New Roman"/>
                <w:color w:val="auto"/>
                <w:kern w:val="0"/>
                <w:sz w:val="24"/>
                <w:szCs w:val="24"/>
                <w:highlight w:val="none"/>
                <w:lang w:val="en-US" w:eastAsia="zh-CN" w:bidi="ar-SA"/>
              </w:rPr>
              <w:t>“</w:t>
            </w:r>
            <w:r>
              <w:rPr>
                <w:rFonts w:hint="eastAsia" w:ascii="Times New Roman" w:hAnsi="Times New Roman" w:eastAsia="宋体" w:cs="Times New Roman"/>
                <w:color w:val="auto"/>
                <w:kern w:val="0"/>
                <w:sz w:val="24"/>
                <w:szCs w:val="24"/>
                <w:highlight w:val="none"/>
                <w:lang w:val="en-US" w:eastAsia="zh-CN" w:bidi="ar-SA"/>
              </w:rPr>
              <w:t>三线一单</w:t>
            </w:r>
            <w:r>
              <w:rPr>
                <w:rFonts w:hint="eastAsia" w:ascii="Times New Roman" w:cs="Times New Roman"/>
                <w:color w:val="auto"/>
                <w:kern w:val="0"/>
                <w:sz w:val="24"/>
                <w:szCs w:val="24"/>
                <w:highlight w:val="none"/>
                <w:lang w:val="en-US" w:eastAsia="zh-CN" w:bidi="ar-SA"/>
              </w:rPr>
              <w:t>”</w:t>
            </w:r>
            <w:r>
              <w:rPr>
                <w:rFonts w:hint="eastAsia" w:ascii="Times New Roman" w:hAnsi="Times New Roman" w:eastAsia="宋体" w:cs="Times New Roman"/>
                <w:color w:val="auto"/>
                <w:kern w:val="0"/>
                <w:sz w:val="24"/>
                <w:szCs w:val="24"/>
                <w:highlight w:val="none"/>
                <w:lang w:val="en-US" w:eastAsia="zh-CN" w:bidi="ar-SA"/>
              </w:rPr>
              <w:t>生态环境分区管控要求（《关于印发巴音郭楞蒙古自治州</w:t>
            </w:r>
            <w:r>
              <w:rPr>
                <w:rFonts w:hint="eastAsia" w:ascii="Times New Roman" w:cs="Times New Roman"/>
                <w:color w:val="auto"/>
                <w:kern w:val="0"/>
                <w:sz w:val="24"/>
                <w:szCs w:val="24"/>
                <w:highlight w:val="none"/>
                <w:lang w:val="en-US" w:eastAsia="zh-CN" w:bidi="ar-SA"/>
              </w:rPr>
              <w:t>“</w:t>
            </w:r>
            <w:r>
              <w:rPr>
                <w:rFonts w:hint="eastAsia" w:ascii="Times New Roman" w:hAnsi="Times New Roman" w:eastAsia="宋体" w:cs="Times New Roman"/>
                <w:color w:val="auto"/>
                <w:kern w:val="0"/>
                <w:sz w:val="24"/>
                <w:szCs w:val="24"/>
                <w:highlight w:val="none"/>
                <w:lang w:val="en-US" w:eastAsia="zh-CN" w:bidi="ar-SA"/>
              </w:rPr>
              <w:t>三线一单</w:t>
            </w:r>
            <w:r>
              <w:rPr>
                <w:rFonts w:hint="eastAsia" w:ascii="Times New Roman" w:cs="Times New Roman"/>
                <w:color w:val="auto"/>
                <w:kern w:val="0"/>
                <w:sz w:val="24"/>
                <w:szCs w:val="24"/>
                <w:highlight w:val="none"/>
                <w:lang w:val="en-US" w:eastAsia="zh-CN" w:bidi="ar-SA"/>
              </w:rPr>
              <w:t>”</w:t>
            </w:r>
            <w:r>
              <w:rPr>
                <w:rFonts w:hint="eastAsia" w:ascii="Times New Roman" w:hAnsi="Times New Roman" w:eastAsia="宋体" w:cs="Times New Roman"/>
                <w:color w:val="auto"/>
                <w:kern w:val="0"/>
                <w:sz w:val="24"/>
                <w:szCs w:val="24"/>
                <w:highlight w:val="none"/>
                <w:lang w:val="en-US" w:eastAsia="zh-CN" w:bidi="ar-SA"/>
              </w:rPr>
              <w:t>生态环境分区管控动态更新成果（2023年）的通知》（巴政办发〔2024〕32号）），本项目选址于库尔勒上库高新技术产业开发区石油石化产业园，属于重点管控单元（环境管控单元编码：ZH65280120013）。项目与该区域空间布局约束、污染物排放管控、环境风险防控及资源利用效率要求的符合性分析见表1-</w:t>
            </w:r>
            <w:r>
              <w:rPr>
                <w:rFonts w:hint="eastAsia" w:ascii="Times New Roman" w:cs="Times New Roman"/>
                <w:color w:val="auto"/>
                <w:kern w:val="0"/>
                <w:sz w:val="24"/>
                <w:szCs w:val="24"/>
                <w:highlight w:val="none"/>
                <w:lang w:val="en-US" w:eastAsia="zh-CN" w:bidi="ar-SA"/>
              </w:rPr>
              <w:t>8：</w:t>
            </w:r>
          </w:p>
          <w:p w14:paraId="0512ED53">
            <w:pPr>
              <w:pStyle w:val="8"/>
              <w:jc w:val="center"/>
              <w:rPr>
                <w:rFonts w:hint="eastAsia"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kern w:val="2"/>
                <w:sz w:val="21"/>
                <w:szCs w:val="21"/>
                <w:lang w:val="en-US" w:eastAsia="zh-CN" w:bidi="ar-SA"/>
              </w:rPr>
              <w:t xml:space="preserve">表 </w:t>
            </w:r>
            <w:r>
              <w:rPr>
                <w:rFonts w:hint="default" w:ascii="Times New Roman" w:hAnsi="Times New Roman" w:eastAsia="宋体" w:cs="Times New Roman"/>
                <w:b/>
                <w:bCs/>
                <w:spacing w:val="-6"/>
                <w:kern w:val="2"/>
                <w:sz w:val="21"/>
                <w:szCs w:val="21"/>
                <w:lang w:val="en-US" w:eastAsia="zh-CN" w:bidi="ar-SA"/>
              </w:rPr>
              <w:fldChar w:fldCharType="begin"/>
            </w:r>
            <w:r>
              <w:rPr>
                <w:rFonts w:hint="default" w:ascii="Times New Roman" w:hAnsi="Times New Roman" w:eastAsia="宋体" w:cs="Times New Roman"/>
                <w:b/>
                <w:bCs/>
                <w:spacing w:val="-6"/>
                <w:kern w:val="2"/>
                <w:sz w:val="21"/>
                <w:szCs w:val="21"/>
                <w:lang w:val="en-US" w:eastAsia="zh-CN" w:bidi="ar-SA"/>
              </w:rPr>
              <w:instrText xml:space="preserve"> STYLEREF 1 \s \* ARABIC </w:instrText>
            </w:r>
            <w:r>
              <w:rPr>
                <w:rFonts w:hint="default" w:ascii="Times New Roman" w:hAnsi="Times New Roman" w:eastAsia="宋体" w:cs="Times New Roman"/>
                <w:b/>
                <w:bCs/>
                <w:spacing w:val="-6"/>
                <w:kern w:val="2"/>
                <w:sz w:val="21"/>
                <w:szCs w:val="21"/>
                <w:lang w:val="en-US" w:eastAsia="zh-CN" w:bidi="ar-SA"/>
              </w:rPr>
              <w:fldChar w:fldCharType="separate"/>
            </w:r>
            <w:r>
              <w:rPr>
                <w:rFonts w:hint="default" w:ascii="Times New Roman" w:hAnsi="Times New Roman" w:eastAsia="宋体" w:cs="Times New Roman"/>
                <w:b/>
                <w:bCs/>
                <w:spacing w:val="-6"/>
                <w:kern w:val="2"/>
                <w:sz w:val="21"/>
                <w:szCs w:val="21"/>
                <w:lang w:val="en-US" w:eastAsia="zh-CN" w:bidi="ar-SA"/>
              </w:rPr>
              <w:t>1</w:t>
            </w:r>
            <w:r>
              <w:rPr>
                <w:rFonts w:hint="default" w:ascii="Times New Roman" w:hAnsi="Times New Roman" w:eastAsia="宋体" w:cs="Times New Roman"/>
                <w:b/>
                <w:bCs/>
                <w:spacing w:val="-6"/>
                <w:kern w:val="2"/>
                <w:sz w:val="21"/>
                <w:szCs w:val="21"/>
                <w:lang w:val="en-US" w:eastAsia="zh-CN" w:bidi="ar-SA"/>
              </w:rPr>
              <w:fldChar w:fldCharType="end"/>
            </w:r>
            <w:r>
              <w:rPr>
                <w:rFonts w:hint="eastAsia" w:ascii="Times New Roman" w:hAnsi="Times New Roman" w:eastAsia="宋体" w:cs="Times New Roman"/>
                <w:b/>
                <w:bCs/>
                <w:spacing w:val="-6"/>
                <w:kern w:val="2"/>
                <w:sz w:val="21"/>
                <w:szCs w:val="21"/>
                <w:lang w:val="en-US" w:eastAsia="zh-CN" w:bidi="ar-SA"/>
              </w:rPr>
              <w:t>-8与《巴音郭楞蒙古自治州生态环境准入清单》（2023版）符合性分析</w:t>
            </w:r>
          </w:p>
          <w:tbl>
            <w:tblPr>
              <w:tblStyle w:val="16"/>
              <w:tblW w:w="77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
              <w:gridCol w:w="3445"/>
              <w:gridCol w:w="3005"/>
              <w:gridCol w:w="887"/>
            </w:tblGrid>
            <w:tr w14:paraId="5E50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0" w:type="dxa"/>
                  <w:gridSpan w:val="2"/>
                  <w:noWrap w:val="0"/>
                  <w:vAlign w:val="center"/>
                </w:tcPr>
                <w:p w14:paraId="5C3B47DB">
                  <w:pPr>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管控要求</w:t>
                  </w:r>
                </w:p>
              </w:tc>
              <w:tc>
                <w:tcPr>
                  <w:tcW w:w="3005" w:type="dxa"/>
                  <w:noWrap w:val="0"/>
                  <w:vAlign w:val="center"/>
                </w:tcPr>
                <w:p w14:paraId="485EDEE5">
                  <w:pPr>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本项目情况</w:t>
                  </w:r>
                </w:p>
              </w:tc>
              <w:tc>
                <w:tcPr>
                  <w:tcW w:w="887" w:type="dxa"/>
                  <w:noWrap w:val="0"/>
                  <w:vAlign w:val="center"/>
                </w:tcPr>
                <w:p w14:paraId="4C2BC2F6">
                  <w:pPr>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相符性</w:t>
                  </w:r>
                </w:p>
              </w:tc>
            </w:tr>
            <w:tr w14:paraId="3BEE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5" w:type="dxa"/>
                  <w:noWrap w:val="0"/>
                  <w:vAlign w:val="center"/>
                </w:tcPr>
                <w:p w14:paraId="7823B0B5">
                  <w:pPr>
                    <w:keepNext w:val="0"/>
                    <w:keepLines w:val="0"/>
                    <w:pageBreakBefore w:val="0"/>
                    <w:widowControl w:val="0"/>
                    <w:kinsoku/>
                    <w:wordWrap/>
                    <w:overflowPunct/>
                    <w:topLinePunct w:val="0"/>
                    <w:bidi w:val="0"/>
                    <w:spacing w:line="240" w:lineRule="auto"/>
                    <w:jc w:val="center"/>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b w:val="0"/>
                      <w:bCs/>
                      <w:color w:val="auto"/>
                      <w:sz w:val="21"/>
                      <w:szCs w:val="21"/>
                      <w:lang w:bidi="en-US"/>
                    </w:rPr>
                    <w:t>空间布局约束</w:t>
                  </w:r>
                </w:p>
              </w:tc>
              <w:tc>
                <w:tcPr>
                  <w:tcW w:w="3445" w:type="dxa"/>
                  <w:noWrap w:val="0"/>
                  <w:vAlign w:val="center"/>
                </w:tcPr>
                <w:p w14:paraId="64E431EF">
                  <w:pPr>
                    <w:keepNext w:val="0"/>
                    <w:keepLines w:val="0"/>
                    <w:pageBreakBefore w:val="0"/>
                    <w:widowControl w:val="0"/>
                    <w:numPr>
                      <w:ilvl w:val="0"/>
                      <w:numId w:val="0"/>
                    </w:numPr>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1.执行自治区七大片区天山南坡管控要求和巴州总体管控要求中关于水、大气环境重点管控区的空间布局约束准入要求。</w:t>
                  </w:r>
                </w:p>
                <w:p w14:paraId="51DD3C37">
                  <w:pPr>
                    <w:keepNext w:val="0"/>
                    <w:keepLines w:val="0"/>
                    <w:pageBreakBefore w:val="0"/>
                    <w:widowControl w:val="0"/>
                    <w:numPr>
                      <w:ilvl w:val="0"/>
                      <w:numId w:val="0"/>
                    </w:numPr>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2.加大落后产能淘汰力度。对不符合国家产业政策、污染严重且经治理仍无法达标的工业企业实施关停并转；积极推动战略性新兴产业在工业园区内发展。</w:t>
                  </w:r>
                </w:p>
              </w:tc>
              <w:tc>
                <w:tcPr>
                  <w:tcW w:w="3005" w:type="dxa"/>
                  <w:noWrap w:val="0"/>
                  <w:vAlign w:val="center"/>
                </w:tcPr>
                <w:p w14:paraId="0B34E72A">
                  <w:pPr>
                    <w:keepNext w:val="0"/>
                    <w:keepLines w:val="0"/>
                    <w:pageBreakBefore w:val="0"/>
                    <w:widowControl w:val="0"/>
                    <w:numPr>
                      <w:ilvl w:val="0"/>
                      <w:numId w:val="0"/>
                    </w:numPr>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1.本项目位于库尔勒上库高新技术产业开发区石油石化产业园，符合天山南坡片区及巴州总体管控要求。</w:t>
                  </w:r>
                </w:p>
                <w:p w14:paraId="35F05862">
                  <w:pPr>
                    <w:keepNext w:val="0"/>
                    <w:keepLines w:val="0"/>
                    <w:pageBreakBefore w:val="0"/>
                    <w:widowControl w:val="0"/>
                    <w:numPr>
                      <w:ilvl w:val="0"/>
                      <w:numId w:val="0"/>
                    </w:numPr>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2.本项目属于《产业结构调整指导目录（2024年本）》鼓励类项目，符合国家产业政策。</w:t>
                  </w:r>
                </w:p>
              </w:tc>
              <w:tc>
                <w:tcPr>
                  <w:tcW w:w="887" w:type="dxa"/>
                  <w:noWrap w:val="0"/>
                  <w:vAlign w:val="center"/>
                </w:tcPr>
                <w:p w14:paraId="41247068">
                  <w:pPr>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符合</w:t>
                  </w:r>
                </w:p>
              </w:tc>
            </w:tr>
            <w:tr w14:paraId="0203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noWrap w:val="0"/>
                  <w:vAlign w:val="center"/>
                </w:tcPr>
                <w:p w14:paraId="74B67FA5">
                  <w:pPr>
                    <w:keepNext w:val="0"/>
                    <w:keepLines w:val="0"/>
                    <w:pageBreakBefore w:val="0"/>
                    <w:widowControl w:val="0"/>
                    <w:kinsoku/>
                    <w:wordWrap/>
                    <w:overflowPunct/>
                    <w:topLinePunct w:val="0"/>
                    <w:bidi w:val="0"/>
                    <w:spacing w:line="240" w:lineRule="auto"/>
                    <w:jc w:val="center"/>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b w:val="0"/>
                      <w:bCs/>
                      <w:color w:val="auto"/>
                      <w:sz w:val="21"/>
                      <w:szCs w:val="21"/>
                      <w:lang w:bidi="en-US"/>
                    </w:rPr>
                    <w:t>污染物排放管控</w:t>
                  </w:r>
                </w:p>
              </w:tc>
              <w:tc>
                <w:tcPr>
                  <w:tcW w:w="3445" w:type="dxa"/>
                  <w:noWrap w:val="0"/>
                  <w:vAlign w:val="center"/>
                </w:tcPr>
                <w:p w14:paraId="1BA9DC1F">
                  <w:pPr>
                    <w:keepNext w:val="0"/>
                    <w:keepLines w:val="0"/>
                    <w:pageBreakBefore w:val="0"/>
                    <w:widowControl w:val="0"/>
                    <w:numPr>
                      <w:ilvl w:val="0"/>
                      <w:numId w:val="0"/>
                    </w:numPr>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1.执行自治区七大片区天山南坡管控要求和巴州总体管控要求中关于水、大气环境重点管控区的污染物排放管控要求。</w:t>
                  </w:r>
                </w:p>
                <w:p w14:paraId="2B208E42">
                  <w:pPr>
                    <w:keepNext w:val="0"/>
                    <w:keepLines w:val="0"/>
                    <w:pageBreakBefore w:val="0"/>
                    <w:widowControl w:val="0"/>
                    <w:numPr>
                      <w:ilvl w:val="0"/>
                      <w:numId w:val="0"/>
                    </w:numPr>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2.上库综合产业园区新建项目一律执行大气污染物排放限制标准。</w:t>
                  </w:r>
                </w:p>
                <w:p w14:paraId="66DACD98">
                  <w:pPr>
                    <w:keepNext w:val="0"/>
                    <w:keepLines w:val="0"/>
                    <w:pageBreakBefore w:val="0"/>
                    <w:widowControl w:val="0"/>
                    <w:numPr>
                      <w:ilvl w:val="0"/>
                      <w:numId w:val="0"/>
                    </w:numPr>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3.开发区地下水质量满足《地下水质量标准》（GB/T 14848-2017）Ⅲ类标准。</w:t>
                  </w:r>
                </w:p>
                <w:p w14:paraId="11708253">
                  <w:pPr>
                    <w:keepNext w:val="0"/>
                    <w:keepLines w:val="0"/>
                    <w:pageBreakBefore w:val="0"/>
                    <w:widowControl w:val="0"/>
                    <w:numPr>
                      <w:ilvl w:val="0"/>
                      <w:numId w:val="0"/>
                    </w:numPr>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4.开发区内土壤环境质量满足《土壤环境质量 建设用地土壤污染风险管控标准》（GB 36600-2018）标准中质量底线要求。</w:t>
                  </w:r>
                </w:p>
                <w:p w14:paraId="060D774A">
                  <w:pPr>
                    <w:keepNext w:val="0"/>
                    <w:keepLines w:val="0"/>
                    <w:pageBreakBefore w:val="0"/>
                    <w:widowControl w:val="0"/>
                    <w:numPr>
                      <w:ilvl w:val="0"/>
                      <w:numId w:val="0"/>
                    </w:numPr>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5.开发区内企业污水自行处理达到行业排放标准或《污水综合排放标准》三级标准后方可进入污水处理厂，并在企业排水口安装在线监测设备。</w:t>
                  </w:r>
                </w:p>
              </w:tc>
              <w:tc>
                <w:tcPr>
                  <w:tcW w:w="3005" w:type="dxa"/>
                  <w:noWrap w:val="0"/>
                  <w:vAlign w:val="center"/>
                </w:tcPr>
                <w:p w14:paraId="41720417">
                  <w:pPr>
                    <w:keepNext w:val="0"/>
                    <w:keepLines w:val="0"/>
                    <w:pageBreakBefore w:val="0"/>
                    <w:widowControl w:val="0"/>
                    <w:numPr>
                      <w:ilvl w:val="0"/>
                      <w:numId w:val="0"/>
                    </w:numPr>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1.本项目废气经除臭处理后达标排放，尾水全部回用不外排，固废妥善处置，污染物排放满足相关管控要求。</w:t>
                  </w:r>
                </w:p>
                <w:p w14:paraId="4B5F516E">
                  <w:pPr>
                    <w:keepNext w:val="0"/>
                    <w:keepLines w:val="0"/>
                    <w:pageBreakBefore w:val="0"/>
                    <w:widowControl w:val="0"/>
                    <w:numPr>
                      <w:ilvl w:val="0"/>
                      <w:numId w:val="0"/>
                    </w:numPr>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2.项目恶臭气体排放满足《恶臭污染物排放标准》（GB14554-93）要求。</w:t>
                  </w:r>
                </w:p>
                <w:p w14:paraId="49B81E14">
                  <w:pPr>
                    <w:keepNext w:val="0"/>
                    <w:keepLines w:val="0"/>
                    <w:pageBreakBefore w:val="0"/>
                    <w:widowControl w:val="0"/>
                    <w:numPr>
                      <w:ilvl w:val="0"/>
                      <w:numId w:val="0"/>
                    </w:numPr>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3.区域地下水满足Ⅲ类标准。</w:t>
                  </w:r>
                </w:p>
                <w:p w14:paraId="10C41408">
                  <w:pPr>
                    <w:keepNext w:val="0"/>
                    <w:keepLines w:val="0"/>
                    <w:pageBreakBefore w:val="0"/>
                    <w:widowControl w:val="0"/>
                    <w:numPr>
                      <w:ilvl w:val="0"/>
                      <w:numId w:val="0"/>
                    </w:numPr>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4.项目区土壤环境质量满足GB 36600-2018第二类用地筛选值要求。</w:t>
                  </w:r>
                </w:p>
                <w:p w14:paraId="5926BF45">
                  <w:pPr>
                    <w:keepNext w:val="0"/>
                    <w:keepLines w:val="0"/>
                    <w:pageBreakBefore w:val="0"/>
                    <w:widowControl w:val="0"/>
                    <w:numPr>
                      <w:ilvl w:val="0"/>
                      <w:numId w:val="0"/>
                    </w:numPr>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5.本项目为污水处理厂，自身产生的废水全部纳入厂区污水处理系统，不单独设置外排口</w:t>
                  </w:r>
                  <w:r>
                    <w:rPr>
                      <w:rFonts w:hint="eastAsia" w:ascii="Times New Roman" w:hAnsi="Times New Roman" w:eastAsia="宋体" w:cs="Times New Roman"/>
                      <w:kern w:val="0"/>
                      <w:sz w:val="21"/>
                      <w:szCs w:val="21"/>
                      <w:vertAlign w:val="baseline"/>
                      <w:lang w:val="en-US" w:eastAsia="zh-CN"/>
                    </w:rPr>
                    <w:t>。</w:t>
                  </w:r>
                </w:p>
              </w:tc>
              <w:tc>
                <w:tcPr>
                  <w:tcW w:w="887" w:type="dxa"/>
                  <w:noWrap w:val="0"/>
                  <w:vAlign w:val="center"/>
                </w:tcPr>
                <w:p w14:paraId="568E1A18">
                  <w:pPr>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符合</w:t>
                  </w:r>
                </w:p>
              </w:tc>
            </w:tr>
            <w:tr w14:paraId="6948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noWrap w:val="0"/>
                  <w:vAlign w:val="center"/>
                </w:tcPr>
                <w:p w14:paraId="574520E9">
                  <w:pPr>
                    <w:keepNext w:val="0"/>
                    <w:keepLines w:val="0"/>
                    <w:pageBreakBefore w:val="0"/>
                    <w:widowControl w:val="0"/>
                    <w:kinsoku/>
                    <w:wordWrap/>
                    <w:overflowPunct/>
                    <w:topLinePunct w:val="0"/>
                    <w:bidi w:val="0"/>
                    <w:spacing w:line="240" w:lineRule="auto"/>
                    <w:jc w:val="center"/>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b w:val="0"/>
                      <w:bCs/>
                      <w:color w:val="auto"/>
                      <w:sz w:val="21"/>
                      <w:szCs w:val="21"/>
                      <w:lang w:bidi="en-US"/>
                    </w:rPr>
                    <w:t>环境风险防控</w:t>
                  </w:r>
                </w:p>
              </w:tc>
              <w:tc>
                <w:tcPr>
                  <w:tcW w:w="3445" w:type="dxa"/>
                  <w:noWrap w:val="0"/>
                  <w:vAlign w:val="center"/>
                </w:tcPr>
                <w:p w14:paraId="31046959">
                  <w:pPr>
                    <w:keepNext w:val="0"/>
                    <w:keepLines w:val="0"/>
                    <w:pageBreakBefore w:val="0"/>
                    <w:widowControl w:val="0"/>
                    <w:numPr>
                      <w:ilvl w:val="0"/>
                      <w:numId w:val="0"/>
                    </w:numPr>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1.执行自治区七大片区天山南坡管控要求和巴州总体管控要求中关于水、大气环境重点管控区的环境风险防控要求。</w:t>
                  </w:r>
                </w:p>
                <w:p w14:paraId="1E5EBA4D">
                  <w:pPr>
                    <w:keepNext w:val="0"/>
                    <w:keepLines w:val="0"/>
                    <w:pageBreakBefore w:val="0"/>
                    <w:widowControl w:val="0"/>
                    <w:numPr>
                      <w:ilvl w:val="0"/>
                      <w:numId w:val="0"/>
                    </w:numPr>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2.根据不同企业的生产特点，落实环境风险防范措施。</w:t>
                  </w:r>
                </w:p>
              </w:tc>
              <w:tc>
                <w:tcPr>
                  <w:tcW w:w="3005" w:type="dxa"/>
                  <w:noWrap w:val="0"/>
                  <w:vAlign w:val="center"/>
                </w:tcPr>
                <w:p w14:paraId="6308991C">
                  <w:pPr>
                    <w:keepNext w:val="0"/>
                    <w:keepLines w:val="0"/>
                    <w:pageBreakBefore w:val="0"/>
                    <w:widowControl w:val="0"/>
                    <w:numPr>
                      <w:ilvl w:val="0"/>
                      <w:numId w:val="0"/>
                    </w:numPr>
                    <w:kinsoku/>
                    <w:wordWrap/>
                    <w:overflowPunct/>
                    <w:topLinePunct w:val="0"/>
                    <w:autoSpaceDE w:val="0"/>
                    <w:autoSpaceDN w:val="0"/>
                    <w:bidi w:val="0"/>
                    <w:adjustRightInd w:val="0"/>
                    <w:snapToGrid w:val="0"/>
                    <w:jc w:val="both"/>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本项目将严格落实环境风险管控要求，编制突发环境事件应急预案并备案，配备应急物资，定期组织应急演练，建立环境风险防控体系。</w:t>
                  </w:r>
                </w:p>
              </w:tc>
              <w:tc>
                <w:tcPr>
                  <w:tcW w:w="887" w:type="dxa"/>
                  <w:noWrap w:val="0"/>
                  <w:vAlign w:val="center"/>
                </w:tcPr>
                <w:p w14:paraId="34AEAC02">
                  <w:pPr>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符合</w:t>
                  </w:r>
                </w:p>
              </w:tc>
            </w:tr>
            <w:tr w14:paraId="4AFD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9" w:hRule="atLeast"/>
              </w:trPr>
              <w:tc>
                <w:tcPr>
                  <w:tcW w:w="445" w:type="dxa"/>
                  <w:noWrap w:val="0"/>
                  <w:vAlign w:val="top"/>
                </w:tcPr>
                <w:p w14:paraId="44EA8E5C">
                  <w:pPr>
                    <w:keepNext w:val="0"/>
                    <w:keepLines w:val="0"/>
                    <w:pageBreakBefore w:val="0"/>
                    <w:widowControl w:val="0"/>
                    <w:kinsoku/>
                    <w:wordWrap/>
                    <w:overflowPunct/>
                    <w:topLinePunct w:val="0"/>
                    <w:bidi w:val="0"/>
                    <w:spacing w:line="240" w:lineRule="auto"/>
                    <w:jc w:val="center"/>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bidi="en-US"/>
                    </w:rPr>
                    <w:t>资源利用效率</w:t>
                  </w:r>
                </w:p>
              </w:tc>
              <w:tc>
                <w:tcPr>
                  <w:tcW w:w="3445" w:type="dxa"/>
                  <w:noWrap w:val="0"/>
                  <w:vAlign w:val="center"/>
                </w:tcPr>
                <w:p w14:paraId="206A7830">
                  <w:pPr>
                    <w:keepNext w:val="0"/>
                    <w:keepLines w:val="0"/>
                    <w:pageBreakBefore w:val="0"/>
                    <w:widowControl w:val="0"/>
                    <w:numPr>
                      <w:ilvl w:val="0"/>
                      <w:numId w:val="0"/>
                    </w:numPr>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不断提升资源利用效率，推进水资源循环利用</w:t>
                  </w:r>
                  <w:r>
                    <w:rPr>
                      <w:rFonts w:hint="eastAsia" w:ascii="Times New Roman" w:hAnsi="Times New Roman" w:eastAsia="宋体" w:cs="Times New Roman"/>
                      <w:kern w:val="0"/>
                      <w:sz w:val="21"/>
                      <w:szCs w:val="21"/>
                      <w:vertAlign w:val="baseline"/>
                      <w:lang w:val="en-US" w:eastAsia="zh-CN"/>
                    </w:rPr>
                    <w:t>。</w:t>
                  </w:r>
                </w:p>
              </w:tc>
              <w:tc>
                <w:tcPr>
                  <w:tcW w:w="3005" w:type="dxa"/>
                  <w:noWrap w:val="0"/>
                  <w:vAlign w:val="center"/>
                </w:tcPr>
                <w:p w14:paraId="7403DBCF">
                  <w:pPr>
                    <w:keepNext w:val="0"/>
                    <w:keepLines w:val="0"/>
                    <w:pageBreakBefore w:val="0"/>
                    <w:widowControl w:val="0"/>
                    <w:numPr>
                      <w:ilvl w:val="0"/>
                      <w:numId w:val="0"/>
                    </w:numPr>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本项目为污水处理及再生利用项目，尾水全部回用于园区绿化灌溉和企业工业用水，实现污水资源化利用，有效提高了水资源利用效率。</w:t>
                  </w:r>
                </w:p>
              </w:tc>
              <w:tc>
                <w:tcPr>
                  <w:tcW w:w="887" w:type="dxa"/>
                  <w:noWrap w:val="0"/>
                  <w:vAlign w:val="center"/>
                </w:tcPr>
                <w:p w14:paraId="55427676">
                  <w:pPr>
                    <w:keepNext w:val="0"/>
                    <w:keepLines w:val="0"/>
                    <w:pageBreakBefore w:val="0"/>
                    <w:widowControl w:val="0"/>
                    <w:numPr>
                      <w:ilvl w:val="0"/>
                      <w:numId w:val="0"/>
                    </w:numPr>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kern w:val="0"/>
                      <w:sz w:val="21"/>
                      <w:szCs w:val="21"/>
                      <w:vertAlign w:val="baseline"/>
                      <w:lang w:val="en-US" w:eastAsia="zh-CN"/>
                    </w:rPr>
                  </w:pPr>
                  <w:r>
                    <w:rPr>
                      <w:rFonts w:hint="default" w:ascii="Times New Roman" w:hAnsi="Times New Roman" w:eastAsia="宋体" w:cs="Times New Roman"/>
                      <w:kern w:val="0"/>
                      <w:sz w:val="21"/>
                      <w:szCs w:val="21"/>
                      <w:vertAlign w:val="baseline"/>
                      <w:lang w:val="en-US" w:eastAsia="zh-CN"/>
                    </w:rPr>
                    <w:t>符合</w:t>
                  </w:r>
                </w:p>
              </w:tc>
            </w:tr>
          </w:tbl>
          <w:p w14:paraId="45FB7F7E">
            <w:pPr>
              <w:pStyle w:val="7"/>
              <w:keepNext w:val="0"/>
              <w:keepLines w:val="0"/>
              <w:pageBreakBefore w:val="0"/>
              <w:widowControl w:val="0"/>
              <w:kinsoku/>
              <w:wordWrap/>
              <w:overflowPunct/>
              <w:topLinePunct w:val="0"/>
              <w:autoSpaceDE/>
              <w:autoSpaceDN/>
              <w:bidi w:val="0"/>
              <w:adjustRightInd/>
              <w:snapToGrid/>
              <w:spacing w:before="157" w:beforeLines="5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本项目与巴州总体管控要求中与本项目相关的重点条款符合性分析见表1-</w:t>
            </w:r>
            <w:r>
              <w:rPr>
                <w:rFonts w:hint="eastAsia" w:ascii="Times New Roman" w:cs="Times New Roman"/>
                <w:lang w:val="en-US" w:eastAsia="zh-CN"/>
              </w:rPr>
              <w:t>9</w:t>
            </w:r>
            <w:r>
              <w:rPr>
                <w:rFonts w:hint="default" w:ascii="Times New Roman" w:hAnsi="Times New Roman" w:cs="Times New Roman"/>
                <w:lang w:val="en-US" w:eastAsia="zh-CN"/>
              </w:rPr>
              <w:t>：</w:t>
            </w:r>
          </w:p>
          <w:p w14:paraId="10399EC2">
            <w:pPr>
              <w:pStyle w:val="8"/>
              <w:jc w:val="center"/>
              <w:rPr>
                <w:rFonts w:hint="eastAsia" w:ascii="Times New Roman" w:hAnsi="Times New Roman" w:eastAsia="宋体" w:cs="Times New Roman"/>
                <w:b/>
                <w:bCs/>
                <w:spacing w:val="-6"/>
                <w:kern w:val="2"/>
                <w:sz w:val="21"/>
                <w:szCs w:val="21"/>
                <w:lang w:val="en-US" w:eastAsia="zh-CN" w:bidi="ar-SA"/>
              </w:rPr>
            </w:pPr>
            <w:r>
              <w:rPr>
                <w:rFonts w:hint="eastAsia" w:ascii="Times New Roman" w:hAnsi="Times New Roman" w:eastAsia="宋体" w:cs="Times New Roman"/>
                <w:b/>
                <w:bCs/>
                <w:spacing w:val="-6"/>
                <w:kern w:val="2"/>
                <w:sz w:val="21"/>
                <w:szCs w:val="21"/>
                <w:lang w:val="en-US" w:eastAsia="zh-CN" w:bidi="ar-SA"/>
              </w:rPr>
              <w:t xml:space="preserve">表 </w:t>
            </w:r>
            <w:r>
              <w:rPr>
                <w:rFonts w:hint="eastAsia" w:ascii="Times New Roman" w:hAnsi="Times New Roman" w:eastAsia="宋体" w:cs="Times New Roman"/>
                <w:b/>
                <w:bCs/>
                <w:spacing w:val="-6"/>
                <w:kern w:val="2"/>
                <w:sz w:val="21"/>
                <w:szCs w:val="21"/>
                <w:lang w:val="en-US" w:eastAsia="zh-CN" w:bidi="ar-SA"/>
              </w:rPr>
              <w:fldChar w:fldCharType="begin"/>
            </w:r>
            <w:r>
              <w:rPr>
                <w:rFonts w:hint="eastAsia" w:ascii="Times New Roman" w:hAnsi="Times New Roman" w:eastAsia="宋体" w:cs="Times New Roman"/>
                <w:b/>
                <w:bCs/>
                <w:spacing w:val="-6"/>
                <w:kern w:val="2"/>
                <w:sz w:val="21"/>
                <w:szCs w:val="21"/>
                <w:lang w:val="en-US" w:eastAsia="zh-CN" w:bidi="ar-SA"/>
              </w:rPr>
              <w:instrText xml:space="preserve"> STYLEREF 1 \s \* ARABIC </w:instrText>
            </w:r>
            <w:r>
              <w:rPr>
                <w:rFonts w:hint="eastAsia" w:ascii="Times New Roman" w:hAnsi="Times New Roman" w:eastAsia="宋体" w:cs="Times New Roman"/>
                <w:b/>
                <w:bCs/>
                <w:spacing w:val="-6"/>
                <w:kern w:val="2"/>
                <w:sz w:val="21"/>
                <w:szCs w:val="21"/>
                <w:lang w:val="en-US" w:eastAsia="zh-CN" w:bidi="ar-SA"/>
              </w:rPr>
              <w:fldChar w:fldCharType="separate"/>
            </w:r>
            <w:r>
              <w:rPr>
                <w:rFonts w:hint="eastAsia" w:ascii="Times New Roman" w:hAnsi="Times New Roman" w:eastAsia="宋体" w:cs="Times New Roman"/>
                <w:b/>
                <w:bCs/>
                <w:spacing w:val="-6"/>
                <w:kern w:val="2"/>
                <w:sz w:val="21"/>
                <w:szCs w:val="21"/>
                <w:lang w:val="en-US" w:eastAsia="zh-CN" w:bidi="ar-SA"/>
              </w:rPr>
              <w:t>1</w:t>
            </w:r>
            <w:r>
              <w:rPr>
                <w:rFonts w:hint="eastAsia" w:ascii="Times New Roman" w:hAnsi="Times New Roman" w:eastAsia="宋体" w:cs="Times New Roman"/>
                <w:b/>
                <w:bCs/>
                <w:spacing w:val="-6"/>
                <w:kern w:val="2"/>
                <w:sz w:val="21"/>
                <w:szCs w:val="21"/>
                <w:lang w:val="en-US" w:eastAsia="zh-CN" w:bidi="ar-SA"/>
              </w:rPr>
              <w:fldChar w:fldCharType="end"/>
            </w:r>
            <w:r>
              <w:rPr>
                <w:rFonts w:hint="eastAsia" w:ascii="Times New Roman" w:hAnsi="Times New Roman" w:eastAsia="宋体" w:cs="Times New Roman"/>
                <w:b/>
                <w:bCs/>
                <w:spacing w:val="-6"/>
                <w:kern w:val="2"/>
                <w:sz w:val="21"/>
                <w:szCs w:val="21"/>
                <w:lang w:val="en-US" w:eastAsia="zh-CN" w:bidi="ar-SA"/>
              </w:rPr>
              <w:t>-9与巴州总体管控要求中与本项目相关的重点条款符合性分析</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3195"/>
              <w:gridCol w:w="2346"/>
              <w:gridCol w:w="450"/>
            </w:tblGrid>
            <w:tr w14:paraId="328D6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pct"/>
                  <w:tcBorders>
                    <w:top w:val="single" w:color="000000" w:sz="4" w:space="0"/>
                    <w:left w:val="single" w:color="000000" w:sz="4" w:space="0"/>
                    <w:bottom w:val="single" w:color="000000" w:sz="4" w:space="0"/>
                    <w:right w:val="single" w:color="000000" w:sz="4" w:space="0"/>
                  </w:tcBorders>
                  <w:vAlign w:val="center"/>
                </w:tcPr>
                <w:p w14:paraId="3DCCF06E">
                  <w:pPr>
                    <w:pStyle w:val="25"/>
                    <w:bidi w:val="0"/>
                    <w:rPr>
                      <w:rFonts w:hint="default" w:ascii="Times New Roman" w:hAnsi="Times New Roman" w:cs="Times New Roman"/>
                    </w:rPr>
                  </w:pPr>
                  <w:r>
                    <w:rPr>
                      <w:rFonts w:hint="default" w:ascii="Times New Roman" w:hAnsi="Times New Roman" w:cs="Times New Roman"/>
                    </w:rPr>
                    <w:t>管控类别</w:t>
                  </w:r>
                </w:p>
              </w:tc>
              <w:tc>
                <w:tcPr>
                  <w:tcW w:w="2313" w:type="pct"/>
                  <w:tcBorders>
                    <w:top w:val="single" w:color="000000" w:sz="4" w:space="0"/>
                    <w:left w:val="single" w:color="000000" w:sz="4" w:space="0"/>
                    <w:bottom w:val="single" w:color="000000" w:sz="4" w:space="0"/>
                    <w:right w:val="single" w:color="000000" w:sz="4" w:space="0"/>
                  </w:tcBorders>
                  <w:vAlign w:val="center"/>
                </w:tcPr>
                <w:p w14:paraId="44FCAB32">
                  <w:pPr>
                    <w:pStyle w:val="25"/>
                    <w:bidi w:val="0"/>
                    <w:rPr>
                      <w:rFonts w:hint="default" w:ascii="Times New Roman" w:hAnsi="Times New Roman" w:cs="Times New Roman"/>
                    </w:rPr>
                  </w:pPr>
                  <w:r>
                    <w:rPr>
                      <w:rFonts w:hint="default" w:ascii="Times New Roman" w:hAnsi="Times New Roman" w:cs="Times New Roman"/>
                    </w:rPr>
                    <w:t>管控要求</w:t>
                  </w:r>
                </w:p>
              </w:tc>
              <w:tc>
                <w:tcPr>
                  <w:tcW w:w="1698" w:type="pct"/>
                  <w:tcBorders>
                    <w:top w:val="single" w:color="000000" w:sz="4" w:space="0"/>
                    <w:left w:val="single" w:color="000000" w:sz="4" w:space="0"/>
                    <w:bottom w:val="single" w:color="000000" w:sz="4" w:space="0"/>
                    <w:right w:val="single" w:color="000000" w:sz="4" w:space="0"/>
                  </w:tcBorders>
                  <w:vAlign w:val="center"/>
                </w:tcPr>
                <w:p w14:paraId="3F24847A">
                  <w:pPr>
                    <w:pStyle w:val="25"/>
                    <w:bidi w:val="0"/>
                    <w:rPr>
                      <w:rFonts w:hint="default" w:ascii="Times New Roman" w:hAnsi="Times New Roman" w:cs="Times New Roman"/>
                    </w:rPr>
                  </w:pPr>
                  <w:r>
                    <w:rPr>
                      <w:rFonts w:hint="default" w:ascii="Times New Roman" w:hAnsi="Times New Roman" w:cs="Times New Roman"/>
                    </w:rPr>
                    <w:t>本项目情况</w:t>
                  </w:r>
                </w:p>
              </w:tc>
              <w:tc>
                <w:tcPr>
                  <w:tcW w:w="325" w:type="pct"/>
                  <w:tcBorders>
                    <w:top w:val="single" w:color="000000" w:sz="4" w:space="0"/>
                    <w:left w:val="single" w:color="000000" w:sz="4" w:space="0"/>
                    <w:bottom w:val="single" w:color="000000" w:sz="4" w:space="0"/>
                    <w:right w:val="single" w:color="000000" w:sz="4" w:space="0"/>
                  </w:tcBorders>
                  <w:vAlign w:val="center"/>
                </w:tcPr>
                <w:p w14:paraId="32117758">
                  <w:pPr>
                    <w:pStyle w:val="25"/>
                    <w:bidi w:val="0"/>
                    <w:rPr>
                      <w:rFonts w:hint="default" w:ascii="Times New Roman" w:hAnsi="Times New Roman" w:cs="Times New Roman"/>
                    </w:rPr>
                  </w:pPr>
                  <w:r>
                    <w:rPr>
                      <w:rFonts w:hint="default" w:ascii="Times New Roman" w:hAnsi="Times New Roman" w:cs="Times New Roman"/>
                    </w:rPr>
                    <w:t>符合性</w:t>
                  </w:r>
                </w:p>
              </w:tc>
            </w:tr>
            <w:tr w14:paraId="208C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pct"/>
                  <w:vMerge w:val="restart"/>
                  <w:tcBorders>
                    <w:top w:val="single" w:color="000000" w:sz="4" w:space="0"/>
                    <w:left w:val="single" w:color="000000" w:sz="4" w:space="0"/>
                    <w:right w:val="single" w:color="000000" w:sz="4" w:space="0"/>
                  </w:tcBorders>
                  <w:vAlign w:val="center"/>
                </w:tcPr>
                <w:p w14:paraId="707F959A">
                  <w:pPr>
                    <w:pStyle w:val="25"/>
                    <w:bidi w:val="0"/>
                    <w:rPr>
                      <w:rFonts w:hint="default" w:ascii="Times New Roman" w:hAnsi="Times New Roman" w:cs="Times New Roman"/>
                    </w:rPr>
                  </w:pPr>
                  <w:r>
                    <w:rPr>
                      <w:rFonts w:hint="default" w:ascii="Times New Roman" w:hAnsi="Times New Roman" w:cs="Times New Roman"/>
                    </w:rPr>
                    <w:t>空间布局约束</w:t>
                  </w:r>
                </w:p>
              </w:tc>
              <w:tc>
                <w:tcPr>
                  <w:tcW w:w="2313" w:type="pct"/>
                  <w:tcBorders>
                    <w:top w:val="single" w:color="000000" w:sz="4" w:space="0"/>
                    <w:left w:val="single" w:color="000000" w:sz="4" w:space="0"/>
                    <w:bottom w:val="single" w:color="000000" w:sz="4" w:space="0"/>
                    <w:right w:val="single" w:color="000000" w:sz="4" w:space="0"/>
                  </w:tcBorders>
                  <w:vAlign w:val="center"/>
                </w:tcPr>
                <w:p w14:paraId="7AE33936">
                  <w:pPr>
                    <w:pStyle w:val="25"/>
                    <w:bidi w:val="0"/>
                    <w:rPr>
                      <w:rFonts w:hint="default" w:ascii="Times New Roman" w:hAnsi="Times New Roman" w:cs="Times New Roman"/>
                    </w:rPr>
                  </w:pPr>
                  <w:r>
                    <w:rPr>
                      <w:rFonts w:hint="default" w:ascii="Times New Roman" w:hAnsi="Times New Roman" w:cs="Times New Roman"/>
                    </w:rPr>
                    <w:t>禁止引进能（水）耗不符合相关国家标准中准入值要求，且污染物排放和环境风险防控不符合国家（地方）标准及有关产业准入条件的高污染（排放）、高能（水）耗、高环境风险的工业项目。</w:t>
                  </w:r>
                </w:p>
              </w:tc>
              <w:tc>
                <w:tcPr>
                  <w:tcW w:w="1698" w:type="pct"/>
                  <w:tcBorders>
                    <w:top w:val="single" w:color="000000" w:sz="4" w:space="0"/>
                    <w:left w:val="single" w:color="000000" w:sz="4" w:space="0"/>
                    <w:bottom w:val="single" w:color="000000" w:sz="4" w:space="0"/>
                    <w:right w:val="single" w:color="000000" w:sz="4" w:space="0"/>
                  </w:tcBorders>
                  <w:vAlign w:val="center"/>
                </w:tcPr>
                <w:p w14:paraId="56B30149">
                  <w:pPr>
                    <w:pStyle w:val="25"/>
                    <w:bidi w:val="0"/>
                    <w:rPr>
                      <w:rFonts w:hint="default" w:ascii="Times New Roman" w:hAnsi="Times New Roman" w:cs="Times New Roman"/>
                    </w:rPr>
                  </w:pPr>
                  <w:r>
                    <w:rPr>
                      <w:rFonts w:hint="default" w:ascii="Times New Roman" w:hAnsi="Times New Roman" w:cs="Times New Roman"/>
                    </w:rPr>
                    <w:t>本项目为生活污水处理厂，不属于</w:t>
                  </w:r>
                  <w:r>
                    <w:rPr>
                      <w:rFonts w:hint="eastAsia" w:ascii="Times New Roman" w:cs="Times New Roman"/>
                      <w:lang w:eastAsia="zh-CN"/>
                    </w:rPr>
                    <w:t>“</w:t>
                  </w:r>
                  <w:r>
                    <w:rPr>
                      <w:rFonts w:hint="default" w:ascii="Times New Roman" w:hAnsi="Times New Roman" w:cs="Times New Roman"/>
                    </w:rPr>
                    <w:t>三高</w:t>
                  </w:r>
                  <w:r>
                    <w:rPr>
                      <w:rFonts w:hint="eastAsia" w:ascii="Times New Roman" w:cs="Times New Roman"/>
                      <w:lang w:eastAsia="zh-CN"/>
                    </w:rPr>
                    <w:t>”</w:t>
                  </w:r>
                  <w:r>
                    <w:rPr>
                      <w:rFonts w:hint="default" w:ascii="Times New Roman" w:hAnsi="Times New Roman" w:cs="Times New Roman"/>
                    </w:rPr>
                    <w:t>项目，能耗、水耗</w:t>
                  </w:r>
                  <w:r>
                    <w:rPr>
                      <w:rFonts w:hint="eastAsia" w:ascii="Times New Roman" w:cs="Times New Roman"/>
                      <w:lang w:eastAsia="zh-CN"/>
                    </w:rPr>
                    <w:t>、污染物排放及环境风险防控</w:t>
                  </w:r>
                  <w:r>
                    <w:rPr>
                      <w:rFonts w:hint="default" w:ascii="Times New Roman" w:hAnsi="Times New Roman" w:cs="Times New Roman"/>
                    </w:rPr>
                    <w:t>符合相关标准要求。</w:t>
                  </w:r>
                </w:p>
              </w:tc>
              <w:tc>
                <w:tcPr>
                  <w:tcW w:w="325" w:type="pct"/>
                  <w:tcBorders>
                    <w:top w:val="single" w:color="000000" w:sz="4" w:space="0"/>
                    <w:left w:val="single" w:color="000000" w:sz="4" w:space="0"/>
                    <w:bottom w:val="single" w:color="000000" w:sz="4" w:space="0"/>
                    <w:right w:val="single" w:color="000000" w:sz="4" w:space="0"/>
                  </w:tcBorders>
                  <w:vAlign w:val="center"/>
                </w:tcPr>
                <w:p w14:paraId="2E8A7ECA">
                  <w:pPr>
                    <w:pStyle w:val="25"/>
                    <w:bidi w:val="0"/>
                    <w:rPr>
                      <w:rFonts w:hint="default" w:ascii="Times New Roman" w:hAnsi="Times New Roman" w:cs="Times New Roman"/>
                    </w:rPr>
                  </w:pPr>
                  <w:r>
                    <w:rPr>
                      <w:rFonts w:hint="default" w:ascii="Times New Roman" w:hAnsi="Times New Roman" w:cs="Times New Roman"/>
                    </w:rPr>
                    <w:t>符合</w:t>
                  </w:r>
                </w:p>
              </w:tc>
            </w:tr>
            <w:tr w14:paraId="10070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pct"/>
                  <w:vMerge w:val="continue"/>
                  <w:tcBorders>
                    <w:left w:val="single" w:color="000000" w:sz="4" w:space="0"/>
                    <w:right w:val="single" w:color="000000" w:sz="4" w:space="0"/>
                  </w:tcBorders>
                  <w:vAlign w:val="center"/>
                </w:tcPr>
                <w:p w14:paraId="70AF4058">
                  <w:pPr>
                    <w:pStyle w:val="25"/>
                    <w:bidi w:val="0"/>
                    <w:rPr>
                      <w:rFonts w:hint="default" w:ascii="Times New Roman" w:hAnsi="Times New Roman" w:cs="Times New Roman"/>
                    </w:rPr>
                  </w:pPr>
                </w:p>
              </w:tc>
              <w:tc>
                <w:tcPr>
                  <w:tcW w:w="2313" w:type="pct"/>
                  <w:tcBorders>
                    <w:top w:val="single" w:color="000000" w:sz="4" w:space="0"/>
                    <w:left w:val="single" w:color="000000" w:sz="4" w:space="0"/>
                    <w:bottom w:val="single" w:color="000000" w:sz="4" w:space="0"/>
                    <w:right w:val="single" w:color="000000" w:sz="4" w:space="0"/>
                  </w:tcBorders>
                  <w:vAlign w:val="center"/>
                </w:tcPr>
                <w:p w14:paraId="45AA6D6F">
                  <w:pPr>
                    <w:pStyle w:val="25"/>
                    <w:bidi w:val="0"/>
                    <w:rPr>
                      <w:rFonts w:hint="default" w:ascii="Times New Roman" w:hAnsi="Times New Roman" w:cs="Times New Roman"/>
                    </w:rPr>
                  </w:pPr>
                  <w:r>
                    <w:rPr>
                      <w:rFonts w:hint="default" w:ascii="Times New Roman" w:hAnsi="Times New Roman" w:cs="Times New Roman"/>
                    </w:rPr>
                    <w:t>禁止在居民区、学校、医疗和养老机构等周边新建土壤环境重点监管行业企业。</w:t>
                  </w:r>
                </w:p>
              </w:tc>
              <w:tc>
                <w:tcPr>
                  <w:tcW w:w="1698" w:type="pct"/>
                  <w:tcBorders>
                    <w:top w:val="single" w:color="000000" w:sz="4" w:space="0"/>
                    <w:left w:val="single" w:color="000000" w:sz="4" w:space="0"/>
                    <w:bottom w:val="single" w:color="000000" w:sz="4" w:space="0"/>
                    <w:right w:val="single" w:color="000000" w:sz="4" w:space="0"/>
                  </w:tcBorders>
                  <w:vAlign w:val="center"/>
                </w:tcPr>
                <w:p w14:paraId="346CEDF8">
                  <w:pPr>
                    <w:pStyle w:val="25"/>
                    <w:bidi w:val="0"/>
                    <w:rPr>
                      <w:rFonts w:hint="default" w:ascii="Times New Roman" w:hAnsi="Times New Roman" w:cs="Times New Roman"/>
                    </w:rPr>
                  </w:pPr>
                  <w:r>
                    <w:rPr>
                      <w:rFonts w:hint="default" w:ascii="Times New Roman" w:hAnsi="Times New Roman" w:cs="Times New Roman"/>
                    </w:rPr>
                    <w:t>本项目选址位于石油石化产业园工业用地内，不属于土壤环境重点监管行业企业</w:t>
                  </w:r>
                  <w:r>
                    <w:rPr>
                      <w:rFonts w:hint="eastAsia" w:ascii="Times New Roman" w:cs="Times New Roman"/>
                      <w:lang w:eastAsia="zh-CN"/>
                    </w:rPr>
                    <w:t>，</w:t>
                  </w:r>
                  <w:r>
                    <w:rPr>
                      <w:rFonts w:hint="default" w:ascii="Times New Roman" w:hAnsi="Times New Roman" w:cs="Times New Roman"/>
                    </w:rPr>
                    <w:t>周边无居民区、学校等敏感目标。</w:t>
                  </w:r>
                </w:p>
              </w:tc>
              <w:tc>
                <w:tcPr>
                  <w:tcW w:w="325" w:type="pct"/>
                  <w:tcBorders>
                    <w:top w:val="single" w:color="000000" w:sz="4" w:space="0"/>
                    <w:left w:val="single" w:color="000000" w:sz="4" w:space="0"/>
                    <w:bottom w:val="single" w:color="000000" w:sz="4" w:space="0"/>
                    <w:right w:val="single" w:color="000000" w:sz="4" w:space="0"/>
                  </w:tcBorders>
                  <w:vAlign w:val="center"/>
                </w:tcPr>
                <w:p w14:paraId="5406510E">
                  <w:pPr>
                    <w:pStyle w:val="25"/>
                    <w:bidi w:val="0"/>
                    <w:rPr>
                      <w:rFonts w:hint="default" w:ascii="Times New Roman" w:hAnsi="Times New Roman" w:cs="Times New Roman"/>
                    </w:rPr>
                  </w:pPr>
                  <w:r>
                    <w:rPr>
                      <w:rFonts w:hint="default" w:ascii="Times New Roman" w:hAnsi="Times New Roman" w:cs="Times New Roman"/>
                    </w:rPr>
                    <w:t>符合</w:t>
                  </w:r>
                </w:p>
              </w:tc>
            </w:tr>
            <w:tr w14:paraId="760A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pct"/>
                  <w:vMerge w:val="continue"/>
                  <w:tcBorders>
                    <w:left w:val="single" w:color="000000" w:sz="4" w:space="0"/>
                    <w:bottom w:val="single" w:color="000000" w:sz="4" w:space="0"/>
                    <w:right w:val="single" w:color="000000" w:sz="4" w:space="0"/>
                  </w:tcBorders>
                  <w:vAlign w:val="center"/>
                </w:tcPr>
                <w:p w14:paraId="25F2E43B">
                  <w:pPr>
                    <w:pStyle w:val="25"/>
                    <w:bidi w:val="0"/>
                    <w:rPr>
                      <w:rFonts w:hint="default" w:ascii="Times New Roman" w:hAnsi="Times New Roman" w:cs="Times New Roman"/>
                    </w:rPr>
                  </w:pPr>
                </w:p>
              </w:tc>
              <w:tc>
                <w:tcPr>
                  <w:tcW w:w="2313" w:type="pct"/>
                  <w:tcBorders>
                    <w:top w:val="single" w:color="000000" w:sz="4" w:space="0"/>
                    <w:left w:val="single" w:color="000000" w:sz="4" w:space="0"/>
                    <w:bottom w:val="single" w:color="000000" w:sz="4" w:space="0"/>
                    <w:right w:val="single" w:color="000000" w:sz="4" w:space="0"/>
                  </w:tcBorders>
                  <w:vAlign w:val="center"/>
                </w:tcPr>
                <w:p w14:paraId="282603D7">
                  <w:pPr>
                    <w:pStyle w:val="25"/>
                    <w:bidi w:val="0"/>
                    <w:rPr>
                      <w:rFonts w:hint="default" w:ascii="Times New Roman" w:hAnsi="Times New Roman" w:cs="Times New Roman"/>
                    </w:rPr>
                  </w:pPr>
                  <w:r>
                    <w:rPr>
                      <w:rFonts w:hint="default" w:ascii="Times New Roman" w:hAnsi="Times New Roman" w:cs="Times New Roman"/>
                    </w:rPr>
                    <w:t>生态保护红线内禁止开发性、生产性建设活动。</w:t>
                  </w:r>
                </w:p>
              </w:tc>
              <w:tc>
                <w:tcPr>
                  <w:tcW w:w="1698" w:type="pct"/>
                  <w:tcBorders>
                    <w:top w:val="single" w:color="000000" w:sz="4" w:space="0"/>
                    <w:left w:val="single" w:color="000000" w:sz="4" w:space="0"/>
                    <w:bottom w:val="single" w:color="000000" w:sz="4" w:space="0"/>
                    <w:right w:val="single" w:color="000000" w:sz="4" w:space="0"/>
                  </w:tcBorders>
                  <w:vAlign w:val="center"/>
                </w:tcPr>
                <w:p w14:paraId="41045AEB">
                  <w:pPr>
                    <w:pStyle w:val="25"/>
                    <w:bidi w:val="0"/>
                    <w:rPr>
                      <w:rFonts w:hint="default" w:ascii="Times New Roman" w:hAnsi="Times New Roman" w:cs="Times New Roman"/>
                    </w:rPr>
                  </w:pPr>
                  <w:r>
                    <w:rPr>
                      <w:rFonts w:hint="default" w:ascii="Times New Roman" w:hAnsi="Times New Roman" w:cs="Times New Roman"/>
                    </w:rPr>
                    <w:t>本项目不占用生态保护红线。</w:t>
                  </w:r>
                </w:p>
              </w:tc>
              <w:tc>
                <w:tcPr>
                  <w:tcW w:w="325" w:type="pct"/>
                  <w:tcBorders>
                    <w:top w:val="single" w:color="000000" w:sz="4" w:space="0"/>
                    <w:left w:val="single" w:color="000000" w:sz="4" w:space="0"/>
                    <w:bottom w:val="single" w:color="000000" w:sz="4" w:space="0"/>
                    <w:right w:val="single" w:color="000000" w:sz="4" w:space="0"/>
                  </w:tcBorders>
                  <w:vAlign w:val="center"/>
                </w:tcPr>
                <w:p w14:paraId="7A709AF9">
                  <w:pPr>
                    <w:pStyle w:val="25"/>
                    <w:bidi w:val="0"/>
                    <w:rPr>
                      <w:rFonts w:hint="default" w:ascii="Times New Roman" w:hAnsi="Times New Roman" w:cs="Times New Roman"/>
                    </w:rPr>
                  </w:pPr>
                  <w:r>
                    <w:rPr>
                      <w:rFonts w:hint="default" w:ascii="Times New Roman" w:hAnsi="Times New Roman" w:cs="Times New Roman"/>
                    </w:rPr>
                    <w:t>符合</w:t>
                  </w:r>
                </w:p>
              </w:tc>
            </w:tr>
            <w:tr w14:paraId="77DC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pct"/>
                  <w:tcBorders>
                    <w:top w:val="single" w:color="000000" w:sz="4" w:space="0"/>
                    <w:left w:val="single" w:color="000000" w:sz="4" w:space="0"/>
                    <w:bottom w:val="single" w:color="000000" w:sz="4" w:space="0"/>
                    <w:right w:val="single" w:color="000000" w:sz="4" w:space="0"/>
                  </w:tcBorders>
                  <w:vAlign w:val="center"/>
                </w:tcPr>
                <w:p w14:paraId="6B0A1158">
                  <w:pPr>
                    <w:pStyle w:val="25"/>
                    <w:bidi w:val="0"/>
                    <w:rPr>
                      <w:rFonts w:hint="default" w:ascii="Times New Roman" w:hAnsi="Times New Roman" w:cs="Times New Roman"/>
                    </w:rPr>
                  </w:pPr>
                  <w:r>
                    <w:rPr>
                      <w:rFonts w:hint="default" w:ascii="Times New Roman" w:hAnsi="Times New Roman" w:cs="Times New Roman"/>
                    </w:rPr>
                    <w:t>污染物排放管控</w:t>
                  </w:r>
                </w:p>
              </w:tc>
              <w:tc>
                <w:tcPr>
                  <w:tcW w:w="2313" w:type="pct"/>
                  <w:tcBorders>
                    <w:top w:val="single" w:color="000000" w:sz="4" w:space="0"/>
                    <w:left w:val="single" w:color="000000" w:sz="4" w:space="0"/>
                    <w:bottom w:val="single" w:color="000000" w:sz="4" w:space="0"/>
                    <w:right w:val="single" w:color="000000" w:sz="4" w:space="0"/>
                  </w:tcBorders>
                  <w:vAlign w:val="center"/>
                </w:tcPr>
                <w:p w14:paraId="58875BC1">
                  <w:pPr>
                    <w:pStyle w:val="25"/>
                    <w:bidi w:val="0"/>
                    <w:rPr>
                      <w:rFonts w:hint="default" w:ascii="Times New Roman" w:hAnsi="Times New Roman" w:cs="Times New Roman"/>
                    </w:rPr>
                  </w:pPr>
                  <w:r>
                    <w:rPr>
                      <w:rFonts w:hint="default" w:ascii="Times New Roman" w:hAnsi="Times New Roman" w:cs="Times New Roman"/>
                    </w:rPr>
                    <w:t>严格控制在优先保护类耕地、园地、草地集中区域新建有色金属冶炼、石油加工、化工等土壤环境监管重点行业项目。</w:t>
                  </w:r>
                </w:p>
              </w:tc>
              <w:tc>
                <w:tcPr>
                  <w:tcW w:w="1698" w:type="pct"/>
                  <w:tcBorders>
                    <w:top w:val="single" w:color="000000" w:sz="4" w:space="0"/>
                    <w:left w:val="single" w:color="000000" w:sz="4" w:space="0"/>
                    <w:bottom w:val="single" w:color="000000" w:sz="4" w:space="0"/>
                    <w:right w:val="single" w:color="000000" w:sz="4" w:space="0"/>
                  </w:tcBorders>
                  <w:vAlign w:val="center"/>
                </w:tcPr>
                <w:p w14:paraId="1EB37CBC">
                  <w:pPr>
                    <w:pStyle w:val="25"/>
                    <w:bidi w:val="0"/>
                    <w:rPr>
                      <w:rFonts w:hint="default" w:ascii="Times New Roman" w:hAnsi="Times New Roman" w:cs="Times New Roman"/>
                    </w:rPr>
                  </w:pPr>
                  <w:r>
                    <w:rPr>
                      <w:rFonts w:hint="default" w:ascii="Times New Roman" w:hAnsi="Times New Roman" w:cs="Times New Roman"/>
                    </w:rPr>
                    <w:t>本项目为污水处理厂，不属于上述重点行业，不占用耕地。</w:t>
                  </w:r>
                </w:p>
              </w:tc>
              <w:tc>
                <w:tcPr>
                  <w:tcW w:w="325" w:type="pct"/>
                  <w:tcBorders>
                    <w:top w:val="single" w:color="000000" w:sz="4" w:space="0"/>
                    <w:left w:val="single" w:color="000000" w:sz="4" w:space="0"/>
                    <w:bottom w:val="single" w:color="000000" w:sz="4" w:space="0"/>
                    <w:right w:val="single" w:color="000000" w:sz="4" w:space="0"/>
                  </w:tcBorders>
                  <w:vAlign w:val="center"/>
                </w:tcPr>
                <w:p w14:paraId="6D27C752">
                  <w:pPr>
                    <w:pStyle w:val="25"/>
                    <w:bidi w:val="0"/>
                    <w:rPr>
                      <w:rFonts w:hint="default" w:ascii="Times New Roman" w:hAnsi="Times New Roman" w:cs="Times New Roman"/>
                    </w:rPr>
                  </w:pPr>
                  <w:r>
                    <w:rPr>
                      <w:rFonts w:hint="default" w:ascii="Times New Roman" w:hAnsi="Times New Roman" w:cs="Times New Roman"/>
                    </w:rPr>
                    <w:t>符合</w:t>
                  </w:r>
                </w:p>
              </w:tc>
            </w:tr>
            <w:tr w14:paraId="6EB6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pct"/>
                  <w:tcBorders>
                    <w:top w:val="single" w:color="000000" w:sz="4" w:space="0"/>
                    <w:left w:val="single" w:color="000000" w:sz="4" w:space="0"/>
                    <w:bottom w:val="single" w:color="000000" w:sz="4" w:space="0"/>
                    <w:right w:val="single" w:color="000000" w:sz="4" w:space="0"/>
                  </w:tcBorders>
                  <w:vAlign w:val="center"/>
                </w:tcPr>
                <w:p w14:paraId="4515F69F">
                  <w:pPr>
                    <w:pStyle w:val="25"/>
                    <w:bidi w:val="0"/>
                    <w:rPr>
                      <w:rFonts w:hint="default" w:ascii="Times New Roman" w:hAnsi="Times New Roman" w:cs="Times New Roman"/>
                    </w:rPr>
                  </w:pPr>
                  <w:r>
                    <w:rPr>
                      <w:rFonts w:hint="default" w:ascii="Times New Roman" w:hAnsi="Times New Roman" w:cs="Times New Roman"/>
                    </w:rPr>
                    <w:t>环境风险防控</w:t>
                  </w:r>
                </w:p>
              </w:tc>
              <w:tc>
                <w:tcPr>
                  <w:tcW w:w="2313" w:type="pct"/>
                  <w:tcBorders>
                    <w:top w:val="single" w:color="000000" w:sz="4" w:space="0"/>
                    <w:left w:val="single" w:color="000000" w:sz="4" w:space="0"/>
                    <w:bottom w:val="single" w:color="000000" w:sz="4" w:space="0"/>
                    <w:right w:val="single" w:color="000000" w:sz="4" w:space="0"/>
                  </w:tcBorders>
                  <w:vAlign w:val="center"/>
                </w:tcPr>
                <w:p w14:paraId="510455AB">
                  <w:pPr>
                    <w:pStyle w:val="25"/>
                    <w:bidi w:val="0"/>
                    <w:rPr>
                      <w:rFonts w:hint="default" w:ascii="Times New Roman" w:hAnsi="Times New Roman" w:cs="Times New Roman"/>
                    </w:rPr>
                  </w:pPr>
                  <w:r>
                    <w:rPr>
                      <w:rFonts w:hint="default" w:ascii="Times New Roman" w:hAnsi="Times New Roman" w:cs="Times New Roman"/>
                    </w:rPr>
                    <w:t>加强塔里木河流域水环境风险管控，加强油（气）资源开发区土壤环境污染综合整治。</w:t>
                  </w:r>
                </w:p>
              </w:tc>
              <w:tc>
                <w:tcPr>
                  <w:tcW w:w="1698" w:type="pct"/>
                  <w:tcBorders>
                    <w:top w:val="single" w:color="000000" w:sz="4" w:space="0"/>
                    <w:left w:val="single" w:color="000000" w:sz="4" w:space="0"/>
                    <w:bottom w:val="single" w:color="000000" w:sz="4" w:space="0"/>
                    <w:right w:val="single" w:color="000000" w:sz="4" w:space="0"/>
                  </w:tcBorders>
                  <w:vAlign w:val="center"/>
                </w:tcPr>
                <w:p w14:paraId="579C1236">
                  <w:pPr>
                    <w:pStyle w:val="25"/>
                    <w:bidi w:val="0"/>
                    <w:rPr>
                      <w:rFonts w:hint="default" w:ascii="Times New Roman" w:hAnsi="Times New Roman" w:cs="Times New Roman"/>
                    </w:rPr>
                  </w:pPr>
                  <w:r>
                    <w:rPr>
                      <w:rFonts w:hint="default" w:ascii="Times New Roman" w:hAnsi="Times New Roman" w:cs="Times New Roman"/>
                    </w:rPr>
                    <w:t>本项目不涉及油气开发，不涉及重金属排放。</w:t>
                  </w:r>
                </w:p>
              </w:tc>
              <w:tc>
                <w:tcPr>
                  <w:tcW w:w="325" w:type="pct"/>
                  <w:tcBorders>
                    <w:top w:val="single" w:color="000000" w:sz="4" w:space="0"/>
                    <w:left w:val="single" w:color="000000" w:sz="4" w:space="0"/>
                    <w:bottom w:val="single" w:color="000000" w:sz="4" w:space="0"/>
                    <w:right w:val="single" w:color="000000" w:sz="4" w:space="0"/>
                  </w:tcBorders>
                  <w:vAlign w:val="center"/>
                </w:tcPr>
                <w:p w14:paraId="15F4EC67">
                  <w:pPr>
                    <w:pStyle w:val="25"/>
                    <w:bidi w:val="0"/>
                    <w:rPr>
                      <w:rFonts w:hint="default" w:ascii="Times New Roman" w:hAnsi="Times New Roman" w:cs="Times New Roman"/>
                    </w:rPr>
                  </w:pPr>
                  <w:r>
                    <w:rPr>
                      <w:rFonts w:hint="default" w:ascii="Times New Roman" w:hAnsi="Times New Roman" w:cs="Times New Roman"/>
                    </w:rPr>
                    <w:t>符合</w:t>
                  </w:r>
                </w:p>
              </w:tc>
            </w:tr>
            <w:tr w14:paraId="0B7D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pct"/>
                  <w:tcBorders>
                    <w:top w:val="single" w:color="000000" w:sz="4" w:space="0"/>
                    <w:left w:val="single" w:color="000000" w:sz="4" w:space="0"/>
                    <w:bottom w:val="single" w:color="000000" w:sz="4" w:space="0"/>
                    <w:right w:val="single" w:color="000000" w:sz="4" w:space="0"/>
                  </w:tcBorders>
                  <w:vAlign w:val="center"/>
                </w:tcPr>
                <w:p w14:paraId="203BE076">
                  <w:pPr>
                    <w:pStyle w:val="25"/>
                    <w:bidi w:val="0"/>
                    <w:rPr>
                      <w:rFonts w:hint="default" w:ascii="Times New Roman" w:hAnsi="Times New Roman" w:cs="Times New Roman"/>
                    </w:rPr>
                  </w:pPr>
                  <w:r>
                    <w:rPr>
                      <w:rFonts w:hint="default" w:ascii="Times New Roman" w:hAnsi="Times New Roman" w:cs="Times New Roman"/>
                    </w:rPr>
                    <w:t>资源利用效率</w:t>
                  </w:r>
                </w:p>
              </w:tc>
              <w:tc>
                <w:tcPr>
                  <w:tcW w:w="2313" w:type="pct"/>
                  <w:tcBorders>
                    <w:top w:val="single" w:color="000000" w:sz="4" w:space="0"/>
                    <w:left w:val="single" w:color="000000" w:sz="4" w:space="0"/>
                    <w:bottom w:val="single" w:color="000000" w:sz="4" w:space="0"/>
                    <w:right w:val="single" w:color="000000" w:sz="4" w:space="0"/>
                  </w:tcBorders>
                  <w:vAlign w:val="center"/>
                </w:tcPr>
                <w:p w14:paraId="14C789F0">
                  <w:pPr>
                    <w:pStyle w:val="25"/>
                    <w:bidi w:val="0"/>
                    <w:rPr>
                      <w:rFonts w:hint="default" w:ascii="Times New Roman" w:hAnsi="Times New Roman" w:cs="Times New Roman"/>
                    </w:rPr>
                  </w:pPr>
                  <w:r>
                    <w:rPr>
                      <w:rFonts w:hint="default" w:ascii="Times New Roman" w:hAnsi="Times New Roman" w:cs="Times New Roman"/>
                    </w:rPr>
                    <w:t>推进资源节约高效利用，不断提升资源利用效率。</w:t>
                  </w:r>
                </w:p>
              </w:tc>
              <w:tc>
                <w:tcPr>
                  <w:tcW w:w="1698" w:type="pct"/>
                  <w:tcBorders>
                    <w:top w:val="single" w:color="000000" w:sz="4" w:space="0"/>
                    <w:left w:val="single" w:color="000000" w:sz="4" w:space="0"/>
                    <w:bottom w:val="single" w:color="000000" w:sz="4" w:space="0"/>
                    <w:right w:val="single" w:color="000000" w:sz="4" w:space="0"/>
                  </w:tcBorders>
                  <w:vAlign w:val="center"/>
                </w:tcPr>
                <w:p w14:paraId="5D6E7403">
                  <w:pPr>
                    <w:pStyle w:val="25"/>
                    <w:bidi w:val="0"/>
                    <w:rPr>
                      <w:rFonts w:hint="default" w:ascii="Times New Roman" w:hAnsi="Times New Roman" w:cs="Times New Roman"/>
                    </w:rPr>
                  </w:pPr>
                  <w:r>
                    <w:rPr>
                      <w:rFonts w:hint="default" w:ascii="Times New Roman" w:hAnsi="Times New Roman" w:cs="Times New Roman"/>
                    </w:rPr>
                    <w:t>本项目尾水全部回用，实现污水资源化利用。</w:t>
                  </w:r>
                </w:p>
              </w:tc>
              <w:tc>
                <w:tcPr>
                  <w:tcW w:w="325" w:type="pct"/>
                  <w:tcBorders>
                    <w:top w:val="single" w:color="000000" w:sz="4" w:space="0"/>
                    <w:left w:val="single" w:color="000000" w:sz="4" w:space="0"/>
                    <w:bottom w:val="single" w:color="000000" w:sz="4" w:space="0"/>
                    <w:right w:val="single" w:color="000000" w:sz="4" w:space="0"/>
                  </w:tcBorders>
                  <w:vAlign w:val="center"/>
                </w:tcPr>
                <w:p w14:paraId="498A2327">
                  <w:pPr>
                    <w:pStyle w:val="25"/>
                    <w:bidi w:val="0"/>
                    <w:rPr>
                      <w:rFonts w:hint="default" w:ascii="Times New Roman" w:hAnsi="Times New Roman" w:cs="Times New Roman"/>
                    </w:rPr>
                  </w:pPr>
                  <w:r>
                    <w:rPr>
                      <w:rFonts w:hint="default" w:ascii="Times New Roman" w:hAnsi="Times New Roman" w:cs="Times New Roman"/>
                    </w:rPr>
                    <w:t>符合</w:t>
                  </w:r>
                </w:p>
              </w:tc>
            </w:tr>
          </w:tbl>
          <w:p w14:paraId="146C72C5">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425" w:leftChars="0" w:hanging="425" w:firstLineChars="0"/>
              <w:jc w:val="left"/>
              <w:textAlignment w:val="auto"/>
              <w:rPr>
                <w:rFonts w:hint="eastAsia" w:ascii="Times New Roman" w:hAnsi="Times New Roman" w:eastAsia="宋体" w:cs="Times New Roman"/>
                <w:b/>
                <w:bCs/>
                <w:color w:val="auto"/>
                <w:sz w:val="24"/>
                <w:highlight w:val="none"/>
                <w:lang w:val="en-US" w:eastAsia="zh-CN"/>
              </w:rPr>
            </w:pPr>
            <w:r>
              <w:rPr>
                <w:rFonts w:hint="eastAsia" w:cs="Times New Roman"/>
                <w:b/>
                <w:bCs/>
                <w:color w:val="auto"/>
                <w:kern w:val="2"/>
                <w:sz w:val="24"/>
                <w:szCs w:val="24"/>
                <w:lang w:val="en-US" w:eastAsia="zh-CN" w:bidi="ar-SA"/>
              </w:rPr>
              <w:t>1.6.5</w:t>
            </w:r>
            <w:r>
              <w:rPr>
                <w:rFonts w:hint="eastAsia" w:ascii="Times New Roman" w:hAnsi="Times New Roman" w:eastAsia="宋体" w:cs="Times New Roman"/>
                <w:b/>
                <w:bCs/>
                <w:color w:val="auto"/>
                <w:sz w:val="24"/>
                <w:highlight w:val="none"/>
                <w:lang w:val="en-US" w:eastAsia="zh-CN"/>
              </w:rPr>
              <w:t>选址合理性分析</w:t>
            </w:r>
          </w:p>
          <w:p w14:paraId="5FF09D8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本项目厂址位于库尔勒上库高新区石油石化产业园，昆玉路东侧，富强大道南侧。周围无国务院，国家有关部门和省</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自治区、直辖市</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人民政府规定的自然保护区，风景名胜区、自然保护区、世界文化和自然遗产地，也不属于基本农田保护区、基本草原、森林公园、地质公园，重要湿地、天然林、珍稀濒危野生动植物天然集中分布区、资源性缺水地区，水土流失重点防治区、沙化土地封禁保护区；不属于文物保护单位，具有特殊历史、文化、科学、民族意义的保护地；项目区卫生防护距离内周边无居民区等敏感点（本项目在一期厂址内，引用一期计算的卫生</w:t>
            </w:r>
            <w:r>
              <w:rPr>
                <w:rFonts w:hint="eastAsia" w:cs="Times New Roman"/>
                <w:color w:val="auto"/>
                <w:kern w:val="0"/>
                <w:sz w:val="24"/>
                <w:highlight w:val="none"/>
                <w:lang w:val="en-US" w:eastAsia="zh-CN"/>
              </w:rPr>
              <w:t xml:space="preserve"> </w:t>
            </w:r>
            <w:r>
              <w:rPr>
                <w:rFonts w:hint="eastAsia" w:ascii="Times New Roman" w:hAnsi="Times New Roman" w:eastAsia="宋体" w:cs="Times New Roman"/>
                <w:color w:val="auto"/>
                <w:kern w:val="0"/>
                <w:sz w:val="24"/>
                <w:highlight w:val="none"/>
                <w:lang w:val="en-US" w:eastAsia="zh-CN"/>
              </w:rPr>
              <w:t>防护距离）。用地性质为工业用地（市政设施用地），项目用地规模与建设规模相符合，满足市政、公建配套设施及生活设施的配套要求，并与周边交通、道路、通信、能源、防灾规划相衔接协调。</w:t>
            </w:r>
          </w:p>
          <w:p w14:paraId="244ED15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5BF74E1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08A91AC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4639F74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6BE17D9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3EA284E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54AE615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738822E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4DC4566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4633942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3E22DD9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1A73C94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32303F0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0F894E6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15E4AE9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39209C2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p>
          <w:p w14:paraId="1BAC483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p>
          <w:p w14:paraId="4B07EE4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p>
          <w:p w14:paraId="3C81C66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p>
          <w:p w14:paraId="28B93BE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p>
          <w:p w14:paraId="4B6D844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p>
          <w:p w14:paraId="74E5C01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p>
          <w:p w14:paraId="1A33D7B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p>
          <w:p w14:paraId="568DF3A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p>
          <w:p w14:paraId="19C256F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p>
        </w:tc>
      </w:tr>
    </w:tbl>
    <w:p w14:paraId="0F4D1CD9">
      <w:pPr>
        <w:widowControl/>
        <w:numPr>
          <w:ilvl w:val="0"/>
          <w:numId w:val="0"/>
        </w:numPr>
        <w:kinsoku w:val="0"/>
        <w:autoSpaceDE w:val="0"/>
        <w:autoSpaceDN w:val="0"/>
        <w:adjustRightInd w:val="0"/>
        <w:snapToGrid w:val="0"/>
        <w:spacing w:before="315" w:line="222" w:lineRule="auto"/>
        <w:jc w:val="left"/>
        <w:textAlignment w:val="baseline"/>
        <w:outlineLvl w:val="9"/>
        <w:rPr>
          <w:rFonts w:hint="eastAsia" w:ascii="黑体" w:hAnsi="黑体" w:eastAsia="黑体" w:cs="黑体"/>
          <w:snapToGrid w:val="0"/>
          <w:color w:val="000000"/>
          <w:spacing w:val="-2"/>
          <w:kern w:val="0"/>
          <w:sz w:val="30"/>
          <w:szCs w:val="30"/>
          <w:lang w:eastAsia="en-US"/>
        </w:rPr>
      </w:pPr>
    </w:p>
    <w:p w14:paraId="08C8AF3D">
      <w:pPr>
        <w:spacing w:line="360" w:lineRule="auto"/>
        <w:outlineLvl w:val="0"/>
        <w:rPr>
          <w:rFonts w:eastAsia="黑体"/>
          <w:sz w:val="30"/>
          <w:highlight w:val="none"/>
        </w:rPr>
        <w:sectPr>
          <w:footerReference r:id="rId8" w:type="default"/>
          <w:pgSz w:w="11906" w:h="16838"/>
          <w:pgMar w:top="1701" w:right="1531" w:bottom="1701" w:left="1531" w:header="851" w:footer="1077" w:gutter="0"/>
          <w:pgNumType w:fmt="decimal" w:start="1"/>
          <w:cols w:space="720" w:num="1"/>
          <w:docGrid w:linePitch="312" w:charSpace="0"/>
        </w:sectPr>
      </w:pPr>
    </w:p>
    <w:p w14:paraId="6FDA0233">
      <w:pPr>
        <w:widowControl/>
        <w:kinsoku w:val="0"/>
        <w:autoSpaceDE w:val="0"/>
        <w:autoSpaceDN w:val="0"/>
        <w:adjustRightInd w:val="0"/>
        <w:snapToGrid w:val="0"/>
        <w:spacing w:before="315" w:line="222" w:lineRule="auto"/>
        <w:ind w:left="3109"/>
        <w:jc w:val="left"/>
        <w:textAlignment w:val="baseline"/>
        <w:outlineLvl w:val="0"/>
        <w:rPr>
          <w:rFonts w:hint="eastAsia" w:ascii="黑体" w:hAnsi="黑体" w:eastAsia="黑体" w:cs="黑体"/>
          <w:snapToGrid w:val="0"/>
          <w:color w:val="000000"/>
          <w:spacing w:val="-2"/>
          <w:kern w:val="0"/>
          <w:sz w:val="30"/>
          <w:szCs w:val="30"/>
          <w:lang w:eastAsia="en-US"/>
        </w:rPr>
      </w:pPr>
      <w:r>
        <w:rPr>
          <w:rFonts w:hint="eastAsia" w:ascii="黑体" w:hAnsi="黑体" w:eastAsia="黑体" w:cs="黑体"/>
          <w:snapToGrid w:val="0"/>
          <w:color w:val="000000"/>
          <w:spacing w:val="-2"/>
          <w:kern w:val="0"/>
          <w:sz w:val="30"/>
          <w:szCs w:val="30"/>
          <w:lang w:val="en-US" w:eastAsia="zh-CN"/>
        </w:rPr>
        <w:t>二、</w:t>
      </w:r>
      <w:r>
        <w:rPr>
          <w:rFonts w:hint="eastAsia" w:ascii="黑体" w:hAnsi="黑体" w:eastAsia="黑体" w:cs="黑体"/>
          <w:snapToGrid w:val="0"/>
          <w:color w:val="000000"/>
          <w:spacing w:val="-2"/>
          <w:kern w:val="0"/>
          <w:sz w:val="30"/>
          <w:szCs w:val="30"/>
          <w:lang w:eastAsia="en-US"/>
        </w:rPr>
        <w:t>建设项目工程分析</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9"/>
        <w:gridCol w:w="8661"/>
      </w:tblGrid>
      <w:tr w14:paraId="2F49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 w:type="dxa"/>
            <w:vAlign w:val="center"/>
          </w:tcPr>
          <w:p w14:paraId="2A985A47">
            <w:pPr>
              <w:jc w:val="center"/>
              <w:rPr>
                <w:rFonts w:hint="default" w:eastAsia="宋体"/>
                <w:vertAlign w:val="baseline"/>
                <w:lang w:val="en-US" w:eastAsia="zh-CN"/>
              </w:rPr>
            </w:pPr>
            <w:r>
              <w:rPr>
                <w:rFonts w:hint="eastAsia"/>
                <w:vertAlign w:val="baseline"/>
                <w:lang w:val="en-US" w:eastAsia="zh-CN"/>
              </w:rPr>
              <w:t>项目基本情况</w:t>
            </w:r>
          </w:p>
        </w:tc>
        <w:tc>
          <w:tcPr>
            <w:tcW w:w="8661" w:type="dxa"/>
          </w:tcPr>
          <w:p w14:paraId="1EE843A8">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425" w:leftChars="0" w:hanging="425" w:firstLineChars="0"/>
              <w:jc w:val="left"/>
              <w:textAlignment w:val="auto"/>
              <w:rPr>
                <w:rFonts w:hint="eastAsia" w:ascii="Times New Roman" w:hAnsi="Times New Roman" w:eastAsia="宋体" w:cs="Times New Roman"/>
                <w:b/>
                <w:bCs/>
                <w:color w:val="auto"/>
                <w:sz w:val="24"/>
                <w:highlight w:val="none"/>
                <w:lang w:val="en-US" w:eastAsia="zh-CN"/>
              </w:rPr>
            </w:pPr>
            <w:r>
              <w:rPr>
                <w:rFonts w:hint="eastAsia" w:cs="Times New Roman"/>
                <w:b/>
                <w:bCs/>
                <w:color w:val="auto"/>
                <w:kern w:val="2"/>
                <w:sz w:val="24"/>
                <w:szCs w:val="24"/>
                <w:lang w:val="en-US" w:eastAsia="zh-CN" w:bidi="ar-SA"/>
              </w:rPr>
              <w:t>2.</w:t>
            </w:r>
            <w:r>
              <w:rPr>
                <w:rFonts w:hint="default" w:ascii="Times New Roman" w:hAnsi="Times New Roman" w:eastAsia="宋体" w:cs="Times New Roman"/>
                <w:b/>
                <w:bCs/>
                <w:color w:val="auto"/>
                <w:kern w:val="2"/>
                <w:sz w:val="24"/>
                <w:szCs w:val="24"/>
                <w:lang w:val="en-US" w:eastAsia="zh-CN" w:bidi="ar-SA"/>
              </w:rPr>
              <w:t>1</w:t>
            </w:r>
            <w:r>
              <w:rPr>
                <w:rFonts w:hint="eastAsia" w:ascii="Times New Roman" w:hAnsi="Times New Roman" w:eastAsia="宋体" w:cs="Times New Roman"/>
                <w:b/>
                <w:bCs/>
                <w:color w:val="auto"/>
                <w:sz w:val="24"/>
                <w:highlight w:val="none"/>
                <w:lang w:val="en-US" w:eastAsia="zh-CN"/>
              </w:rPr>
              <w:t>项目背景</w:t>
            </w:r>
          </w:p>
          <w:p w14:paraId="483A8F1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随着上库石油石化产业园建设规模的不断扩大，入驻园区企业的不断增加，园区人口逐渐增加。截至2026年7月，园区内已有163家企业。作为一个以工业为主导的园区，其人口主要由近2万名企业职工构成，并已形成了一定规模的配套生活区。上库石油石化产业园产业小镇南侧现有生活污水厂采用MBR工艺，耗能大，不符合国家节能降碳的发展战略</w:t>
            </w:r>
            <w:r>
              <w:rPr>
                <w:rFonts w:hint="eastAsia" w:ascii="Times New Roman" w:hAnsi="Times New Roman" w:eastAsia="宋体"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上库石油石化产业园产业小镇南侧</w:t>
            </w:r>
            <w:r>
              <w:rPr>
                <w:rFonts w:hint="eastAsia" w:ascii="Times New Roman" w:hAnsi="Times New Roman" w:eastAsia="宋体" w:cs="Times New Roman"/>
                <w:color w:val="auto"/>
                <w:kern w:val="0"/>
                <w:sz w:val="24"/>
                <w:highlight w:val="none"/>
                <w:lang w:val="en-US" w:eastAsia="zh-CN"/>
              </w:rPr>
              <w:t>现有</w:t>
            </w:r>
            <w:r>
              <w:rPr>
                <w:rFonts w:hint="default" w:ascii="Times New Roman" w:hAnsi="Times New Roman" w:eastAsia="宋体" w:cs="Times New Roman"/>
                <w:color w:val="auto"/>
                <w:kern w:val="0"/>
                <w:sz w:val="24"/>
                <w:highlight w:val="none"/>
                <w:lang w:val="en-US" w:eastAsia="zh-CN"/>
              </w:rPr>
              <w:t>生活污水厂采用MBR工艺，耗能大，不符合国家节能降碳的发展战略。</w:t>
            </w:r>
          </w:p>
          <w:p w14:paraId="6206343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在此背景下，库尔勒市住房和城乡建设局计划在现有生活污水处理厂（一期工程，生活污水处理能力500m</w:t>
            </w:r>
            <w:r>
              <w:rPr>
                <w:rFonts w:hint="eastAsia"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en-US" w:eastAsia="zh-CN"/>
              </w:rPr>
              <w:t>/d，已建，目前低负荷运行）厂区内建设日处理能力为2500m</w:t>
            </w:r>
            <w:r>
              <w:rPr>
                <w:rFonts w:hint="eastAsia"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en-US" w:eastAsia="zh-CN"/>
              </w:rPr>
              <w:t>/d污水处理厂（二期工程，即本项目），建成后全厂（一期+二期）污水处理总规模可达到3000m</w:t>
            </w:r>
            <w:r>
              <w:rPr>
                <w:rFonts w:hint="eastAsia"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en-US" w:eastAsia="zh-CN"/>
              </w:rPr>
              <w:t>/d。一期工程与本项目在同一厂区内建设，一期工程部分构（建）筑物及设施设备在本项目中予以利旧</w:t>
            </w:r>
            <w:r>
              <w:rPr>
                <w:rFonts w:hint="eastAsia" w:ascii="Times New Roman" w:hAnsi="Times New Roman" w:eastAsia="宋体" w:cs="Times New Roman"/>
                <w:color w:val="auto"/>
                <w:kern w:val="0"/>
                <w:sz w:val="24"/>
                <w:highlight w:val="none"/>
                <w:lang w:val="en-US" w:eastAsia="zh-CN"/>
              </w:rPr>
              <w:t>。</w:t>
            </w:r>
          </w:p>
          <w:p w14:paraId="62ECB3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jc w:val="left"/>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kern w:val="2"/>
                <w:sz w:val="24"/>
                <w:szCs w:val="24"/>
                <w:lang w:val="en-US" w:eastAsia="zh-CN" w:bidi="ar-SA"/>
              </w:rPr>
              <w:t>2.</w:t>
            </w:r>
            <w:r>
              <w:rPr>
                <w:rFonts w:hint="eastAsia" w:cs="Times New Roman"/>
                <w:b/>
                <w:bCs/>
                <w:color w:val="auto"/>
                <w:kern w:val="2"/>
                <w:sz w:val="24"/>
                <w:szCs w:val="24"/>
                <w:lang w:val="en-US" w:eastAsia="zh-CN" w:bidi="ar-SA"/>
              </w:rPr>
              <w:t>2</w:t>
            </w:r>
            <w:r>
              <w:rPr>
                <w:rFonts w:hint="default" w:ascii="Times New Roman" w:hAnsi="Times New Roman" w:eastAsia="宋体" w:cs="Times New Roman"/>
                <w:b/>
                <w:bCs/>
                <w:color w:val="auto"/>
                <w:sz w:val="24"/>
                <w:highlight w:val="none"/>
                <w:lang w:val="en-US" w:eastAsia="zh-CN"/>
              </w:rPr>
              <w:t>项目建设内容</w:t>
            </w:r>
          </w:p>
          <w:p w14:paraId="1C586822">
            <w:pPr>
              <w:keepNext w:val="0"/>
              <w:keepLines w:val="0"/>
              <w:pageBreakBefore w:val="0"/>
              <w:widowControl w:val="0"/>
              <w:kinsoku/>
              <w:wordWrap/>
              <w:overflowPunct/>
              <w:topLinePunct w:val="0"/>
              <w:autoSpaceDE/>
              <w:autoSpaceDN/>
              <w:bidi w:val="0"/>
              <w:spacing w:line="360" w:lineRule="auto"/>
              <w:ind w:firstLine="482" w:firstLineChars="200"/>
              <w:jc w:val="left"/>
              <w:textAlignment w:val="auto"/>
              <w:rPr>
                <w:rFonts w:hint="default" w:ascii="Times New Roman" w:hAnsi="Times New Roman" w:eastAsia="宋体" w:cs="Times New Roman"/>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项目名称：</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库尔勒市西城区生活污水处理厂项目</w:t>
            </w:r>
          </w:p>
          <w:p w14:paraId="438EFA2F">
            <w:pPr>
              <w:keepNext w:val="0"/>
              <w:keepLines w:val="0"/>
              <w:pageBreakBefore w:val="0"/>
              <w:widowControl w:val="0"/>
              <w:kinsoku/>
              <w:wordWrap/>
              <w:overflowPunct/>
              <w:topLinePunct w:val="0"/>
              <w:autoSpaceDE/>
              <w:autoSpaceDN/>
              <w:bidi w:val="0"/>
              <w:spacing w:line="360" w:lineRule="auto"/>
              <w:ind w:firstLine="482" w:firstLineChars="200"/>
              <w:jc w:val="left"/>
              <w:textAlignment w:val="auto"/>
              <w:rPr>
                <w:rFonts w:hint="default" w:ascii="Times New Roman" w:hAnsi="Times New Roman" w:eastAsia="宋体" w:cs="Times New Roman"/>
                <w:bCs/>
                <w:color w:val="000000" w:themeColor="text1"/>
                <w:sz w:val="24"/>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建设单位：</w:t>
            </w: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库尔勒市住房和城乡建设局</w:t>
            </w:r>
          </w:p>
          <w:p w14:paraId="63572D05">
            <w:pPr>
              <w:keepNext w:val="0"/>
              <w:keepLines w:val="0"/>
              <w:pageBreakBefore w:val="0"/>
              <w:widowControl w:val="0"/>
              <w:kinsoku/>
              <w:wordWrap/>
              <w:overflowPunct/>
              <w:topLinePunct w:val="0"/>
              <w:autoSpaceDE/>
              <w:autoSpaceDN/>
              <w:bidi w:val="0"/>
              <w:spacing w:line="360" w:lineRule="auto"/>
              <w:ind w:firstLine="482" w:firstLineChars="200"/>
              <w:jc w:val="left"/>
              <w:textAlignment w:val="auto"/>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建设性质：</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新</w:t>
            </w: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建</w:t>
            </w:r>
          </w:p>
          <w:p w14:paraId="430FF44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建设地点：</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项目</w:t>
            </w:r>
            <w:r>
              <w:rPr>
                <w:rFonts w:hint="eastAsia" w:ascii="Times New Roman" w:hAnsi="Times New Roman" w:eastAsia="宋体" w:cs="Times New Roman"/>
                <w:color w:val="000000" w:themeColor="text1"/>
                <w:sz w:val="24"/>
                <w:szCs w:val="24"/>
                <w:highlight w:val="none"/>
                <w14:textFill>
                  <w14:solidFill>
                    <w14:schemeClr w14:val="tx1"/>
                  </w14:solidFill>
                </w14:textFill>
              </w:rPr>
              <w:t>位于</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新疆维吾尔自治区库尔勒市</w:t>
            </w:r>
            <w:r>
              <w:rPr>
                <w:rFonts w:hint="eastAsia" w:ascii="Times New Roman" w:hAnsi="Times New Roman" w:eastAsia="宋体" w:cs="Times New Roman"/>
                <w:color w:val="000000" w:themeColor="text1"/>
                <w:sz w:val="24"/>
                <w:szCs w:val="24"/>
                <w:highlight w:val="none"/>
                <w14:textFill>
                  <w14:solidFill>
                    <w14:schemeClr w14:val="tx1"/>
                  </w14:solidFill>
                </w14:textFill>
              </w:rPr>
              <w:t>上库高新区石油石化产业园昆玉路</w:t>
            </w:r>
            <w:r>
              <w:rPr>
                <w:rFonts w:hint="eastAsia" w:cs="Times New Roman"/>
                <w:color w:val="000000" w:themeColor="text1"/>
                <w:sz w:val="24"/>
                <w:szCs w:val="24"/>
                <w:highlight w:val="none"/>
                <w:lang w:val="en-US" w:eastAsia="zh-CN"/>
                <w14:textFill>
                  <w14:solidFill>
                    <w14:schemeClr w14:val="tx1"/>
                  </w14:solidFill>
                </w14:textFill>
              </w:rPr>
              <w:t>东</w:t>
            </w:r>
            <w:r>
              <w:rPr>
                <w:rFonts w:hint="eastAsia" w:ascii="Times New Roman" w:hAnsi="Times New Roman" w:eastAsia="宋体" w:cs="Times New Roman"/>
                <w:color w:val="000000" w:themeColor="text1"/>
                <w:sz w:val="24"/>
                <w:szCs w:val="24"/>
                <w:highlight w:val="none"/>
                <w14:textFill>
                  <w14:solidFill>
                    <w14:schemeClr w14:val="tx1"/>
                  </w14:solidFill>
                </w14:textFill>
              </w:rPr>
              <w:t>侧，富强大道南侧。</w:t>
            </w:r>
            <w:r>
              <w:rPr>
                <w:rFonts w:hint="default" w:ascii="Times New Roman" w:hAnsi="Times New Roman" w:eastAsia="宋体" w:cs="Times New Roman"/>
                <w:bCs/>
                <w:color w:val="000000" w:themeColor="text1"/>
                <w:sz w:val="24"/>
                <w:highlight w:val="none"/>
                <w14:textFill>
                  <w14:solidFill>
                    <w14:schemeClr w14:val="tx1"/>
                  </w14:solidFill>
                </w14:textFill>
              </w:rPr>
              <w:t>项目地理位置图见附图</w:t>
            </w:r>
            <w:r>
              <w:rPr>
                <w:rFonts w:hint="eastAsia" w:cs="Times New Roman"/>
                <w:bCs/>
                <w:color w:val="000000" w:themeColor="text1"/>
                <w:sz w:val="24"/>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4"/>
                <w:szCs w:val="24"/>
                <w:highlight w:val="none"/>
                <w14:textFill>
                  <w14:solidFill>
                    <w14:schemeClr w14:val="tx1"/>
                  </w14:solidFill>
                </w14:textFill>
              </w:rPr>
              <w:t>。</w:t>
            </w:r>
          </w:p>
          <w:p w14:paraId="29F1DFCD">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建设内容及规模：</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本项目为库尔勒市西城区生活污水处理厂项目</w:t>
            </w:r>
            <w:r>
              <w:rPr>
                <w:rFonts w:hint="eastAsia" w:cs="Times New Roman"/>
                <w:color w:val="000000" w:themeColor="text1"/>
                <w:kern w:val="0"/>
                <w:sz w:val="24"/>
                <w:szCs w:val="24"/>
                <w:highlight w:val="none"/>
                <w:lang w:val="en-US" w:eastAsia="zh-CN" w:bidi="ar"/>
                <w14:textFill>
                  <w14:solidFill>
                    <w14:schemeClr w14:val="tx1"/>
                  </w14:solidFill>
                </w14:textFill>
              </w:rPr>
              <w:t>（本次环评评价对象仅为污水处理厂及配套管网工程，不包含“中水库”的建设内容）</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，主要</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建设</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内容为：</w:t>
            </w:r>
          </w:p>
          <w:p w14:paraId="426D39A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新建日处理能力为</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2500m</w:t>
            </w:r>
            <w:r>
              <w:rPr>
                <w:rFonts w:hint="default"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/d</w:t>
            </w:r>
            <w:r>
              <w:rPr>
                <w:rFonts w:hint="default" w:ascii="Times New Roman" w:hAnsi="Times New Roman" w:eastAsia="宋体" w:cs="Times New Roman"/>
                <w:color w:val="000000" w:themeColor="text1"/>
                <w:sz w:val="24"/>
                <w:szCs w:val="24"/>
                <w:highlight w:val="none"/>
                <w14:textFill>
                  <w14:solidFill>
                    <w14:schemeClr w14:val="tx1"/>
                  </w14:solidFill>
                </w14:textFill>
              </w:rPr>
              <w:t>的</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生活</w:t>
            </w:r>
            <w:r>
              <w:rPr>
                <w:rFonts w:hint="default" w:ascii="Times New Roman" w:hAnsi="Times New Roman" w:eastAsia="宋体" w:cs="Times New Roman"/>
                <w:color w:val="000000" w:themeColor="text1"/>
                <w:sz w:val="24"/>
                <w:szCs w:val="24"/>
                <w:highlight w:val="none"/>
                <w14:textFill>
                  <w14:solidFill>
                    <w14:schemeClr w14:val="tx1"/>
                  </w14:solidFill>
                </w14:textFill>
              </w:rPr>
              <w:t>污水</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处理厂</w:t>
            </w:r>
            <w:r>
              <w:rPr>
                <w:rFonts w:hint="default" w:ascii="Times New Roman" w:hAnsi="Times New Roman" w:eastAsia="宋体" w:cs="Times New Roman"/>
                <w:color w:val="000000" w:themeColor="text1"/>
                <w:sz w:val="24"/>
                <w:szCs w:val="24"/>
                <w:highlight w:val="none"/>
                <w14:textFill>
                  <w14:solidFill>
                    <w14:schemeClr w14:val="tx1"/>
                  </w14:solidFill>
                </w14:textFill>
              </w:rPr>
              <w:t>一座</w:t>
            </w:r>
            <w:r>
              <w:rPr>
                <w:rFonts w:hint="eastAsia"/>
                <w:lang w:eastAsia="zh-CN"/>
              </w:rPr>
              <w:t>，</w:t>
            </w:r>
            <w:r>
              <w:rPr>
                <w:rFonts w:hint="eastAsia"/>
                <w:sz w:val="24"/>
                <w:szCs w:val="24"/>
                <w:lang w:val="en-US" w:eastAsia="zh-CN"/>
              </w:rPr>
              <w:t>主要收集上库高新区石油石化产业园生活污水，设计服务年限为2026年-2035年。污水处理工艺为粗栅格（利旧）+细栅格（利旧）+调节池（现状改造）+旋流除砂器+生物池+二沉池+高效沉淀池及滤池+消毒；污泥采用板框脱水机脱水，脱水后污泥含水率≤60%，建设项目平面布置图详见附图6。</w:t>
            </w:r>
          </w:p>
          <w:p w14:paraId="259F3C5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3BFC315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（2）配套污水输送及再生水管道</w:t>
            </w:r>
          </w:p>
          <w:p w14:paraId="153A253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①污水收集管道</w:t>
            </w:r>
          </w:p>
          <w:p w14:paraId="0D38F79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配套建设厂外污水收集管道约2350m（HDPE双壁波纹管DN300）：自乙烯大道与昆玉路交口东北侧现状污水井，沿昆玉路东侧绿化带自北向南，至中泰大道与昆玉路交口东南侧现状污水井</w:t>
            </w:r>
            <w:r>
              <w:rPr>
                <w:rFonts w:hint="eastAsia" w:cs="Times New Roman"/>
                <w:color w:val="000000" w:themeColor="text1"/>
                <w:kern w:val="0"/>
                <w:sz w:val="24"/>
                <w:szCs w:val="24"/>
                <w:highlight w:val="none"/>
                <w:lang w:val="en-US" w:eastAsia="zh-CN" w:bidi="ar"/>
                <w14:textFill>
                  <w14:solidFill>
                    <w14:schemeClr w14:val="tx1"/>
                  </w14:solidFill>
                </w14:textFill>
              </w:rPr>
              <w:t>。污水收集管道总平面图详见附图7</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176F4CC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②再生水管道</w:t>
            </w:r>
          </w:p>
          <w:p w14:paraId="44DCAB2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配套建设再生水管道约8481m（聚乙烯管DN300）：其中一条自本工程新建污水处理厂尾水提升泵，经由富强大道南侧绿化带、昆玉路西侧绿化带、民主大道南侧绿化带，至上和恒瑞环境有限公司，另一条自本工程新建污水处理厂尾水提升泵，经由富强大道南侧绿化带、樱花路西侧绿化带、中泰大道北侧绿化带，至园区现状中水库。</w:t>
            </w:r>
            <w:r>
              <w:rPr>
                <w:rFonts w:hint="eastAsia" w:cs="Times New Roman"/>
                <w:color w:val="000000" w:themeColor="text1"/>
                <w:kern w:val="0"/>
                <w:sz w:val="24"/>
                <w:szCs w:val="24"/>
                <w:highlight w:val="none"/>
                <w:lang w:val="en-US" w:eastAsia="zh-CN" w:bidi="ar"/>
                <w14:textFill>
                  <w14:solidFill>
                    <w14:schemeClr w14:val="tx1"/>
                  </w14:solidFill>
                </w14:textFill>
              </w:rPr>
              <w:t>再生水管道总平面图详见附图8。</w:t>
            </w:r>
          </w:p>
          <w:p w14:paraId="1A822D9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cs="Times New Roman"/>
                <w:color w:val="000000" w:themeColor="text1"/>
                <w:kern w:val="0"/>
                <w:sz w:val="24"/>
                <w:szCs w:val="24"/>
                <w:highlight w:val="none"/>
                <w:lang w:val="en-US" w:eastAsia="zh-CN" w:bidi="ar"/>
                <w14:textFill>
                  <w14:solidFill>
                    <w14:schemeClr w14:val="tx1"/>
                  </w14:solidFill>
                </w14:textFill>
              </w:rPr>
            </w:pPr>
            <w:r>
              <w:rPr>
                <w:rFonts w:hint="eastAsia" w:cs="Times New Roman"/>
                <w:color w:val="000000" w:themeColor="text1"/>
                <w:kern w:val="0"/>
                <w:sz w:val="24"/>
                <w:szCs w:val="24"/>
                <w:highlight w:val="none"/>
                <w:lang w:val="en-US" w:eastAsia="zh-CN" w:bidi="ar"/>
                <w14:textFill>
                  <w14:solidFill>
                    <w14:schemeClr w14:val="tx1"/>
                  </w14:solidFill>
                </w14:textFill>
              </w:rPr>
              <w:t>污水收集管道与再生水管道现场分布图详见附图9。</w:t>
            </w:r>
          </w:p>
          <w:p w14:paraId="4B3CD07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项目建设内容及组成见表</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w:t>
            </w:r>
            <w:r>
              <w:rPr>
                <w:rFonts w:hint="eastAsia" w:cs="Times New Roman"/>
                <w:color w:val="000000" w:themeColor="text1"/>
                <w:kern w:val="0"/>
                <w:sz w:val="24"/>
                <w:szCs w:val="24"/>
                <w:highlight w:val="none"/>
                <w:lang w:val="en-US" w:eastAsia="zh-CN" w:bidi="ar"/>
                <w14:textFill>
                  <w14:solidFill>
                    <w14:schemeClr w14:val="tx1"/>
                  </w14:solidFill>
                </w14:textFill>
              </w:rPr>
              <w:t>：</w:t>
            </w:r>
          </w:p>
          <w:p w14:paraId="61161093">
            <w:pPr>
              <w:pStyle w:val="23"/>
              <w:bidi w:val="0"/>
            </w:pPr>
            <w:r>
              <w:t>表</w:t>
            </w:r>
            <w:r>
              <w:fldChar w:fldCharType="begin"/>
            </w:r>
            <w:r>
              <w:instrText xml:space="preserve"> STYLEREF 1 \s \* ARABIC </w:instrText>
            </w:r>
            <w:r>
              <w:fldChar w:fldCharType="separate"/>
            </w:r>
            <w:r>
              <w:t>2</w:t>
            </w:r>
            <w:r>
              <w:fldChar w:fldCharType="end"/>
            </w:r>
            <w:r>
              <w:rPr>
                <w:rFonts w:hint="eastAsia"/>
                <w:lang w:eastAsia="zh-CN"/>
              </w:rPr>
              <w:t>-</w:t>
            </w:r>
            <w:r>
              <w:fldChar w:fldCharType="begin"/>
            </w:r>
            <w:r>
              <w:instrText xml:space="preserve"> SEQ 表 \* ARABIC \s 1 </w:instrText>
            </w:r>
            <w:r>
              <w:fldChar w:fldCharType="separate"/>
            </w:r>
            <w:r>
              <w:t>1</w:t>
            </w:r>
            <w:r>
              <w:fldChar w:fldCharType="end"/>
            </w:r>
            <w:r>
              <w:rPr>
                <w:rFonts w:hint="eastAsia"/>
                <w:lang w:eastAsia="zh-CN"/>
              </w:rPr>
              <w:t>项目建设内容一览表</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427"/>
              <w:gridCol w:w="584"/>
              <w:gridCol w:w="1348"/>
              <w:gridCol w:w="4285"/>
              <w:gridCol w:w="1099"/>
            </w:tblGrid>
            <w:tr w14:paraId="6FE0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7" w:type="pct"/>
                  <w:gridSpan w:val="4"/>
                  <w:noWrap w:val="0"/>
                  <w:vAlign w:val="center"/>
                </w:tcPr>
                <w:p w14:paraId="4F261B2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工程类别</w:t>
                  </w:r>
                </w:p>
              </w:tc>
              <w:tc>
                <w:tcPr>
                  <w:tcW w:w="2540" w:type="pct"/>
                  <w:noWrap w:val="0"/>
                  <w:vAlign w:val="center"/>
                </w:tcPr>
                <w:p w14:paraId="302C371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建设内容</w:t>
                  </w:r>
                </w:p>
              </w:tc>
              <w:tc>
                <w:tcPr>
                  <w:tcW w:w="651" w:type="pct"/>
                  <w:noWrap w:val="0"/>
                  <w:vAlign w:val="center"/>
                </w:tcPr>
                <w:p w14:paraId="6CEF6E1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备注</w:t>
                  </w:r>
                </w:p>
              </w:tc>
            </w:tr>
            <w:tr w14:paraId="5B90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 w:type="pct"/>
                  <w:vMerge w:val="restart"/>
                  <w:noWrap w:val="0"/>
                  <w:vAlign w:val="center"/>
                </w:tcPr>
                <w:p w14:paraId="278724A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主体工程</w:t>
                  </w:r>
                </w:p>
              </w:tc>
              <w:tc>
                <w:tcPr>
                  <w:tcW w:w="253" w:type="pct"/>
                  <w:vMerge w:val="restart"/>
                  <w:noWrap w:val="0"/>
                  <w:vAlign w:val="center"/>
                </w:tcPr>
                <w:p w14:paraId="67C91B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污水处理厂</w:t>
                  </w:r>
                </w:p>
              </w:tc>
              <w:tc>
                <w:tcPr>
                  <w:tcW w:w="346" w:type="pct"/>
                  <w:vMerge w:val="restart"/>
                  <w:noWrap w:val="0"/>
                  <w:vAlign w:val="center"/>
                </w:tcPr>
                <w:p w14:paraId="7326B9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预处理</w:t>
                  </w:r>
                </w:p>
              </w:tc>
              <w:tc>
                <w:tcPr>
                  <w:tcW w:w="799" w:type="pct"/>
                  <w:noWrap w:val="0"/>
                  <w:vAlign w:val="center"/>
                </w:tcPr>
                <w:p w14:paraId="088727D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一期</w:t>
                  </w:r>
                  <w:r>
                    <w:rPr>
                      <w:rFonts w:hint="default" w:ascii="Times New Roman" w:hAnsi="Times New Roman" w:eastAsia="宋体" w:cs="Times New Roman"/>
                      <w:color w:val="auto"/>
                      <w:sz w:val="21"/>
                      <w:szCs w:val="21"/>
                      <w:highlight w:val="none"/>
                      <w:lang w:val="en-US" w:eastAsia="zh-CN"/>
                    </w:rPr>
                    <w:t>格栅间</w:t>
                  </w:r>
                </w:p>
              </w:tc>
              <w:tc>
                <w:tcPr>
                  <w:tcW w:w="2540" w:type="pct"/>
                  <w:noWrap w:val="0"/>
                  <w:vAlign w:val="center"/>
                </w:tcPr>
                <w:p w14:paraId="24C16D8B">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数量：1座，包括粗格栅、细格栅</w:t>
                  </w:r>
                </w:p>
                <w:p w14:paraId="7F7B7CF9">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池体：地下式钢筋砼结构</w:t>
                  </w:r>
                </w:p>
                <w:p w14:paraId="139B9DF4">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设计流量</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6480m</w:t>
                  </w:r>
                  <w:r>
                    <w:rPr>
                      <w:rFonts w:hint="default" w:ascii="Times New Roman" w:hAnsi="Times New Roman" w:eastAsia="宋体" w:cs="Times New Roman"/>
                      <w:color w:val="auto"/>
                      <w:kern w:val="0"/>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/d</w:t>
                  </w:r>
                </w:p>
              </w:tc>
              <w:tc>
                <w:tcPr>
                  <w:tcW w:w="651" w:type="pct"/>
                  <w:noWrap w:val="0"/>
                  <w:vAlign w:val="center"/>
                </w:tcPr>
                <w:p w14:paraId="5A77F6B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改造</w:t>
                  </w:r>
                  <w:r>
                    <w:rPr>
                      <w:rFonts w:hint="default" w:ascii="Times New Roman" w:hAnsi="Times New Roman" w:eastAsia="宋体" w:cs="Times New Roman"/>
                      <w:color w:val="auto"/>
                      <w:sz w:val="21"/>
                      <w:szCs w:val="21"/>
                      <w:highlight w:val="none"/>
                      <w:lang w:val="en-US" w:eastAsia="zh-CN"/>
                    </w:rPr>
                    <w:t>利旧</w:t>
                  </w:r>
                </w:p>
              </w:tc>
            </w:tr>
            <w:tr w14:paraId="4EB8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jc w:val="center"/>
              </w:trPr>
              <w:tc>
                <w:tcPr>
                  <w:tcW w:w="408" w:type="pct"/>
                  <w:vMerge w:val="continue"/>
                  <w:noWrap w:val="0"/>
                  <w:vAlign w:val="center"/>
                </w:tcPr>
                <w:p w14:paraId="5BD4A4B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253" w:type="pct"/>
                  <w:vMerge w:val="continue"/>
                  <w:noWrap w:val="0"/>
                  <w:vAlign w:val="center"/>
                </w:tcPr>
                <w:p w14:paraId="6A2A2B0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346" w:type="pct"/>
                  <w:vMerge w:val="continue"/>
                  <w:noWrap w:val="0"/>
                  <w:vAlign w:val="center"/>
                </w:tcPr>
                <w:p w14:paraId="1F95C96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799" w:type="pct"/>
                  <w:noWrap w:val="0"/>
                  <w:vAlign w:val="center"/>
                </w:tcPr>
                <w:p w14:paraId="660BB10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一期</w:t>
                  </w:r>
                  <w:r>
                    <w:rPr>
                      <w:rFonts w:hint="default" w:ascii="Times New Roman" w:hAnsi="Times New Roman" w:eastAsia="宋体" w:cs="Times New Roman"/>
                      <w:color w:val="auto"/>
                      <w:sz w:val="21"/>
                      <w:szCs w:val="21"/>
                      <w:highlight w:val="none"/>
                      <w:lang w:val="en-US" w:eastAsia="zh-CN"/>
                    </w:rPr>
                    <w:t>调节池</w:t>
                  </w:r>
                </w:p>
              </w:tc>
              <w:tc>
                <w:tcPr>
                  <w:tcW w:w="2540" w:type="pct"/>
                  <w:noWrap w:val="0"/>
                  <w:vAlign w:val="center"/>
                </w:tcPr>
                <w:p w14:paraId="6AA676BD">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数量：1座，在现有调节池进水段增设一道隔墙，构造出一闭合空间作为提升泵池，来自格栅间的污水在泵池内经提升后进入后续调节池。此外，在调节池和现有厌缺氧池之间增加连通管，将现有厌缺氧池也作为调节池利用。</w:t>
                  </w:r>
                </w:p>
                <w:p w14:paraId="5D307DD9">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池体：地下式钢筋砼结构</w:t>
                  </w:r>
                </w:p>
                <w:p w14:paraId="0AF9DAF7">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设计流量：3000m</w:t>
                  </w:r>
                  <w:r>
                    <w:rPr>
                      <w:rFonts w:hint="default" w:ascii="Times New Roman" w:hAnsi="Times New Roman" w:eastAsia="宋体" w:cs="Times New Roman"/>
                      <w:color w:val="auto"/>
                      <w:kern w:val="0"/>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/d</w:t>
                  </w:r>
                </w:p>
                <w:p w14:paraId="20CE5C97">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停留时间：T=7.28h。</w:t>
                  </w:r>
                </w:p>
              </w:tc>
              <w:tc>
                <w:tcPr>
                  <w:tcW w:w="651" w:type="pct"/>
                  <w:noWrap w:val="0"/>
                  <w:vAlign w:val="center"/>
                </w:tcPr>
                <w:p w14:paraId="484C53C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改造利旧</w:t>
                  </w:r>
                </w:p>
              </w:tc>
            </w:tr>
            <w:tr w14:paraId="2658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8" w:type="pct"/>
                  <w:vMerge w:val="continue"/>
                  <w:noWrap w:val="0"/>
                  <w:vAlign w:val="center"/>
                </w:tcPr>
                <w:p w14:paraId="7C2106B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253" w:type="pct"/>
                  <w:vMerge w:val="continue"/>
                  <w:noWrap w:val="0"/>
                  <w:vAlign w:val="center"/>
                </w:tcPr>
                <w:p w14:paraId="668B79B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346" w:type="pct"/>
                  <w:vMerge w:val="continue"/>
                  <w:noWrap w:val="0"/>
                  <w:vAlign w:val="center"/>
                </w:tcPr>
                <w:p w14:paraId="4337E69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799" w:type="pct"/>
                  <w:noWrap w:val="0"/>
                  <w:vAlign w:val="center"/>
                </w:tcPr>
                <w:p w14:paraId="2ED7C67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旋流除砂间</w:t>
                  </w:r>
                </w:p>
              </w:tc>
              <w:tc>
                <w:tcPr>
                  <w:tcW w:w="2540" w:type="pct"/>
                  <w:noWrap w:val="0"/>
                  <w:vAlign w:val="center"/>
                </w:tcPr>
                <w:p w14:paraId="2F03924C">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池数：2座，水头损失：&lt;0.3m</w:t>
                  </w:r>
                </w:p>
                <w:p w14:paraId="22893475">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设计流量：Q=3000×1.25=3750m</w:t>
                  </w:r>
                  <w:r>
                    <w:rPr>
                      <w:rFonts w:hint="default" w:ascii="Times New Roman" w:hAnsi="Times New Roman" w:eastAsia="宋体" w:cs="Times New Roman"/>
                      <w:color w:val="auto"/>
                      <w:kern w:val="0"/>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/d</w:t>
                  </w:r>
                </w:p>
              </w:tc>
              <w:tc>
                <w:tcPr>
                  <w:tcW w:w="651" w:type="pct"/>
                  <w:noWrap w:val="0"/>
                  <w:vAlign w:val="center"/>
                </w:tcPr>
                <w:p w14:paraId="372CA63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14:paraId="1DBFB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8" w:type="pct"/>
                  <w:vMerge w:val="continue"/>
                  <w:noWrap w:val="0"/>
                  <w:vAlign w:val="center"/>
                </w:tcPr>
                <w:p w14:paraId="388A6E9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253" w:type="pct"/>
                  <w:vMerge w:val="continue"/>
                  <w:noWrap w:val="0"/>
                  <w:vAlign w:val="center"/>
                </w:tcPr>
                <w:p w14:paraId="53A5984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346" w:type="pct"/>
                  <w:vMerge w:val="restart"/>
                  <w:noWrap w:val="0"/>
                  <w:vAlign w:val="center"/>
                </w:tcPr>
                <w:p w14:paraId="34DF971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生化处理</w:t>
                  </w:r>
                </w:p>
              </w:tc>
              <w:tc>
                <w:tcPr>
                  <w:tcW w:w="799" w:type="pct"/>
                  <w:noWrap w:val="0"/>
                  <w:vAlign w:val="center"/>
                </w:tcPr>
                <w:p w14:paraId="1C0B4BD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一期</w:t>
                  </w:r>
                  <w:r>
                    <w:rPr>
                      <w:rFonts w:hint="default" w:ascii="Times New Roman" w:hAnsi="Times New Roman" w:eastAsia="宋体" w:cs="Times New Roman"/>
                      <w:color w:val="auto"/>
                      <w:sz w:val="21"/>
                      <w:szCs w:val="21"/>
                      <w:highlight w:val="none"/>
                      <w:lang w:val="en-US" w:eastAsia="zh-CN"/>
                    </w:rPr>
                    <w:t>MBR膜池</w:t>
                  </w:r>
                </w:p>
              </w:tc>
              <w:tc>
                <w:tcPr>
                  <w:tcW w:w="2540" w:type="pct"/>
                  <w:noWrap w:val="0"/>
                  <w:vAlign w:val="center"/>
                </w:tcPr>
                <w:p w14:paraId="1824BCEC">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建筑面积：549.78m</w:t>
                  </w:r>
                  <w:r>
                    <w:rPr>
                      <w:rFonts w:hint="default" w:ascii="Times New Roman" w:hAnsi="Times New Roman" w:eastAsia="宋体" w:cs="Times New Roman"/>
                      <w:color w:val="auto"/>
                      <w:sz w:val="21"/>
                      <w:szCs w:val="21"/>
                      <w:highlight w:val="none"/>
                      <w:vertAlign w:val="superscript"/>
                      <w:lang w:val="en-US" w:eastAsia="zh-CN"/>
                    </w:rPr>
                    <w:t>2</w:t>
                  </w:r>
                </w:p>
              </w:tc>
              <w:tc>
                <w:tcPr>
                  <w:tcW w:w="651" w:type="pct"/>
                  <w:noWrap w:val="0"/>
                  <w:vAlign w:val="center"/>
                </w:tcPr>
                <w:p w14:paraId="73A9236C">
                  <w:pPr>
                    <w:pStyle w:val="9"/>
                    <w:rPr>
                      <w:rFonts w:hint="default" w:ascii="Times New Roman" w:hAnsi="Times New Roman" w:eastAsia="宋体" w:cs="Times New Roman"/>
                      <w:color w:val="auto"/>
                      <w:sz w:val="21"/>
                      <w:szCs w:val="21"/>
                      <w:highlight w:val="none"/>
                      <w:lang w:val="en-US" w:eastAsia="zh-CN"/>
                    </w:rPr>
                  </w:pPr>
                  <w:r>
                    <w:rPr>
                      <w:rFonts w:hint="eastAsia"/>
                      <w:sz w:val="21"/>
                      <w:szCs w:val="21"/>
                      <w:lang w:val="en-US" w:eastAsia="zh-CN"/>
                    </w:rPr>
                    <w:t>属一期设施，备用</w:t>
                  </w:r>
                </w:p>
              </w:tc>
            </w:tr>
            <w:tr w14:paraId="53C7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8" w:type="pct"/>
                  <w:vMerge w:val="continue"/>
                  <w:noWrap w:val="0"/>
                  <w:vAlign w:val="center"/>
                </w:tcPr>
                <w:p w14:paraId="0ED241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253" w:type="pct"/>
                  <w:vMerge w:val="continue"/>
                  <w:noWrap w:val="0"/>
                  <w:vAlign w:val="center"/>
                </w:tcPr>
                <w:p w14:paraId="7277432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346" w:type="pct"/>
                  <w:vMerge w:val="continue"/>
                  <w:noWrap w:val="0"/>
                  <w:vAlign w:val="center"/>
                </w:tcPr>
                <w:p w14:paraId="1751BE6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799" w:type="pct"/>
                  <w:noWrap w:val="0"/>
                  <w:vAlign w:val="center"/>
                </w:tcPr>
                <w:p w14:paraId="1663729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生物池及污泥泵池</w:t>
                  </w:r>
                </w:p>
              </w:tc>
              <w:tc>
                <w:tcPr>
                  <w:tcW w:w="2540" w:type="pct"/>
                  <w:noWrap w:val="0"/>
                  <w:vAlign w:val="center"/>
                </w:tcPr>
                <w:p w14:paraId="55647537">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数量</w:t>
                  </w:r>
                  <w:r>
                    <w:rPr>
                      <w:rFonts w:hint="default" w:ascii="Times New Roman" w:hAnsi="Times New Roman" w:eastAsia="宋体" w:cs="Times New Roman"/>
                      <w:color w:val="auto"/>
                      <w:sz w:val="21"/>
                      <w:szCs w:val="21"/>
                      <w:highlight w:val="none"/>
                      <w:lang w:val="en-US" w:eastAsia="zh-CN"/>
                    </w:rPr>
                    <w:t>：1座，分两组，生物池与污泥泵池合建</w:t>
                  </w:r>
                </w:p>
                <w:p w14:paraId="40F6307E">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池体：半地下式钢筋混凝土结构</w:t>
                  </w:r>
                </w:p>
                <w:p w14:paraId="076DD982">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平面尺寸37.3m×19.05m，池深6.85m，地下部分深1.8m。有效水深：6.0m</w:t>
                  </w:r>
                </w:p>
                <w:p w14:paraId="487F8196">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设计流量：3750m</w:t>
                  </w:r>
                  <w:r>
                    <w:rPr>
                      <w:rFonts w:hint="default" w:ascii="Times New Roman" w:hAnsi="Times New Roman" w:eastAsia="宋体" w:cs="Times New Roman"/>
                      <w:color w:val="auto"/>
                      <w:kern w:val="0"/>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/d</w:t>
                  </w:r>
                </w:p>
              </w:tc>
              <w:tc>
                <w:tcPr>
                  <w:tcW w:w="651" w:type="pct"/>
                  <w:noWrap w:val="0"/>
                  <w:vAlign w:val="center"/>
                </w:tcPr>
                <w:p w14:paraId="314FA54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14:paraId="48851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08" w:type="pct"/>
                  <w:vMerge w:val="continue"/>
                  <w:noWrap w:val="0"/>
                  <w:vAlign w:val="center"/>
                </w:tcPr>
                <w:p w14:paraId="63FB6C3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253" w:type="pct"/>
                  <w:vMerge w:val="continue"/>
                  <w:noWrap w:val="0"/>
                  <w:vAlign w:val="center"/>
                </w:tcPr>
                <w:p w14:paraId="25420C7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346" w:type="pct"/>
                  <w:vMerge w:val="continue"/>
                  <w:noWrap w:val="0"/>
                  <w:vAlign w:val="center"/>
                </w:tcPr>
                <w:p w14:paraId="2AEDB1F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799" w:type="pct"/>
                  <w:noWrap w:val="0"/>
                  <w:vAlign w:val="center"/>
                </w:tcPr>
                <w:p w14:paraId="224E6AF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pacing w:val="-6"/>
                      <w:sz w:val="21"/>
                      <w:szCs w:val="21"/>
                      <w:highlight w:val="none"/>
                      <w:lang w:val="en-US" w:eastAsia="zh-CN"/>
                    </w:rPr>
                    <w:t>二</w:t>
                  </w:r>
                  <w:r>
                    <w:rPr>
                      <w:rFonts w:hint="default" w:ascii="Times New Roman" w:hAnsi="Times New Roman" w:eastAsia="宋体" w:cs="Times New Roman"/>
                      <w:color w:val="auto"/>
                      <w:spacing w:val="-6"/>
                      <w:sz w:val="21"/>
                      <w:szCs w:val="21"/>
                      <w:highlight w:val="none"/>
                      <w:lang w:val="en-US" w:eastAsia="zh-CN"/>
                    </w:rPr>
                    <w:t>沉池（圆形）</w:t>
                  </w:r>
                </w:p>
              </w:tc>
              <w:tc>
                <w:tcPr>
                  <w:tcW w:w="2540" w:type="pct"/>
                  <w:noWrap w:val="0"/>
                  <w:vAlign w:val="center"/>
                </w:tcPr>
                <w:p w14:paraId="450D78E3">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数量：2座，采用中心进水周边出水的沉淀池</w:t>
                  </w:r>
                </w:p>
                <w:p w14:paraId="28E505CD">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池体：钢筋混凝土半地下式结构</w:t>
                  </w:r>
                </w:p>
                <w:p w14:paraId="649FAD11">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尺寸：内径11.0m，池深5.05m，地下部分深0.95m</w:t>
                  </w:r>
                </w:p>
                <w:p w14:paraId="0865C394">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表面负荷：q=0.82m</w:t>
                  </w:r>
                  <w:r>
                    <w:rPr>
                      <w:rFonts w:hint="default" w:ascii="Times New Roman" w:hAnsi="Times New Roman" w:eastAsia="宋体" w:cs="Times New Roman"/>
                      <w:color w:val="auto"/>
                      <w:kern w:val="0"/>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·h</w:t>
                  </w:r>
                  <w:r>
                    <w:rPr>
                      <w:rFonts w:hint="eastAsia" w:cs="Times New Roman"/>
                      <w:color w:val="auto"/>
                      <w:sz w:val="21"/>
                      <w:szCs w:val="21"/>
                      <w:highlight w:val="none"/>
                      <w:lang w:val="en-US" w:eastAsia="zh-CN"/>
                    </w:rPr>
                    <w:t>）</w:t>
                  </w:r>
                </w:p>
                <w:p w14:paraId="33FCC317">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设计流量：3750m</w:t>
                  </w:r>
                  <w:r>
                    <w:rPr>
                      <w:rFonts w:hint="default" w:ascii="Times New Roman" w:hAnsi="Times New Roman" w:eastAsia="宋体" w:cs="Times New Roman"/>
                      <w:color w:val="auto"/>
                      <w:kern w:val="0"/>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/d</w:t>
                  </w:r>
                </w:p>
              </w:tc>
              <w:tc>
                <w:tcPr>
                  <w:tcW w:w="651" w:type="pct"/>
                  <w:noWrap w:val="0"/>
                  <w:vAlign w:val="center"/>
                </w:tcPr>
                <w:p w14:paraId="14F1427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14:paraId="0E75E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 w:type="pct"/>
                  <w:vMerge w:val="continue"/>
                  <w:noWrap w:val="0"/>
                  <w:vAlign w:val="center"/>
                </w:tcPr>
                <w:p w14:paraId="05099BF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253" w:type="pct"/>
                  <w:vMerge w:val="continue"/>
                  <w:noWrap w:val="0"/>
                  <w:vAlign w:val="center"/>
                </w:tcPr>
                <w:p w14:paraId="7E0B016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346" w:type="pct"/>
                  <w:vMerge w:val="restart"/>
                  <w:noWrap w:val="0"/>
                  <w:vAlign w:val="center"/>
                </w:tcPr>
                <w:p w14:paraId="788CCF0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深度处理</w:t>
                  </w:r>
                </w:p>
              </w:tc>
              <w:tc>
                <w:tcPr>
                  <w:tcW w:w="799" w:type="pct"/>
                  <w:noWrap w:val="0"/>
                  <w:vAlign w:val="center"/>
                </w:tcPr>
                <w:p w14:paraId="795BAC3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高效沉淀池、精密过滤滤池</w:t>
                  </w:r>
                </w:p>
              </w:tc>
              <w:tc>
                <w:tcPr>
                  <w:tcW w:w="2540" w:type="pct"/>
                  <w:noWrap w:val="0"/>
                  <w:vAlign w:val="center"/>
                </w:tcPr>
                <w:p w14:paraId="7C1BBB4C">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混合池数量：2组，每组1池</w:t>
                  </w:r>
                </w:p>
                <w:p w14:paraId="3D79CC97">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高效沉淀池、精密过滤滤池集混合、反应、沉淀、过滤于一体，通过投加PAC，进一步去除污水中的COD、SS和TP。</w:t>
                  </w:r>
                </w:p>
                <w:p w14:paraId="6D8A6746">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该池与消毒、计量、再生水储存及提升泵池、加药间合建</w:t>
                  </w:r>
                </w:p>
                <w:p w14:paraId="2309DA53">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结构型式：半地下式钢筋混凝土结构</w:t>
                  </w:r>
                </w:p>
                <w:p w14:paraId="71BCE9D4">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平面尺寸20.0m×8.0m，池深6.55m，地下部分深3.0m。</w:t>
                  </w:r>
                </w:p>
                <w:p w14:paraId="5DF57210">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单池尺寸：1×1×4.8m</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有效水深</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，池径：φ 3.5m</w:t>
                  </w:r>
                </w:p>
                <w:p w14:paraId="52402881">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设计流量：3750m</w:t>
                  </w:r>
                  <w:r>
                    <w:rPr>
                      <w:rFonts w:hint="default" w:ascii="Times New Roman" w:hAnsi="Times New Roman" w:eastAsia="宋体" w:cs="Times New Roman"/>
                      <w:color w:val="auto"/>
                      <w:kern w:val="0"/>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/d</w:t>
                  </w:r>
                </w:p>
                <w:p w14:paraId="5C444C38">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混合池停留时间：HRT=3.64min</w:t>
                  </w:r>
                </w:p>
              </w:tc>
              <w:tc>
                <w:tcPr>
                  <w:tcW w:w="651" w:type="pct"/>
                  <w:noWrap w:val="0"/>
                  <w:vAlign w:val="center"/>
                </w:tcPr>
                <w:p w14:paraId="18D7464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14:paraId="7585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6" w:hRule="atLeast"/>
                <w:jc w:val="center"/>
              </w:trPr>
              <w:tc>
                <w:tcPr>
                  <w:tcW w:w="408" w:type="pct"/>
                  <w:vMerge w:val="continue"/>
                  <w:noWrap w:val="0"/>
                  <w:vAlign w:val="center"/>
                </w:tcPr>
                <w:p w14:paraId="08F551B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253" w:type="pct"/>
                  <w:vMerge w:val="continue"/>
                  <w:noWrap w:val="0"/>
                  <w:vAlign w:val="center"/>
                </w:tcPr>
                <w:p w14:paraId="1EBE8EE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346" w:type="pct"/>
                  <w:vMerge w:val="continue"/>
                  <w:noWrap w:val="0"/>
                  <w:vAlign w:val="center"/>
                </w:tcPr>
                <w:p w14:paraId="5C176C8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799" w:type="pct"/>
                  <w:noWrap w:val="0"/>
                  <w:vAlign w:val="center"/>
                </w:tcPr>
                <w:p w14:paraId="56BBE0B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消毒、计量、再生水储存及提升泵池</w:t>
                  </w:r>
                </w:p>
              </w:tc>
              <w:tc>
                <w:tcPr>
                  <w:tcW w:w="2540" w:type="pct"/>
                  <w:noWrap w:val="0"/>
                  <w:vAlign w:val="center"/>
                </w:tcPr>
                <w:p w14:paraId="6049AD38">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包括消毒接触池、巴氏计量渠及再生水出水提升泵池三部分。</w:t>
                  </w:r>
                </w:p>
                <w:p w14:paraId="2F52EF96">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通过投加液体次氯酸钠，进一步去除污水中的大肠杆菌，同时将尾水提升至园区中水站。</w:t>
                  </w:r>
                </w:p>
                <w:p w14:paraId="3CC40DEB">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平面尺寸20.0m×9.2m，池深3.3m，地下部分深1.4m。</w:t>
                  </w:r>
                </w:p>
                <w:p w14:paraId="059F975F">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结构型式：半地下式钢筋混凝土结构</w:t>
                  </w:r>
                </w:p>
                <w:p w14:paraId="50FCC8C4">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设计流量：3750m</w:t>
                  </w:r>
                  <w:r>
                    <w:rPr>
                      <w:rFonts w:hint="default" w:ascii="Times New Roman" w:hAnsi="Times New Roman" w:eastAsia="宋体" w:cs="Times New Roman"/>
                      <w:color w:val="auto"/>
                      <w:kern w:val="0"/>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/d</w:t>
                  </w:r>
                </w:p>
              </w:tc>
              <w:tc>
                <w:tcPr>
                  <w:tcW w:w="651" w:type="pct"/>
                  <w:noWrap w:val="0"/>
                  <w:vAlign w:val="center"/>
                </w:tcPr>
                <w:p w14:paraId="3360666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14:paraId="31F01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08" w:type="pct"/>
                  <w:vMerge w:val="continue"/>
                  <w:noWrap w:val="0"/>
                  <w:vAlign w:val="center"/>
                </w:tcPr>
                <w:p w14:paraId="12364DA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253" w:type="pct"/>
                  <w:vMerge w:val="continue"/>
                  <w:noWrap w:val="0"/>
                  <w:vAlign w:val="center"/>
                </w:tcPr>
                <w:p w14:paraId="39976CB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145" w:type="pct"/>
                  <w:gridSpan w:val="2"/>
                  <w:noWrap w:val="0"/>
                  <w:vAlign w:val="center"/>
                </w:tcPr>
                <w:p w14:paraId="1313D6D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中水池</w:t>
                  </w:r>
                </w:p>
              </w:tc>
              <w:tc>
                <w:tcPr>
                  <w:tcW w:w="2540" w:type="pct"/>
                  <w:noWrap w:val="0"/>
                  <w:vAlign w:val="center"/>
                </w:tcPr>
                <w:p w14:paraId="2B2FC33A">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占地面积：202.24m</w:t>
                  </w:r>
                  <w:r>
                    <w:rPr>
                      <w:rFonts w:hint="default" w:ascii="Times New Roman" w:hAnsi="Times New Roman" w:eastAsia="宋体" w:cs="Times New Roman"/>
                      <w:color w:val="auto"/>
                      <w:sz w:val="21"/>
                      <w:szCs w:val="21"/>
                      <w:highlight w:val="none"/>
                      <w:vertAlign w:val="superscript"/>
                      <w:lang w:val="en-US" w:eastAsia="zh-CN"/>
                    </w:rPr>
                    <w:t>2</w:t>
                  </w:r>
                </w:p>
              </w:tc>
              <w:tc>
                <w:tcPr>
                  <w:tcW w:w="651" w:type="pct"/>
                  <w:noWrap w:val="0"/>
                  <w:vAlign w:val="center"/>
                </w:tcPr>
                <w:p w14:paraId="06FD953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sz w:val="21"/>
                      <w:szCs w:val="21"/>
                      <w:lang w:val="en-US" w:eastAsia="zh-CN"/>
                    </w:rPr>
                    <w:t>属一期设施，备用</w:t>
                  </w:r>
                </w:p>
              </w:tc>
            </w:tr>
            <w:tr w14:paraId="502C6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 w:type="pct"/>
                  <w:vMerge w:val="continue"/>
                  <w:noWrap w:val="0"/>
                  <w:vAlign w:val="center"/>
                </w:tcPr>
                <w:p w14:paraId="3BB31A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253" w:type="pct"/>
                  <w:vMerge w:val="continue"/>
                  <w:noWrap w:val="0"/>
                  <w:vAlign w:val="center"/>
                </w:tcPr>
                <w:p w14:paraId="3D553BA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346" w:type="pct"/>
                  <w:vMerge w:val="restart"/>
                  <w:noWrap w:val="0"/>
                  <w:vAlign w:val="center"/>
                </w:tcPr>
                <w:p w14:paraId="42B3621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污泥处理</w:t>
                  </w:r>
                </w:p>
              </w:tc>
              <w:tc>
                <w:tcPr>
                  <w:tcW w:w="799" w:type="pct"/>
                  <w:noWrap w:val="0"/>
                  <w:vAlign w:val="center"/>
                </w:tcPr>
                <w:p w14:paraId="307DF65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污泥浓缩池</w:t>
                  </w:r>
                </w:p>
              </w:tc>
              <w:tc>
                <w:tcPr>
                  <w:tcW w:w="2540" w:type="pct"/>
                  <w:noWrap w:val="0"/>
                  <w:vAlign w:val="center"/>
                </w:tcPr>
                <w:p w14:paraId="2B8CB14F">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池数：1座</w:t>
                  </w:r>
                </w:p>
                <w:p w14:paraId="0ACCD6AA">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结构形式：半地下式钢筋混凝土圆形水池，建于脱水机房室内</w:t>
                  </w:r>
                </w:p>
                <w:p w14:paraId="50FA3B5E">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单池直径：4m，有效水深：4m</w:t>
                  </w:r>
                </w:p>
              </w:tc>
              <w:tc>
                <w:tcPr>
                  <w:tcW w:w="651" w:type="pct"/>
                  <w:noWrap w:val="0"/>
                  <w:vAlign w:val="center"/>
                </w:tcPr>
                <w:p w14:paraId="3A99E93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14:paraId="156D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2" w:hRule="atLeast"/>
                <w:jc w:val="center"/>
              </w:trPr>
              <w:tc>
                <w:tcPr>
                  <w:tcW w:w="408" w:type="pct"/>
                  <w:vMerge w:val="continue"/>
                  <w:noWrap w:val="0"/>
                  <w:vAlign w:val="center"/>
                </w:tcPr>
                <w:p w14:paraId="2F33966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253" w:type="pct"/>
                  <w:vMerge w:val="continue"/>
                  <w:noWrap w:val="0"/>
                  <w:vAlign w:val="center"/>
                </w:tcPr>
                <w:p w14:paraId="715DB5B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346" w:type="pct"/>
                  <w:vMerge w:val="continue"/>
                  <w:noWrap w:val="0"/>
                  <w:vAlign w:val="center"/>
                </w:tcPr>
                <w:p w14:paraId="370E4DC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799" w:type="pct"/>
                  <w:noWrap w:val="0"/>
                  <w:vAlign w:val="center"/>
                </w:tcPr>
                <w:p w14:paraId="7F7BE24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脱水机房</w:t>
                  </w:r>
                </w:p>
              </w:tc>
              <w:tc>
                <w:tcPr>
                  <w:tcW w:w="2540" w:type="pct"/>
                  <w:noWrap w:val="0"/>
                  <w:vAlign w:val="center"/>
                </w:tcPr>
                <w:p w14:paraId="543013E2">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来自污泥浓缩池的污泥在脱水机房中进行脱水，污泥脱水系统包括污泥进泥系统、污泥调理系统、污泥脱水系统（板框压滤机）、污泥储存外运系统。</w:t>
                  </w:r>
                </w:p>
                <w:p w14:paraId="0B542732">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建筑类型：钢筋混凝土框架结构</w:t>
                  </w:r>
                </w:p>
                <w:p w14:paraId="0394C969">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建筑尺寸：37.5m×12.5m</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与除臭设备间、危废间合建，建筑尺寸含泥棚</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，钢筋混凝土框架结构，地上2层，建筑面积1006.97m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，基底面积533.34m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，建筑耐火等级二级。</w:t>
                  </w:r>
                </w:p>
                <w:p w14:paraId="013C23B8">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脱水前污泥含水率：97.5%；脱水后污泥含水率：60%；脱水后污泥量：1.79m</w:t>
                  </w:r>
                  <w:r>
                    <w:rPr>
                      <w:rFonts w:hint="default" w:ascii="Times New Roman" w:hAnsi="Times New Roman" w:eastAsia="宋体" w:cs="Times New Roman"/>
                      <w:color w:val="auto"/>
                      <w:kern w:val="0"/>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/d。</w:t>
                  </w:r>
                </w:p>
              </w:tc>
              <w:tc>
                <w:tcPr>
                  <w:tcW w:w="651" w:type="pct"/>
                  <w:noWrap w:val="0"/>
                  <w:vAlign w:val="center"/>
                </w:tcPr>
                <w:p w14:paraId="5222D0F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14:paraId="5407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408" w:type="pct"/>
                  <w:vMerge w:val="continue"/>
                  <w:noWrap w:val="0"/>
                  <w:vAlign w:val="center"/>
                </w:tcPr>
                <w:p w14:paraId="13DA81C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398" w:type="pct"/>
                  <w:gridSpan w:val="3"/>
                  <w:noWrap w:val="0"/>
                  <w:vAlign w:val="center"/>
                </w:tcPr>
                <w:p w14:paraId="1EA750F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管网工程</w:t>
                  </w:r>
                </w:p>
              </w:tc>
              <w:tc>
                <w:tcPr>
                  <w:tcW w:w="2540" w:type="pct"/>
                  <w:noWrap w:val="0"/>
                  <w:vAlign w:val="center"/>
                </w:tcPr>
                <w:p w14:paraId="3864B6FD">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①配套建设厂外污水收集管道约2350m（HDPE双壁波纹管DN300）</w:t>
                  </w:r>
                  <w:r>
                    <w:rPr>
                      <w:rFonts w:hint="eastAsia" w:ascii="Times New Roman" w:hAnsi="Times New Roman" w:eastAsia="宋体" w:cs="Times New Roman"/>
                      <w:color w:val="auto"/>
                      <w:sz w:val="21"/>
                      <w:szCs w:val="21"/>
                      <w:highlight w:val="none"/>
                      <w:lang w:val="en-US" w:eastAsia="zh-CN"/>
                    </w:rPr>
                    <w:t>，污水管道为重力流；</w:t>
                  </w:r>
                </w:p>
                <w:p w14:paraId="0E4F7FB9">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②配套建设再生水管道约8481m（聚乙烯管DN300）</w:t>
                  </w:r>
                  <w:r>
                    <w:rPr>
                      <w:rFonts w:hint="eastAsia" w:ascii="Times New Roman" w:hAnsi="Times New Roman" w:eastAsia="宋体" w:cs="Times New Roman"/>
                      <w:color w:val="auto"/>
                      <w:sz w:val="21"/>
                      <w:szCs w:val="21"/>
                      <w:highlight w:val="none"/>
                      <w:lang w:val="en-US" w:eastAsia="zh-CN"/>
                    </w:rPr>
                    <w:t>，再生水管道为压力流（依托厂内提升泵池）</w:t>
                  </w:r>
                </w:p>
              </w:tc>
              <w:tc>
                <w:tcPr>
                  <w:tcW w:w="651" w:type="pct"/>
                  <w:noWrap w:val="0"/>
                  <w:vAlign w:val="center"/>
                </w:tcPr>
                <w:p w14:paraId="52E71BC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14:paraId="67A8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 w:type="pct"/>
                  <w:vMerge w:val="restart"/>
                  <w:noWrap w:val="0"/>
                  <w:vAlign w:val="center"/>
                </w:tcPr>
                <w:p w14:paraId="7D9801E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辅助工程</w:t>
                  </w:r>
                </w:p>
              </w:tc>
              <w:tc>
                <w:tcPr>
                  <w:tcW w:w="1398" w:type="pct"/>
                  <w:gridSpan w:val="3"/>
                  <w:noWrap w:val="0"/>
                  <w:vAlign w:val="center"/>
                </w:tcPr>
                <w:p w14:paraId="2A5FDCA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除臭设备间</w:t>
                  </w:r>
                </w:p>
              </w:tc>
              <w:tc>
                <w:tcPr>
                  <w:tcW w:w="2540" w:type="pct"/>
                  <w:noWrap w:val="0"/>
                  <w:vAlign w:val="center"/>
                </w:tcPr>
                <w:p w14:paraId="7C1E89D1">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钢筋混凝土框架结构</w:t>
                  </w:r>
                  <w:r>
                    <w:rPr>
                      <w:rFonts w:hint="eastAsia" w:ascii="Times New Roman" w:hAnsi="Times New Roman" w:eastAsia="宋体" w:cs="Times New Roman"/>
                      <w:color w:val="auto"/>
                      <w:sz w:val="21"/>
                      <w:szCs w:val="21"/>
                      <w:highlight w:val="none"/>
                      <w:lang w:val="en-US" w:eastAsia="zh-CN"/>
                    </w:rPr>
                    <w:t>，脱水机房、危废间合建，位于脱水机房二层，钢筋混凝土框架结构，用于布置生物除臭及离子除臭设备。</w:t>
                  </w:r>
                </w:p>
              </w:tc>
              <w:tc>
                <w:tcPr>
                  <w:tcW w:w="651" w:type="pct"/>
                  <w:noWrap w:val="0"/>
                  <w:vAlign w:val="center"/>
                </w:tcPr>
                <w:p w14:paraId="1A71D61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14:paraId="5E8F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408" w:type="pct"/>
                  <w:vMerge w:val="continue"/>
                  <w:noWrap w:val="0"/>
                  <w:vAlign w:val="center"/>
                </w:tcPr>
                <w:p w14:paraId="62CE2C8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398" w:type="pct"/>
                  <w:gridSpan w:val="3"/>
                  <w:noWrap w:val="0"/>
                  <w:vAlign w:val="center"/>
                </w:tcPr>
                <w:p w14:paraId="59FDF89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业务用房</w:t>
                  </w:r>
                </w:p>
              </w:tc>
              <w:tc>
                <w:tcPr>
                  <w:tcW w:w="2540" w:type="pct"/>
                  <w:noWrap w:val="0"/>
                  <w:vAlign w:val="center"/>
                </w:tcPr>
                <w:p w14:paraId="4E591C11">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建筑面积141.55m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，用于办公、值班等</w:t>
                  </w:r>
                </w:p>
              </w:tc>
              <w:tc>
                <w:tcPr>
                  <w:tcW w:w="651" w:type="pct"/>
                  <w:noWrap w:val="0"/>
                  <w:vAlign w:val="center"/>
                </w:tcPr>
                <w:p w14:paraId="752E8CA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14:paraId="258D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408" w:type="pct"/>
                  <w:vMerge w:val="continue"/>
                  <w:noWrap w:val="0"/>
                  <w:vAlign w:val="center"/>
                </w:tcPr>
                <w:p w14:paraId="3257C13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398" w:type="pct"/>
                  <w:gridSpan w:val="3"/>
                  <w:noWrap w:val="0"/>
                  <w:vAlign w:val="center"/>
                </w:tcPr>
                <w:p w14:paraId="34B2958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一期业务用房</w:t>
                  </w:r>
                </w:p>
              </w:tc>
              <w:tc>
                <w:tcPr>
                  <w:tcW w:w="2540" w:type="pct"/>
                  <w:noWrap w:val="0"/>
                  <w:vAlign w:val="center"/>
                </w:tcPr>
                <w:p w14:paraId="5EA2F348">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建筑面积：149.60m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，现有办公/值班用房</w:t>
                  </w:r>
                </w:p>
              </w:tc>
              <w:tc>
                <w:tcPr>
                  <w:tcW w:w="651" w:type="pct"/>
                  <w:noWrap w:val="0"/>
                  <w:vAlign w:val="center"/>
                </w:tcPr>
                <w:p w14:paraId="0BFD7D7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利旧</w:t>
                  </w:r>
                </w:p>
              </w:tc>
            </w:tr>
            <w:tr w14:paraId="7CFF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jc w:val="center"/>
              </w:trPr>
              <w:tc>
                <w:tcPr>
                  <w:tcW w:w="408" w:type="pct"/>
                  <w:vMerge w:val="continue"/>
                  <w:noWrap w:val="0"/>
                  <w:vAlign w:val="center"/>
                </w:tcPr>
                <w:p w14:paraId="24600D9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398" w:type="pct"/>
                  <w:gridSpan w:val="3"/>
                  <w:noWrap w:val="0"/>
                  <w:vAlign w:val="center"/>
                </w:tcPr>
                <w:p w14:paraId="23DFBAC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鼓风机房及变电站</w:t>
                  </w:r>
                </w:p>
              </w:tc>
              <w:tc>
                <w:tcPr>
                  <w:tcW w:w="2540" w:type="pct"/>
                  <w:noWrap w:val="0"/>
                  <w:vAlign w:val="center"/>
                </w:tcPr>
                <w:p w14:paraId="3DAFE487">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设备：2台磁悬浮鼓风机、1台自动卷绕空气粗过滤器</w:t>
                  </w:r>
                </w:p>
                <w:p w14:paraId="5F7A94F3">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建筑类型：钢筋混凝土框架结构</w:t>
                  </w:r>
                </w:p>
                <w:p w14:paraId="188BFA93">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鼓风机房尺寸为11m×12m，其北侧与变电站连建。</w:t>
                  </w:r>
                </w:p>
              </w:tc>
              <w:tc>
                <w:tcPr>
                  <w:tcW w:w="651" w:type="pct"/>
                  <w:noWrap w:val="0"/>
                  <w:vAlign w:val="center"/>
                </w:tcPr>
                <w:p w14:paraId="18E0F0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14:paraId="0A42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408" w:type="pct"/>
                  <w:vMerge w:val="continue"/>
                  <w:noWrap w:val="0"/>
                  <w:vAlign w:val="center"/>
                </w:tcPr>
                <w:p w14:paraId="3F892A1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398" w:type="pct"/>
                  <w:gridSpan w:val="3"/>
                  <w:noWrap w:val="0"/>
                  <w:vAlign w:val="center"/>
                </w:tcPr>
                <w:p w14:paraId="7B641B2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加药间</w:t>
                  </w:r>
                </w:p>
              </w:tc>
              <w:tc>
                <w:tcPr>
                  <w:tcW w:w="2540" w:type="pct"/>
                  <w:noWrap w:val="0"/>
                  <w:vAlign w:val="center"/>
                </w:tcPr>
                <w:p w14:paraId="488D630C">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加药间主要用于：</w:t>
                  </w:r>
                </w:p>
                <w:p w14:paraId="08128A04">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①储存及投加消毒所需液体次氯酸钠；</w:t>
                  </w:r>
                </w:p>
                <w:p w14:paraId="542F63FC">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②储存及投加介质高效沉淀池所需的PAC；</w:t>
                  </w:r>
                </w:p>
                <w:p w14:paraId="016F0E5C">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③储存及投加碳源药剂乙酸钠。</w:t>
                  </w:r>
                </w:p>
                <w:p w14:paraId="609333EC">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钢筋混凝土框架结构</w:t>
                  </w:r>
                </w:p>
              </w:tc>
              <w:tc>
                <w:tcPr>
                  <w:tcW w:w="651" w:type="pct"/>
                  <w:noWrap w:val="0"/>
                  <w:vAlign w:val="center"/>
                </w:tcPr>
                <w:p w14:paraId="670B6F4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14:paraId="0F24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408" w:type="pct"/>
                  <w:vMerge w:val="continue"/>
                  <w:noWrap w:val="0"/>
                  <w:vAlign w:val="center"/>
                </w:tcPr>
                <w:p w14:paraId="3DC56C2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398" w:type="pct"/>
                  <w:gridSpan w:val="3"/>
                  <w:noWrap w:val="0"/>
                  <w:vAlign w:val="center"/>
                </w:tcPr>
                <w:p w14:paraId="64CD61A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机修间</w:t>
                  </w:r>
                </w:p>
              </w:tc>
              <w:tc>
                <w:tcPr>
                  <w:tcW w:w="2540" w:type="pct"/>
                  <w:noWrap w:val="0"/>
                  <w:vAlign w:val="center"/>
                </w:tcPr>
                <w:p w14:paraId="742A367A">
                  <w:pPr>
                    <w:keepNext w:val="0"/>
                    <w:keepLines w:val="0"/>
                    <w:pageBreakBefore w:val="0"/>
                    <w:widowControl w:val="0"/>
                    <w:kinsoku/>
                    <w:wordWrap/>
                    <w:overflowPunct/>
                    <w:topLinePunct w:val="0"/>
                    <w:autoSpaceDE/>
                    <w:autoSpaceDN/>
                    <w:bidi w:val="0"/>
                    <w:adjustRightInd w:val="0"/>
                    <w:snapToGrid w:val="0"/>
                    <w:jc w:val="both"/>
                    <w:textAlignment w:val="auto"/>
                    <w:rPr>
                      <w:rFonts w:hint="default" w:cs="Times New Roman"/>
                      <w:b/>
                      <w:bCs/>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钢筋混凝土框架结构</w:t>
                  </w:r>
                </w:p>
              </w:tc>
              <w:tc>
                <w:tcPr>
                  <w:tcW w:w="651" w:type="pct"/>
                  <w:noWrap w:val="0"/>
                  <w:vAlign w:val="center"/>
                </w:tcPr>
                <w:p w14:paraId="503DC93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sz w:val="21"/>
                      <w:szCs w:val="21"/>
                      <w:highlight w:val="none"/>
                      <w:lang w:val="en-US" w:eastAsia="zh-CN"/>
                    </w:rPr>
                  </w:pPr>
                  <w:r>
                    <w:rPr>
                      <w:rFonts w:hint="eastAsia"/>
                      <w:lang w:val="en-US" w:eastAsia="zh-CN"/>
                    </w:rPr>
                    <w:t>新建</w:t>
                  </w:r>
                </w:p>
              </w:tc>
            </w:tr>
            <w:tr w14:paraId="33DE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 w:type="pct"/>
                  <w:vMerge w:val="restart"/>
                  <w:noWrap w:val="0"/>
                  <w:vAlign w:val="center"/>
                </w:tcPr>
                <w:p w14:paraId="2100744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公用工程</w:t>
                  </w:r>
                </w:p>
              </w:tc>
              <w:tc>
                <w:tcPr>
                  <w:tcW w:w="1398" w:type="pct"/>
                  <w:gridSpan w:val="3"/>
                  <w:noWrap w:val="0"/>
                  <w:vAlign w:val="center"/>
                </w:tcPr>
                <w:p w14:paraId="7D455D1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供水</w:t>
                  </w:r>
                </w:p>
              </w:tc>
              <w:tc>
                <w:tcPr>
                  <w:tcW w:w="2540" w:type="pct"/>
                  <w:noWrap w:val="0"/>
                  <w:vAlign w:val="center"/>
                </w:tcPr>
                <w:p w14:paraId="74088927">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本项目由库尔勒市上库高新区自来水公司供水，供水管网由市政供水接至石化园区范围内。</w:t>
                  </w:r>
                </w:p>
              </w:tc>
              <w:tc>
                <w:tcPr>
                  <w:tcW w:w="651" w:type="pct"/>
                  <w:noWrap w:val="0"/>
                  <w:vAlign w:val="center"/>
                </w:tcPr>
                <w:p w14:paraId="2317C1C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4F90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 w:type="pct"/>
                  <w:vMerge w:val="continue"/>
                  <w:noWrap w:val="0"/>
                  <w:vAlign w:val="center"/>
                </w:tcPr>
                <w:p w14:paraId="1981902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398" w:type="pct"/>
                  <w:gridSpan w:val="3"/>
                  <w:noWrap w:val="0"/>
                  <w:vAlign w:val="center"/>
                </w:tcPr>
                <w:p w14:paraId="161F251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排水</w:t>
                  </w:r>
                </w:p>
              </w:tc>
              <w:tc>
                <w:tcPr>
                  <w:tcW w:w="2540" w:type="pct"/>
                  <w:noWrap w:val="0"/>
                  <w:vAlign w:val="center"/>
                </w:tcPr>
                <w:p w14:paraId="331E8ACF">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生活污水排入本项目污水处理系统；</w:t>
                  </w:r>
                </w:p>
                <w:p w14:paraId="3B12F344">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本项目自身产生的废水，如污泥脱水滤液、设备冲洗水、在线监测废水全部回流至厂区污水处理系统进口，与进厂污水一并处理</w:t>
                  </w:r>
                </w:p>
              </w:tc>
              <w:tc>
                <w:tcPr>
                  <w:tcW w:w="651" w:type="pct"/>
                  <w:noWrap w:val="0"/>
                  <w:vAlign w:val="center"/>
                </w:tcPr>
                <w:p w14:paraId="702D624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0351D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8" w:type="pct"/>
                  <w:vMerge w:val="continue"/>
                  <w:noWrap w:val="0"/>
                  <w:vAlign w:val="center"/>
                </w:tcPr>
                <w:p w14:paraId="18B9488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398" w:type="pct"/>
                  <w:gridSpan w:val="3"/>
                  <w:noWrap w:val="0"/>
                  <w:vAlign w:val="center"/>
                </w:tcPr>
                <w:p w14:paraId="33E698C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供电</w:t>
                  </w:r>
                </w:p>
              </w:tc>
              <w:tc>
                <w:tcPr>
                  <w:tcW w:w="2540" w:type="pct"/>
                  <w:noWrap w:val="0"/>
                  <w:vAlign w:val="center"/>
                </w:tcPr>
                <w:p w14:paraId="3E9733A8">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本工程用电负荷确定为二级负荷。采用两路10kV电源供电，外线由当地供电部门负责。</w:t>
                  </w:r>
                </w:p>
                <w:p w14:paraId="4ACA2262">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由市政电网供给</w:t>
                  </w:r>
                </w:p>
              </w:tc>
              <w:tc>
                <w:tcPr>
                  <w:tcW w:w="651" w:type="pct"/>
                  <w:noWrap w:val="0"/>
                  <w:vAlign w:val="center"/>
                </w:tcPr>
                <w:p w14:paraId="75DC468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356D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 w:type="pct"/>
                  <w:vMerge w:val="continue"/>
                  <w:noWrap w:val="0"/>
                  <w:vAlign w:val="center"/>
                </w:tcPr>
                <w:p w14:paraId="0BEE40D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398" w:type="pct"/>
                  <w:gridSpan w:val="3"/>
                  <w:noWrap w:val="0"/>
                  <w:vAlign w:val="center"/>
                </w:tcPr>
                <w:p w14:paraId="1E88AB5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供暖</w:t>
                  </w:r>
                </w:p>
              </w:tc>
              <w:tc>
                <w:tcPr>
                  <w:tcW w:w="2540" w:type="pct"/>
                  <w:noWrap w:val="0"/>
                  <w:vAlign w:val="center"/>
                </w:tcPr>
                <w:p w14:paraId="01921024">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冬季采用电采暖</w:t>
                  </w:r>
                </w:p>
              </w:tc>
              <w:tc>
                <w:tcPr>
                  <w:tcW w:w="651" w:type="pct"/>
                  <w:noWrap w:val="0"/>
                  <w:vAlign w:val="center"/>
                </w:tcPr>
                <w:p w14:paraId="0953C17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01E6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408" w:type="pct"/>
                  <w:vMerge w:val="restart"/>
                  <w:noWrap w:val="0"/>
                  <w:vAlign w:val="center"/>
                </w:tcPr>
                <w:p w14:paraId="15EC741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环保工程</w:t>
                  </w:r>
                </w:p>
              </w:tc>
              <w:tc>
                <w:tcPr>
                  <w:tcW w:w="1398" w:type="pct"/>
                  <w:gridSpan w:val="3"/>
                  <w:noWrap w:val="0"/>
                  <w:vAlign w:val="center"/>
                </w:tcPr>
                <w:p w14:paraId="01D0A08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废气</w:t>
                  </w:r>
                </w:p>
              </w:tc>
              <w:tc>
                <w:tcPr>
                  <w:tcW w:w="2540" w:type="pct"/>
                  <w:noWrap w:val="0"/>
                  <w:vAlign w:val="center"/>
                </w:tcPr>
                <w:p w14:paraId="1D007ACE">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预处理部分：采用离子除臭，处理臭气量约3000m</w:t>
                  </w:r>
                  <w:r>
                    <w:rPr>
                      <w:rFonts w:hint="default" w:ascii="Times New Roman" w:hAnsi="Times New Roman" w:eastAsia="宋体" w:cs="Times New Roman"/>
                      <w:color w:val="auto"/>
                      <w:kern w:val="0"/>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/h</w:t>
                  </w:r>
                </w:p>
                <w:p w14:paraId="34C3BD34">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生物池及污泥处理部分：加盖收集后采用生物除臭工艺，处理臭气量约15000m</w:t>
                  </w:r>
                  <w:r>
                    <w:rPr>
                      <w:rFonts w:hint="default" w:ascii="Times New Roman" w:hAnsi="Times New Roman" w:eastAsia="宋体" w:cs="Times New Roman"/>
                      <w:color w:val="auto"/>
                      <w:kern w:val="0"/>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/h，处理后</w:t>
                  </w:r>
                  <w:r>
                    <w:rPr>
                      <w:rFonts w:hint="eastAsia"/>
                      <w:lang w:val="en-US" w:eastAsia="zh-CN"/>
                    </w:rPr>
                    <w:t>由</w:t>
                  </w:r>
                  <w:r>
                    <w:rPr>
                      <w:rFonts w:hint="default" w:ascii="Times New Roman" w:hAnsi="Times New Roman" w:eastAsia="宋体" w:cs="Times New Roman"/>
                      <w:color w:val="auto"/>
                      <w:sz w:val="21"/>
                      <w:szCs w:val="21"/>
                      <w:highlight w:val="none"/>
                      <w:lang w:val="en-US" w:eastAsia="zh-CN"/>
                    </w:rPr>
                    <w:t>15m高排气筒排放。</w:t>
                  </w:r>
                </w:p>
              </w:tc>
              <w:tc>
                <w:tcPr>
                  <w:tcW w:w="651" w:type="pct"/>
                  <w:noWrap w:val="0"/>
                  <w:vAlign w:val="center"/>
                </w:tcPr>
                <w:p w14:paraId="3E4069A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32F55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 w:type="pct"/>
                  <w:vMerge w:val="continue"/>
                  <w:noWrap w:val="0"/>
                  <w:vAlign w:val="center"/>
                </w:tcPr>
                <w:p w14:paraId="3904FCB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398" w:type="pct"/>
                  <w:gridSpan w:val="3"/>
                  <w:noWrap w:val="0"/>
                  <w:vAlign w:val="center"/>
                </w:tcPr>
                <w:p w14:paraId="3993183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废水</w:t>
                  </w:r>
                </w:p>
              </w:tc>
              <w:tc>
                <w:tcPr>
                  <w:tcW w:w="2540" w:type="pct"/>
                  <w:noWrap w:val="0"/>
                  <w:vAlign w:val="center"/>
                </w:tcPr>
                <w:p w14:paraId="65102D65">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本项目产生的污水均回流到厂内污水处理系统一并处理</w:t>
                  </w:r>
                  <w:r>
                    <w:rPr>
                      <w:rFonts w:hint="eastAsia" w:cs="Times New Roman"/>
                      <w:color w:val="auto"/>
                      <w:spacing w:val="-6"/>
                      <w:sz w:val="21"/>
                      <w:szCs w:val="21"/>
                      <w:highlight w:val="none"/>
                      <w:lang w:val="en-US" w:eastAsia="zh-CN"/>
                    </w:rPr>
                    <w:t>。</w:t>
                  </w:r>
                </w:p>
              </w:tc>
              <w:tc>
                <w:tcPr>
                  <w:tcW w:w="651" w:type="pct"/>
                  <w:noWrap w:val="0"/>
                  <w:vAlign w:val="center"/>
                </w:tcPr>
                <w:p w14:paraId="4CCE91E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477B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8" w:type="pct"/>
                  <w:vMerge w:val="continue"/>
                  <w:noWrap w:val="0"/>
                  <w:vAlign w:val="center"/>
                </w:tcPr>
                <w:p w14:paraId="5E51673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398" w:type="pct"/>
                  <w:gridSpan w:val="3"/>
                  <w:noWrap w:val="0"/>
                  <w:vAlign w:val="center"/>
                </w:tcPr>
                <w:p w14:paraId="6C8EFA3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噪声</w:t>
                  </w:r>
                </w:p>
              </w:tc>
              <w:tc>
                <w:tcPr>
                  <w:tcW w:w="2540" w:type="pct"/>
                  <w:noWrap w:val="0"/>
                  <w:vAlign w:val="center"/>
                </w:tcPr>
                <w:p w14:paraId="71936121">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污水处理厂噪声源主要为泵类、风机、搅拌器等设备，部分设备位于水下，其余设备均位于室内，泵类设备设置基础减震，风机类选用低噪声设备。</w:t>
                  </w:r>
                </w:p>
              </w:tc>
              <w:tc>
                <w:tcPr>
                  <w:tcW w:w="651" w:type="pct"/>
                  <w:noWrap w:val="0"/>
                  <w:vAlign w:val="center"/>
                </w:tcPr>
                <w:p w14:paraId="6A0B7FA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33E2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jc w:val="center"/>
              </w:trPr>
              <w:tc>
                <w:tcPr>
                  <w:tcW w:w="408" w:type="pct"/>
                  <w:vMerge w:val="continue"/>
                  <w:noWrap w:val="0"/>
                  <w:vAlign w:val="center"/>
                </w:tcPr>
                <w:p w14:paraId="70AB094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398" w:type="pct"/>
                  <w:gridSpan w:val="3"/>
                  <w:noWrap w:val="0"/>
                  <w:vAlign w:val="center"/>
                </w:tcPr>
                <w:p w14:paraId="22436BF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一般固废</w:t>
                  </w:r>
                </w:p>
              </w:tc>
              <w:tc>
                <w:tcPr>
                  <w:tcW w:w="2540" w:type="pct"/>
                  <w:noWrap w:val="0"/>
                  <w:vAlign w:val="center"/>
                </w:tcPr>
                <w:p w14:paraId="0FC2346A">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运营期污泥经</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重力浓缩-板框压滤机</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脱水处理至含水率≤60%后送至</w:t>
                  </w:r>
                  <w:r>
                    <w:rPr>
                      <w:rFonts w:hint="eastAsia" w:ascii="Times New Roman" w:hAnsi="Times New Roman" w:eastAsia="宋体" w:cs="Times New Roman"/>
                      <w:color w:val="auto"/>
                      <w:sz w:val="21"/>
                      <w:szCs w:val="21"/>
                      <w:highlight w:val="none"/>
                      <w:lang w:val="en-US" w:eastAsia="zh-CN"/>
                    </w:rPr>
                    <w:t>当地</w:t>
                  </w:r>
                  <w:r>
                    <w:rPr>
                      <w:rFonts w:hint="default" w:ascii="Times New Roman" w:hAnsi="Times New Roman" w:eastAsia="宋体" w:cs="Times New Roman"/>
                      <w:color w:val="auto"/>
                      <w:sz w:val="21"/>
                      <w:szCs w:val="21"/>
                      <w:highlight w:val="none"/>
                      <w:lang w:val="en-US" w:eastAsia="zh-CN"/>
                    </w:rPr>
                    <w:t>垃圾填埋场填埋；栅渣和沉砂运往</w:t>
                  </w:r>
                  <w:r>
                    <w:rPr>
                      <w:rFonts w:hint="eastAsia" w:ascii="Times New Roman" w:hAnsi="Times New Roman" w:eastAsia="宋体" w:cs="Times New Roman"/>
                      <w:color w:val="auto"/>
                      <w:sz w:val="21"/>
                      <w:szCs w:val="21"/>
                      <w:highlight w:val="none"/>
                      <w:lang w:val="en-US" w:eastAsia="zh-CN"/>
                    </w:rPr>
                    <w:t>当地</w:t>
                  </w:r>
                  <w:r>
                    <w:rPr>
                      <w:rFonts w:hint="default" w:ascii="Times New Roman" w:hAnsi="Times New Roman" w:eastAsia="宋体" w:cs="Times New Roman"/>
                      <w:color w:val="auto"/>
                      <w:sz w:val="21"/>
                      <w:szCs w:val="21"/>
                      <w:highlight w:val="none"/>
                      <w:lang w:val="en-US" w:eastAsia="zh-CN"/>
                    </w:rPr>
                    <w:t>垃圾场卫生填埋；生活垃圾集中收集后由环卫部门统一清运；废包装袋定期外售废品回收站。</w:t>
                  </w:r>
                </w:p>
              </w:tc>
              <w:tc>
                <w:tcPr>
                  <w:tcW w:w="651" w:type="pct"/>
                  <w:vMerge w:val="restart"/>
                  <w:noWrap w:val="0"/>
                  <w:vAlign w:val="center"/>
                </w:tcPr>
                <w:p w14:paraId="3D96D84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0043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408" w:type="pct"/>
                  <w:vMerge w:val="continue"/>
                  <w:noWrap w:val="0"/>
                  <w:vAlign w:val="center"/>
                </w:tcPr>
                <w:p w14:paraId="7C1CF1F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c>
                <w:tcPr>
                  <w:tcW w:w="1398" w:type="pct"/>
                  <w:gridSpan w:val="3"/>
                  <w:noWrap w:val="0"/>
                  <w:vAlign w:val="center"/>
                </w:tcPr>
                <w:p w14:paraId="02FDF0D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危险废物</w:t>
                  </w:r>
                </w:p>
              </w:tc>
              <w:tc>
                <w:tcPr>
                  <w:tcW w:w="2540" w:type="pct"/>
                  <w:noWrap w:val="0"/>
                  <w:vAlign w:val="center"/>
                </w:tcPr>
                <w:p w14:paraId="4A6459DC">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cs="Times New Roman"/>
                      <w:color w:val="auto"/>
                      <w:sz w:val="21"/>
                      <w:szCs w:val="21"/>
                      <w:highlight w:val="none"/>
                      <w:lang w:val="en-US" w:eastAsia="zh-CN"/>
                    </w:rPr>
                    <w:t>危险废物贮存点</w:t>
                  </w:r>
                  <w:r>
                    <w:rPr>
                      <w:rFonts w:hint="default" w:ascii="Times New Roman" w:hAnsi="Times New Roman" w:eastAsia="宋体" w:cs="Times New Roman"/>
                      <w:color w:val="auto"/>
                      <w:sz w:val="21"/>
                      <w:szCs w:val="21"/>
                      <w:highlight w:val="none"/>
                      <w:lang w:val="en-US" w:eastAsia="zh-CN"/>
                    </w:rPr>
                    <w:t>，位于脱水机房一层，面积约15m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，独立隔间，按照《危险废物贮存污染控制标准》（GB18597-2023）要求建设。</w:t>
                  </w:r>
                </w:p>
                <w:p w14:paraId="10327C29">
                  <w:pPr>
                    <w:keepNext w:val="0"/>
                    <w:keepLines w:val="0"/>
                    <w:pageBreakBefore w:val="0"/>
                    <w:widowControl w:val="0"/>
                    <w:kinsoku/>
                    <w:wordWrap/>
                    <w:overflowPunct/>
                    <w:topLinePunct w:val="0"/>
                    <w:autoSpaceDE/>
                    <w:autoSpaceDN/>
                    <w:bidi w:val="0"/>
                    <w:adjustRightInd w:val="0"/>
                    <w:snapToGrid w:val="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化验废液及废样品、废机油、含油废抹布收集后于危险废物贮存点暂存后外委有资质单位处置。</w:t>
                  </w:r>
                </w:p>
              </w:tc>
              <w:tc>
                <w:tcPr>
                  <w:tcW w:w="651" w:type="pct"/>
                  <w:vMerge w:val="continue"/>
                  <w:noWrap w:val="0"/>
                  <w:vAlign w:val="center"/>
                </w:tcPr>
                <w:p w14:paraId="6E0CFFD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p>
              </w:tc>
            </w:tr>
          </w:tbl>
          <w:p w14:paraId="1ABEB6D4">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425" w:leftChars="0" w:hanging="425" w:firstLineChars="0"/>
              <w:jc w:val="left"/>
              <w:textAlignment w:val="auto"/>
              <w:rPr>
                <w:rFonts w:hint="default" w:ascii="Times New Roman" w:hAnsi="Times New Roman" w:eastAsia="宋体" w:cs="Times New Roman"/>
                <w:b/>
                <w:bCs/>
                <w:color w:val="auto"/>
                <w:sz w:val="24"/>
                <w:highlight w:val="none"/>
                <w:lang w:val="en-US" w:eastAsia="zh-CN"/>
              </w:rPr>
            </w:pPr>
            <w:r>
              <w:rPr>
                <w:rFonts w:hint="eastAsia" w:cs="Times New Roman"/>
                <w:b/>
                <w:bCs/>
                <w:color w:val="auto"/>
                <w:kern w:val="2"/>
                <w:sz w:val="24"/>
                <w:szCs w:val="24"/>
                <w:lang w:val="en-US" w:eastAsia="zh-CN" w:bidi="ar-SA"/>
              </w:rPr>
              <w:t>2.</w:t>
            </w:r>
            <w:r>
              <w:rPr>
                <w:rFonts w:hint="default" w:ascii="Times New Roman" w:hAnsi="Times New Roman" w:eastAsia="宋体" w:cs="Times New Roman"/>
                <w:b/>
                <w:bCs/>
                <w:color w:val="auto"/>
                <w:kern w:val="2"/>
                <w:sz w:val="24"/>
                <w:szCs w:val="24"/>
                <w:lang w:val="en-US" w:eastAsia="zh-CN" w:bidi="ar-SA"/>
              </w:rPr>
              <w:t>3</w:t>
            </w:r>
            <w:r>
              <w:rPr>
                <w:rFonts w:hint="default" w:ascii="Times New Roman" w:hAnsi="Times New Roman" w:eastAsia="宋体" w:cs="Times New Roman"/>
                <w:b/>
                <w:bCs/>
                <w:color w:val="auto"/>
                <w:sz w:val="24"/>
                <w:highlight w:val="none"/>
                <w:lang w:val="en-US" w:eastAsia="zh-CN"/>
              </w:rPr>
              <w:t>主要生产设备</w:t>
            </w:r>
            <w:bookmarkStart w:id="5" w:name="_GoBack"/>
            <w:bookmarkEnd w:id="5"/>
          </w:p>
          <w:p w14:paraId="46BBC58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本项目主要设备如下：</w:t>
            </w:r>
          </w:p>
          <w:p w14:paraId="0CD079DD">
            <w:pPr>
              <w:pStyle w:val="23"/>
              <w:bidi w:val="0"/>
              <w:rPr>
                <w:rFonts w:hint="eastAsia"/>
                <w:lang w:eastAsia="zh-CN"/>
              </w:rPr>
            </w:pPr>
            <w:r>
              <w:t>表</w:t>
            </w:r>
            <w:r>
              <w:fldChar w:fldCharType="begin"/>
            </w:r>
            <w:r>
              <w:instrText xml:space="preserve"> STYLEREF 1 \s \* ARABIC </w:instrText>
            </w:r>
            <w:r>
              <w:fldChar w:fldCharType="separate"/>
            </w:r>
            <w:r>
              <w:t>2</w:t>
            </w:r>
            <w:r>
              <w:fldChar w:fldCharType="end"/>
            </w:r>
            <w:r>
              <w:rPr>
                <w:rFonts w:hint="eastAsia"/>
                <w:lang w:eastAsia="zh-CN"/>
              </w:rPr>
              <w:t>-</w:t>
            </w:r>
            <w:r>
              <w:fldChar w:fldCharType="begin"/>
            </w:r>
            <w:r>
              <w:instrText xml:space="preserve"> SEQ 表 \* ARABIC \s 1 </w:instrText>
            </w:r>
            <w:r>
              <w:fldChar w:fldCharType="separate"/>
            </w:r>
            <w:r>
              <w:t>2</w:t>
            </w:r>
            <w:r>
              <w:fldChar w:fldCharType="end"/>
            </w:r>
            <w:r>
              <w:rPr>
                <w:rFonts w:hint="eastAsia"/>
                <w:lang w:eastAsia="zh-CN"/>
              </w:rPr>
              <w:t>工程设备一览表</w:t>
            </w:r>
          </w:p>
          <w:tbl>
            <w:tblPr>
              <w:tblStyle w:val="15"/>
              <w:tblW w:w="84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18"/>
              <w:gridCol w:w="1730"/>
              <w:gridCol w:w="3105"/>
              <w:gridCol w:w="632"/>
              <w:gridCol w:w="1269"/>
              <w:gridCol w:w="1191"/>
            </w:tblGrid>
            <w:tr w14:paraId="49329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518" w:type="dxa"/>
                  <w:tcBorders>
                    <w:top w:val="single" w:color="000000" w:sz="4" w:space="0"/>
                    <w:left w:val="single" w:color="000000" w:sz="4" w:space="0"/>
                    <w:bottom w:val="single" w:color="000000" w:sz="4" w:space="0"/>
                    <w:right w:val="single" w:color="000000" w:sz="4" w:space="0"/>
                    <w:tl2br w:val="nil"/>
                  </w:tcBorders>
                  <w:shd w:val="clear" w:color="auto" w:fill="FFFFFF"/>
                  <w:tcMar>
                    <w:top w:w="120" w:type="dxa"/>
                    <w:left w:w="120" w:type="dxa"/>
                    <w:bottom w:w="120" w:type="dxa"/>
                    <w:right w:w="120" w:type="dxa"/>
                  </w:tcMar>
                  <w:vAlign w:val="center"/>
                </w:tcPr>
                <w:p w14:paraId="03B629B6">
                  <w:pPr>
                    <w:keepNext w:val="0"/>
                    <w:keepLines w:val="0"/>
                    <w:widowControl/>
                    <w:suppressLineNumbers w:val="0"/>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kern w:val="0"/>
                      <w:sz w:val="21"/>
                      <w:szCs w:val="21"/>
                      <w:lang w:val="en-US" w:eastAsia="zh-CN" w:bidi="ar"/>
                    </w:rPr>
                    <w:t>编号</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5D4C03DE">
                  <w:pPr>
                    <w:keepNext w:val="0"/>
                    <w:keepLines w:val="0"/>
                    <w:widowControl/>
                    <w:suppressLineNumbers w:val="0"/>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kern w:val="0"/>
                      <w:sz w:val="21"/>
                      <w:szCs w:val="21"/>
                      <w:lang w:val="en-US" w:eastAsia="zh-CN" w:bidi="ar"/>
                    </w:rPr>
                    <w:t>设备名称</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786F9272">
                  <w:pPr>
                    <w:keepNext w:val="0"/>
                    <w:keepLines w:val="0"/>
                    <w:widowControl/>
                    <w:suppressLineNumbers w:val="0"/>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kern w:val="0"/>
                      <w:sz w:val="21"/>
                      <w:szCs w:val="21"/>
                      <w:lang w:val="en-US" w:eastAsia="zh-CN" w:bidi="ar"/>
                    </w:rPr>
                    <w:t>技术参数</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7381E96A">
                  <w:pPr>
                    <w:keepNext w:val="0"/>
                    <w:keepLines w:val="0"/>
                    <w:widowControl/>
                    <w:suppressLineNumbers w:val="0"/>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kern w:val="0"/>
                      <w:sz w:val="21"/>
                      <w:szCs w:val="21"/>
                      <w:lang w:val="en-US" w:eastAsia="zh-CN" w:bidi="ar"/>
                    </w:rPr>
                    <w:t>数量</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71E70F09">
                  <w:pPr>
                    <w:keepNext w:val="0"/>
                    <w:keepLines w:val="0"/>
                    <w:widowControl/>
                    <w:suppressLineNumbers w:val="0"/>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kern w:val="0"/>
                      <w:sz w:val="21"/>
                      <w:szCs w:val="21"/>
                      <w:lang w:val="en-US" w:eastAsia="zh-CN" w:bidi="ar"/>
                    </w:rPr>
                    <w:t>备注</w:t>
                  </w:r>
                </w:p>
              </w:tc>
              <w:tc>
                <w:tcPr>
                  <w:tcW w:w="1191"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7847A058">
                  <w:pPr>
                    <w:keepNext w:val="0"/>
                    <w:keepLines w:val="0"/>
                    <w:widowControl/>
                    <w:suppressLineNumbers w:val="0"/>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kern w:val="0"/>
                      <w:sz w:val="21"/>
                      <w:szCs w:val="21"/>
                      <w:lang w:val="en-US" w:eastAsia="zh-CN" w:bidi="ar"/>
                    </w:rPr>
                    <w:t>设备所在单体</w:t>
                  </w:r>
                </w:p>
              </w:tc>
            </w:tr>
            <w:tr w14:paraId="21C33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27BABD9B">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DB08188">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绿化供水泵</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37654CD">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Q=30m</w:t>
                  </w:r>
                  <w:r>
                    <w:rPr>
                      <w:rFonts w:hint="default" w:ascii="Times New Roman" w:hAnsi="Times New Roman" w:eastAsia="宋体" w:cs="Times New Roman"/>
                      <w:b w:val="0"/>
                      <w:color w:val="000000"/>
                      <w:kern w:val="0"/>
                      <w:sz w:val="21"/>
                      <w:szCs w:val="21"/>
                      <w:vertAlign w:val="superscript"/>
                      <w:lang w:val="en-US" w:eastAsia="zh-CN" w:bidi="ar"/>
                    </w:rPr>
                    <w:t>3</w:t>
                  </w:r>
                  <w:r>
                    <w:rPr>
                      <w:rFonts w:hint="default" w:ascii="Times New Roman" w:hAnsi="Times New Roman" w:eastAsia="宋体" w:cs="Times New Roman"/>
                      <w:b w:val="0"/>
                      <w:color w:val="000000"/>
                      <w:kern w:val="0"/>
                      <w:sz w:val="21"/>
                      <w:szCs w:val="21"/>
                      <w:lang w:val="en-US" w:eastAsia="zh-CN" w:bidi="ar"/>
                    </w:rPr>
                    <w:t>/h，H=20m，N=2.2kW</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01A0272">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2台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2438374A">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一用一备</w:t>
                  </w:r>
                </w:p>
              </w:tc>
              <w:tc>
                <w:tcPr>
                  <w:tcW w:w="1191"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AD2F345">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中水池</w:t>
                  </w:r>
                </w:p>
              </w:tc>
            </w:tr>
            <w:tr w14:paraId="522EC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192413C5">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2</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11BC5589">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污泥回流泵</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7C92556">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Q=18m</w:t>
                  </w:r>
                  <w:r>
                    <w:rPr>
                      <w:rFonts w:hint="default" w:ascii="Times New Roman" w:hAnsi="Times New Roman" w:eastAsia="宋体" w:cs="Times New Roman"/>
                      <w:b w:val="0"/>
                      <w:color w:val="000000"/>
                      <w:kern w:val="0"/>
                      <w:sz w:val="21"/>
                      <w:szCs w:val="21"/>
                      <w:vertAlign w:val="superscript"/>
                      <w:lang w:val="en-US" w:eastAsia="zh-CN" w:bidi="ar"/>
                    </w:rPr>
                    <w:t>3</w:t>
                  </w:r>
                  <w:r>
                    <w:rPr>
                      <w:rFonts w:hint="default" w:ascii="Times New Roman" w:hAnsi="Times New Roman" w:eastAsia="宋体" w:cs="Times New Roman"/>
                      <w:b w:val="0"/>
                      <w:color w:val="000000"/>
                      <w:kern w:val="0"/>
                      <w:sz w:val="21"/>
                      <w:szCs w:val="21"/>
                      <w:lang w:val="en-US" w:eastAsia="zh-CN" w:bidi="ar"/>
                    </w:rPr>
                    <w:t>/h，H=14m，N=1.5kW</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2F65374">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4台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49B243F1">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两组，每组一用一备</w:t>
                  </w:r>
                </w:p>
              </w:tc>
              <w:tc>
                <w:tcPr>
                  <w:tcW w:w="1191" w:type="dxa"/>
                  <w:vMerge w:val="restart"/>
                  <w:tcBorders>
                    <w:top w:val="single" w:color="000000" w:sz="4" w:space="0"/>
                    <w:left w:val="single" w:color="000000" w:sz="4" w:space="0"/>
                    <w:right w:val="single" w:color="000000" w:sz="4" w:space="0"/>
                  </w:tcBorders>
                  <w:shd w:val="clear" w:color="auto" w:fill="FFFFFF"/>
                  <w:tcMar>
                    <w:top w:w="120" w:type="dxa"/>
                    <w:left w:w="120" w:type="dxa"/>
                    <w:bottom w:w="120" w:type="dxa"/>
                    <w:right w:w="120" w:type="dxa"/>
                  </w:tcMar>
                  <w:vAlign w:val="center"/>
                </w:tcPr>
                <w:p w14:paraId="2A45D733">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MBR膜池车间</w:t>
                  </w:r>
                </w:p>
              </w:tc>
            </w:tr>
            <w:tr w14:paraId="1442D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76844C7">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3</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2F91D554">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剩余污泥泵</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38F0B17">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Q=5m</w:t>
                  </w:r>
                  <w:r>
                    <w:rPr>
                      <w:rFonts w:hint="default" w:ascii="Times New Roman" w:hAnsi="Times New Roman" w:eastAsia="宋体" w:cs="Times New Roman"/>
                      <w:b w:val="0"/>
                      <w:color w:val="000000"/>
                      <w:kern w:val="0"/>
                      <w:sz w:val="21"/>
                      <w:szCs w:val="21"/>
                      <w:vertAlign w:val="superscript"/>
                      <w:lang w:val="en-US" w:eastAsia="zh-CN" w:bidi="ar"/>
                    </w:rPr>
                    <w:t>3</w:t>
                  </w:r>
                  <w:r>
                    <w:rPr>
                      <w:rFonts w:hint="default" w:ascii="Times New Roman" w:hAnsi="Times New Roman" w:eastAsia="宋体" w:cs="Times New Roman"/>
                      <w:b w:val="0"/>
                      <w:color w:val="000000"/>
                      <w:kern w:val="0"/>
                      <w:sz w:val="21"/>
                      <w:szCs w:val="21"/>
                      <w:lang w:val="en-US" w:eastAsia="zh-CN" w:bidi="ar"/>
                    </w:rPr>
                    <w:t>/h，H=20m，N=1.1kW</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2B801770">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2台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444F7799">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两组</w:t>
                  </w:r>
                </w:p>
              </w:tc>
              <w:tc>
                <w:tcPr>
                  <w:tcW w:w="1191" w:type="dxa"/>
                  <w:vMerge w:val="continue"/>
                  <w:tcBorders>
                    <w:left w:val="single" w:color="000000" w:sz="4" w:space="0"/>
                    <w:right w:val="single" w:color="000000" w:sz="4" w:space="0"/>
                  </w:tcBorders>
                  <w:shd w:val="clear" w:color="auto" w:fill="FFFFFF"/>
                  <w:tcMar>
                    <w:top w:w="120" w:type="dxa"/>
                    <w:left w:w="120" w:type="dxa"/>
                    <w:bottom w:w="120" w:type="dxa"/>
                    <w:right w:w="120" w:type="dxa"/>
                  </w:tcMar>
                  <w:vAlign w:val="center"/>
                </w:tcPr>
                <w:p w14:paraId="0DB4EA84">
                  <w:pPr>
                    <w:keepNext w:val="0"/>
                    <w:keepLines w:val="0"/>
                    <w:widowControl/>
                    <w:suppressLineNumbers w:val="0"/>
                    <w:jc w:val="center"/>
                    <w:rPr>
                      <w:rFonts w:hint="default" w:ascii="Times New Roman" w:hAnsi="Times New Roman" w:eastAsia="宋体" w:cs="Times New Roman"/>
                      <w:b w:val="0"/>
                      <w:color w:val="000000"/>
                      <w:sz w:val="21"/>
                      <w:szCs w:val="21"/>
                    </w:rPr>
                  </w:pPr>
                </w:p>
              </w:tc>
            </w:tr>
            <w:tr w14:paraId="375C5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30591D8B">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4</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5057FB3F">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反硝化泵</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E2DA4ED">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Q=25m</w:t>
                  </w:r>
                  <w:r>
                    <w:rPr>
                      <w:rFonts w:hint="default" w:ascii="Times New Roman" w:hAnsi="Times New Roman" w:eastAsia="宋体" w:cs="Times New Roman"/>
                      <w:b w:val="0"/>
                      <w:color w:val="000000"/>
                      <w:kern w:val="0"/>
                      <w:sz w:val="21"/>
                      <w:szCs w:val="21"/>
                      <w:vertAlign w:val="superscript"/>
                      <w:lang w:val="en-US" w:eastAsia="zh-CN" w:bidi="ar"/>
                    </w:rPr>
                    <w:t>3</w:t>
                  </w:r>
                  <w:r>
                    <w:rPr>
                      <w:rFonts w:hint="default" w:ascii="Times New Roman" w:hAnsi="Times New Roman" w:eastAsia="宋体" w:cs="Times New Roman"/>
                      <w:b w:val="0"/>
                      <w:color w:val="000000"/>
                      <w:kern w:val="0"/>
                      <w:sz w:val="21"/>
                      <w:szCs w:val="21"/>
                      <w:lang w:val="en-US" w:eastAsia="zh-CN" w:bidi="ar"/>
                    </w:rPr>
                    <w:t>/h，H=10m，N=1.5kW</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51BCC00D">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4台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1B348ED2">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两组，每组一用一备</w:t>
                  </w:r>
                </w:p>
              </w:tc>
              <w:tc>
                <w:tcPr>
                  <w:tcW w:w="1191" w:type="dxa"/>
                  <w:vMerge w:val="continue"/>
                  <w:tcBorders>
                    <w:left w:val="single" w:color="000000" w:sz="4" w:space="0"/>
                    <w:right w:val="single" w:color="000000" w:sz="4" w:space="0"/>
                  </w:tcBorders>
                  <w:shd w:val="clear" w:color="auto" w:fill="FFFFFF"/>
                  <w:tcMar>
                    <w:top w:w="120" w:type="dxa"/>
                    <w:left w:w="120" w:type="dxa"/>
                    <w:bottom w:w="120" w:type="dxa"/>
                    <w:right w:w="120" w:type="dxa"/>
                  </w:tcMar>
                  <w:vAlign w:val="center"/>
                </w:tcPr>
                <w:p w14:paraId="6048A31C">
                  <w:pPr>
                    <w:keepNext w:val="0"/>
                    <w:keepLines w:val="0"/>
                    <w:widowControl/>
                    <w:suppressLineNumbers w:val="0"/>
                    <w:jc w:val="center"/>
                    <w:rPr>
                      <w:rFonts w:hint="default" w:ascii="Times New Roman" w:hAnsi="Times New Roman" w:eastAsia="宋体" w:cs="Times New Roman"/>
                      <w:b w:val="0"/>
                      <w:color w:val="000000"/>
                      <w:sz w:val="21"/>
                      <w:szCs w:val="21"/>
                    </w:rPr>
                  </w:pPr>
                </w:p>
              </w:tc>
            </w:tr>
            <w:tr w14:paraId="2CD31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4FCA206A">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5</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39BB71BB">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抽吸泵</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3AE748D6">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Q=25m</w:t>
                  </w:r>
                  <w:r>
                    <w:rPr>
                      <w:rFonts w:hint="default" w:ascii="Times New Roman" w:hAnsi="Times New Roman" w:eastAsia="宋体" w:cs="Times New Roman"/>
                      <w:b w:val="0"/>
                      <w:color w:val="000000"/>
                      <w:kern w:val="0"/>
                      <w:sz w:val="21"/>
                      <w:szCs w:val="21"/>
                      <w:vertAlign w:val="superscript"/>
                      <w:lang w:val="en-US" w:eastAsia="zh-CN" w:bidi="ar"/>
                    </w:rPr>
                    <w:t>3</w:t>
                  </w:r>
                  <w:r>
                    <w:rPr>
                      <w:rFonts w:hint="default" w:ascii="Times New Roman" w:hAnsi="Times New Roman" w:eastAsia="宋体" w:cs="Times New Roman"/>
                      <w:b w:val="0"/>
                      <w:color w:val="000000"/>
                      <w:kern w:val="0"/>
                      <w:sz w:val="21"/>
                      <w:szCs w:val="21"/>
                      <w:lang w:val="en-US" w:eastAsia="zh-CN" w:bidi="ar"/>
                    </w:rPr>
                    <w:t>/h，H=9m，N=1.5kW</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C3F22B0">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4台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3A0EAE16">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两组，每组一用一备</w:t>
                  </w:r>
                </w:p>
              </w:tc>
              <w:tc>
                <w:tcPr>
                  <w:tcW w:w="1191" w:type="dxa"/>
                  <w:vMerge w:val="continue"/>
                  <w:tcBorders>
                    <w:left w:val="single" w:color="000000" w:sz="4" w:space="0"/>
                    <w:right w:val="single" w:color="000000" w:sz="4" w:space="0"/>
                  </w:tcBorders>
                  <w:shd w:val="clear" w:color="auto" w:fill="FFFFFF"/>
                  <w:tcMar>
                    <w:top w:w="120" w:type="dxa"/>
                    <w:left w:w="120" w:type="dxa"/>
                    <w:bottom w:w="120" w:type="dxa"/>
                    <w:right w:w="120" w:type="dxa"/>
                  </w:tcMar>
                  <w:vAlign w:val="center"/>
                </w:tcPr>
                <w:p w14:paraId="1B384264">
                  <w:pPr>
                    <w:keepNext w:val="0"/>
                    <w:keepLines w:val="0"/>
                    <w:widowControl/>
                    <w:suppressLineNumbers w:val="0"/>
                    <w:jc w:val="center"/>
                    <w:rPr>
                      <w:rFonts w:hint="default" w:ascii="Times New Roman" w:hAnsi="Times New Roman" w:eastAsia="宋体" w:cs="Times New Roman"/>
                      <w:b w:val="0"/>
                      <w:color w:val="000000"/>
                      <w:sz w:val="21"/>
                      <w:szCs w:val="21"/>
                    </w:rPr>
                  </w:pPr>
                </w:p>
              </w:tc>
            </w:tr>
            <w:tr w14:paraId="04498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43F095B">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6</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1E7625D4">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罗茨风机</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236F546F">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Q=12.13m</w:t>
                  </w:r>
                  <w:r>
                    <w:rPr>
                      <w:rFonts w:hint="default" w:ascii="Times New Roman" w:hAnsi="Times New Roman" w:eastAsia="宋体" w:cs="Times New Roman"/>
                      <w:b w:val="0"/>
                      <w:color w:val="000000"/>
                      <w:kern w:val="0"/>
                      <w:sz w:val="21"/>
                      <w:szCs w:val="21"/>
                      <w:vertAlign w:val="superscript"/>
                      <w:lang w:val="en-US" w:eastAsia="zh-CN" w:bidi="ar"/>
                    </w:rPr>
                    <w:t>3</w:t>
                  </w:r>
                  <w:r>
                    <w:rPr>
                      <w:rFonts w:hint="default" w:ascii="Times New Roman" w:hAnsi="Times New Roman" w:eastAsia="宋体" w:cs="Times New Roman"/>
                      <w:b w:val="0"/>
                      <w:color w:val="000000"/>
                      <w:kern w:val="0"/>
                      <w:sz w:val="21"/>
                      <w:szCs w:val="21"/>
                      <w:lang w:val="en-US" w:eastAsia="zh-CN" w:bidi="ar"/>
                    </w:rPr>
                    <w:t>/min，H=4m，N=11kW</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7F77970">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4台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784BB0C8">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两组，每组一用一备</w:t>
                  </w:r>
                </w:p>
              </w:tc>
              <w:tc>
                <w:tcPr>
                  <w:tcW w:w="1191" w:type="dxa"/>
                  <w:vMerge w:val="continue"/>
                  <w:tcBorders>
                    <w:left w:val="single" w:color="000000" w:sz="4" w:space="0"/>
                    <w:right w:val="single" w:color="000000" w:sz="4" w:space="0"/>
                  </w:tcBorders>
                  <w:shd w:val="clear" w:color="auto" w:fill="FFFFFF"/>
                  <w:tcMar>
                    <w:top w:w="120" w:type="dxa"/>
                    <w:left w:w="120" w:type="dxa"/>
                    <w:bottom w:w="120" w:type="dxa"/>
                    <w:right w:w="120" w:type="dxa"/>
                  </w:tcMar>
                  <w:vAlign w:val="center"/>
                </w:tcPr>
                <w:p w14:paraId="3683F160">
                  <w:pPr>
                    <w:keepNext w:val="0"/>
                    <w:keepLines w:val="0"/>
                    <w:widowControl/>
                    <w:suppressLineNumbers w:val="0"/>
                    <w:jc w:val="center"/>
                    <w:rPr>
                      <w:rFonts w:hint="default" w:ascii="Times New Roman" w:hAnsi="Times New Roman" w:eastAsia="宋体" w:cs="Times New Roman"/>
                      <w:b w:val="0"/>
                      <w:color w:val="000000"/>
                      <w:sz w:val="21"/>
                      <w:szCs w:val="21"/>
                    </w:rPr>
                  </w:pPr>
                </w:p>
              </w:tc>
            </w:tr>
            <w:tr w14:paraId="2C056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BF75CA9">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7</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53B41EE5">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进水提升泵</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F38490F">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Q=20m</w:t>
                  </w:r>
                  <w:r>
                    <w:rPr>
                      <w:rFonts w:hint="default" w:ascii="Times New Roman" w:hAnsi="Times New Roman" w:eastAsia="宋体" w:cs="Times New Roman"/>
                      <w:b w:val="0"/>
                      <w:color w:val="000000"/>
                      <w:kern w:val="0"/>
                      <w:sz w:val="21"/>
                      <w:szCs w:val="21"/>
                      <w:vertAlign w:val="superscript"/>
                      <w:lang w:val="en-US" w:eastAsia="zh-CN" w:bidi="ar"/>
                    </w:rPr>
                    <w:t>3</w:t>
                  </w:r>
                  <w:r>
                    <w:rPr>
                      <w:rFonts w:hint="default" w:ascii="Times New Roman" w:hAnsi="Times New Roman" w:eastAsia="宋体" w:cs="Times New Roman"/>
                      <w:b w:val="0"/>
                      <w:color w:val="000000"/>
                      <w:kern w:val="0"/>
                      <w:sz w:val="21"/>
                      <w:szCs w:val="21"/>
                      <w:lang w:val="en-US" w:eastAsia="zh-CN" w:bidi="ar"/>
                    </w:rPr>
                    <w:t>/h，H=8m，N=1.5kW</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77E33BDD">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3台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44EB307B">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1台备用</w:t>
                  </w:r>
                </w:p>
              </w:tc>
              <w:tc>
                <w:tcPr>
                  <w:tcW w:w="1191" w:type="dxa"/>
                  <w:vMerge w:val="continue"/>
                  <w:tcBorders>
                    <w:left w:val="single" w:color="000000" w:sz="4" w:space="0"/>
                    <w:right w:val="single" w:color="000000" w:sz="4" w:space="0"/>
                  </w:tcBorders>
                  <w:shd w:val="clear" w:color="auto" w:fill="FFFFFF"/>
                  <w:tcMar>
                    <w:top w:w="120" w:type="dxa"/>
                    <w:left w:w="120" w:type="dxa"/>
                    <w:bottom w:w="120" w:type="dxa"/>
                    <w:right w:w="120" w:type="dxa"/>
                  </w:tcMar>
                  <w:vAlign w:val="center"/>
                </w:tcPr>
                <w:p w14:paraId="78CFFAAD">
                  <w:pPr>
                    <w:keepNext w:val="0"/>
                    <w:keepLines w:val="0"/>
                    <w:widowControl/>
                    <w:suppressLineNumbers w:val="0"/>
                    <w:jc w:val="center"/>
                    <w:rPr>
                      <w:rFonts w:hint="default" w:ascii="Times New Roman" w:hAnsi="Times New Roman" w:eastAsia="宋体" w:cs="Times New Roman"/>
                      <w:b w:val="0"/>
                      <w:color w:val="000000"/>
                      <w:sz w:val="21"/>
                      <w:szCs w:val="21"/>
                    </w:rPr>
                  </w:pPr>
                </w:p>
              </w:tc>
            </w:tr>
            <w:tr w14:paraId="3F71F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406914A0">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8</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26D213D">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集水坑潜污泵</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DD99C54">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Q=27m</w:t>
                  </w:r>
                  <w:r>
                    <w:rPr>
                      <w:rFonts w:hint="default" w:ascii="Times New Roman" w:hAnsi="Times New Roman" w:eastAsia="宋体" w:cs="Times New Roman"/>
                      <w:b w:val="0"/>
                      <w:color w:val="000000"/>
                      <w:kern w:val="0"/>
                      <w:sz w:val="21"/>
                      <w:szCs w:val="21"/>
                      <w:vertAlign w:val="superscript"/>
                      <w:lang w:val="en-US" w:eastAsia="zh-CN" w:bidi="ar"/>
                    </w:rPr>
                    <w:t>3</w:t>
                  </w:r>
                  <w:r>
                    <w:rPr>
                      <w:rFonts w:hint="default" w:ascii="Times New Roman" w:hAnsi="Times New Roman" w:eastAsia="宋体" w:cs="Times New Roman"/>
                      <w:b w:val="0"/>
                      <w:color w:val="000000"/>
                      <w:kern w:val="0"/>
                      <w:sz w:val="21"/>
                      <w:szCs w:val="21"/>
                      <w:lang w:val="en-US" w:eastAsia="zh-CN" w:bidi="ar"/>
                    </w:rPr>
                    <w:t>/h，H=15m，N=2.2kW</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A70E5FA">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2台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59408344">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一用一备</w:t>
                  </w:r>
                </w:p>
              </w:tc>
              <w:tc>
                <w:tcPr>
                  <w:tcW w:w="1191" w:type="dxa"/>
                  <w:vMerge w:val="continue"/>
                  <w:tcBorders>
                    <w:left w:val="single" w:color="000000" w:sz="4" w:space="0"/>
                    <w:right w:val="single" w:color="000000" w:sz="4" w:space="0"/>
                  </w:tcBorders>
                  <w:shd w:val="clear" w:color="auto" w:fill="FFFFFF"/>
                  <w:tcMar>
                    <w:top w:w="120" w:type="dxa"/>
                    <w:left w:w="120" w:type="dxa"/>
                    <w:bottom w:w="120" w:type="dxa"/>
                    <w:right w:w="120" w:type="dxa"/>
                  </w:tcMar>
                  <w:vAlign w:val="center"/>
                </w:tcPr>
                <w:p w14:paraId="12EC1FD3">
                  <w:pPr>
                    <w:keepNext w:val="0"/>
                    <w:keepLines w:val="0"/>
                    <w:widowControl/>
                    <w:suppressLineNumbers w:val="0"/>
                    <w:jc w:val="center"/>
                    <w:rPr>
                      <w:rFonts w:hint="default" w:ascii="Times New Roman" w:hAnsi="Times New Roman" w:eastAsia="宋体" w:cs="Times New Roman"/>
                      <w:b w:val="0"/>
                      <w:color w:val="000000"/>
                      <w:sz w:val="21"/>
                      <w:szCs w:val="21"/>
                    </w:rPr>
                  </w:pPr>
                </w:p>
              </w:tc>
            </w:tr>
            <w:tr w14:paraId="4EF6C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2702B167">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9</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76DC8145">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消毒加药/膜清洗装置</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294A7720">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储药桶300L；0.37kW清洗加药泵、消毒加药计量泵</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41DE09A0">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2套</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0208C66">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两组</w:t>
                  </w:r>
                </w:p>
              </w:tc>
              <w:tc>
                <w:tcPr>
                  <w:tcW w:w="1191" w:type="dxa"/>
                  <w:vMerge w:val="continue"/>
                  <w:tcBorders>
                    <w:left w:val="single" w:color="000000" w:sz="4" w:space="0"/>
                    <w:right w:val="single" w:color="000000" w:sz="4" w:space="0"/>
                  </w:tcBorders>
                  <w:shd w:val="clear" w:color="auto" w:fill="FFFFFF"/>
                  <w:tcMar>
                    <w:top w:w="120" w:type="dxa"/>
                    <w:left w:w="120" w:type="dxa"/>
                    <w:bottom w:w="120" w:type="dxa"/>
                    <w:right w:w="120" w:type="dxa"/>
                  </w:tcMar>
                  <w:vAlign w:val="center"/>
                </w:tcPr>
                <w:p w14:paraId="431802B5">
                  <w:pPr>
                    <w:keepNext w:val="0"/>
                    <w:keepLines w:val="0"/>
                    <w:widowControl/>
                    <w:suppressLineNumbers w:val="0"/>
                    <w:jc w:val="center"/>
                    <w:rPr>
                      <w:rFonts w:hint="default" w:ascii="Times New Roman" w:hAnsi="Times New Roman" w:eastAsia="宋体" w:cs="Times New Roman"/>
                      <w:b w:val="0"/>
                      <w:color w:val="000000"/>
                      <w:sz w:val="21"/>
                      <w:szCs w:val="21"/>
                    </w:rPr>
                  </w:pPr>
                </w:p>
              </w:tc>
            </w:tr>
            <w:tr w14:paraId="301AF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7F1C103E">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10</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1BBC2871">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平板膜组件</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4DF7D92D">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单组150片膜元件；膜材质C</w:t>
                  </w:r>
                  <w:r>
                    <w:rPr>
                      <w:rFonts w:hint="default" w:ascii="Times New Roman" w:hAnsi="Times New Roman" w:eastAsia="宋体" w:cs="Times New Roman"/>
                      <w:b w:val="0"/>
                      <w:color w:val="000000"/>
                      <w:kern w:val="0"/>
                      <w:sz w:val="21"/>
                      <w:szCs w:val="21"/>
                      <w:lang w:val="en-US" w:eastAsia="zh-CN" w:bidi="ar"/>
                    </w:rPr>
                    <w:noBreakHyphen/>
                  </w:r>
                  <w:r>
                    <w:rPr>
                      <w:rFonts w:hint="default" w:ascii="Times New Roman" w:hAnsi="Times New Roman" w:eastAsia="宋体" w:cs="Times New Roman"/>
                      <w:b w:val="0"/>
                      <w:color w:val="000000"/>
                      <w:kern w:val="0"/>
                      <w:sz w:val="21"/>
                      <w:szCs w:val="21"/>
                      <w:lang w:val="en-US" w:eastAsia="zh-CN" w:bidi="ar"/>
                    </w:rPr>
                    <w:t>PVC，孔径0.2μm</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727D4EA4">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2组</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0336FB8">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两组，共300片膜元件</w:t>
                  </w:r>
                </w:p>
              </w:tc>
              <w:tc>
                <w:tcPr>
                  <w:tcW w:w="1191" w:type="dxa"/>
                  <w:vMerge w:val="continue"/>
                  <w:tcBorders>
                    <w:left w:val="single" w:color="000000" w:sz="4" w:space="0"/>
                    <w:right w:val="single" w:color="000000" w:sz="4" w:space="0"/>
                  </w:tcBorders>
                  <w:shd w:val="clear" w:color="auto" w:fill="FFFFFF"/>
                  <w:tcMar>
                    <w:top w:w="120" w:type="dxa"/>
                    <w:left w:w="120" w:type="dxa"/>
                    <w:bottom w:w="120" w:type="dxa"/>
                    <w:right w:w="120" w:type="dxa"/>
                  </w:tcMar>
                  <w:vAlign w:val="center"/>
                </w:tcPr>
                <w:p w14:paraId="0A53BFF0">
                  <w:pPr>
                    <w:keepNext w:val="0"/>
                    <w:keepLines w:val="0"/>
                    <w:widowControl/>
                    <w:suppressLineNumbers w:val="0"/>
                    <w:jc w:val="center"/>
                    <w:rPr>
                      <w:rFonts w:hint="default" w:ascii="Times New Roman" w:hAnsi="Times New Roman" w:eastAsia="宋体" w:cs="Times New Roman"/>
                      <w:b w:val="0"/>
                      <w:color w:val="000000"/>
                      <w:sz w:val="21"/>
                      <w:szCs w:val="21"/>
                    </w:rPr>
                  </w:pPr>
                </w:p>
              </w:tc>
            </w:tr>
            <w:tr w14:paraId="337CF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203413F">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11</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38C7A55">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进水闸门</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94756D6">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B=350mm，H=700mm</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30C0131E">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4个</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A5D3810">
                  <w:pPr>
                    <w:jc w:val="center"/>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w:t>
                  </w:r>
                </w:p>
              </w:tc>
              <w:tc>
                <w:tcPr>
                  <w:tcW w:w="1191" w:type="dxa"/>
                  <w:vMerge w:val="continue"/>
                  <w:tcBorders>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2B30C84C">
                  <w:pPr>
                    <w:keepNext w:val="0"/>
                    <w:keepLines w:val="0"/>
                    <w:widowControl/>
                    <w:suppressLineNumbers w:val="0"/>
                    <w:jc w:val="center"/>
                    <w:rPr>
                      <w:rFonts w:hint="default" w:ascii="Times New Roman" w:hAnsi="Times New Roman" w:eastAsia="宋体" w:cs="Times New Roman"/>
                      <w:b w:val="0"/>
                      <w:color w:val="000000"/>
                      <w:sz w:val="21"/>
                      <w:szCs w:val="21"/>
                    </w:rPr>
                  </w:pPr>
                </w:p>
              </w:tc>
            </w:tr>
            <w:tr w14:paraId="55D8B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13AC91CF">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12</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5903B0B0">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回转式机械格栅</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8EBF8FC">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格栅间隙b=20mm，B=500mm，N=0.55kW</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0FCCDD9">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2台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74A035C7">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一用一备</w:t>
                  </w:r>
                </w:p>
              </w:tc>
              <w:tc>
                <w:tcPr>
                  <w:tcW w:w="1191" w:type="dxa"/>
                  <w:vMerge w:val="restart"/>
                  <w:tcBorders>
                    <w:top w:val="single" w:color="000000" w:sz="4" w:space="0"/>
                    <w:left w:val="single" w:color="000000" w:sz="4" w:space="0"/>
                    <w:right w:val="single" w:color="000000" w:sz="4" w:space="0"/>
                  </w:tcBorders>
                  <w:shd w:val="clear" w:color="auto" w:fill="FFFFFF"/>
                  <w:tcMar>
                    <w:top w:w="120" w:type="dxa"/>
                    <w:left w:w="120" w:type="dxa"/>
                    <w:bottom w:w="120" w:type="dxa"/>
                    <w:right w:w="120" w:type="dxa"/>
                  </w:tcMar>
                  <w:vAlign w:val="center"/>
                </w:tcPr>
                <w:p w14:paraId="60FB5601">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格栅间</w:t>
                  </w:r>
                </w:p>
              </w:tc>
            </w:tr>
            <w:tr w14:paraId="728D2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1B216ABF">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13</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3AC58AE7">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网板式机械格栅</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22AEB04F">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格栅间隙b=3mm，B=500mm，N=0.55kW</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2FF120E1">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2台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7297B6D5">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一用一备</w:t>
                  </w:r>
                </w:p>
              </w:tc>
              <w:tc>
                <w:tcPr>
                  <w:tcW w:w="1191" w:type="dxa"/>
                  <w:vMerge w:val="continue"/>
                  <w:tcBorders>
                    <w:left w:val="single" w:color="000000" w:sz="4" w:space="0"/>
                    <w:right w:val="single" w:color="000000" w:sz="4" w:space="0"/>
                  </w:tcBorders>
                  <w:shd w:val="clear" w:color="auto" w:fill="FFFFFF"/>
                  <w:tcMar>
                    <w:top w:w="120" w:type="dxa"/>
                    <w:left w:w="120" w:type="dxa"/>
                    <w:bottom w:w="120" w:type="dxa"/>
                    <w:right w:w="120" w:type="dxa"/>
                  </w:tcMar>
                  <w:vAlign w:val="center"/>
                </w:tcPr>
                <w:p w14:paraId="17403605">
                  <w:pPr>
                    <w:keepNext w:val="0"/>
                    <w:keepLines w:val="0"/>
                    <w:widowControl/>
                    <w:suppressLineNumbers w:val="0"/>
                    <w:jc w:val="center"/>
                    <w:rPr>
                      <w:rFonts w:hint="default" w:ascii="Times New Roman" w:hAnsi="Times New Roman" w:eastAsia="宋体" w:cs="Times New Roman"/>
                      <w:b w:val="0"/>
                      <w:color w:val="000000"/>
                      <w:sz w:val="21"/>
                      <w:szCs w:val="21"/>
                    </w:rPr>
                  </w:pPr>
                </w:p>
              </w:tc>
            </w:tr>
            <w:tr w14:paraId="6A982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11F39865">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14</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918795B">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轴流风机</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5B95E4E1">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风量1500m</w:t>
                  </w:r>
                  <w:r>
                    <w:rPr>
                      <w:rFonts w:hint="default" w:ascii="Times New Roman" w:hAnsi="Times New Roman" w:eastAsia="宋体" w:cs="Times New Roman"/>
                      <w:b w:val="0"/>
                      <w:color w:val="000000"/>
                      <w:kern w:val="0"/>
                      <w:sz w:val="21"/>
                      <w:szCs w:val="21"/>
                      <w:vertAlign w:val="superscript"/>
                      <w:lang w:val="en-US" w:eastAsia="zh-CN" w:bidi="ar"/>
                    </w:rPr>
                    <w:t>3</w:t>
                  </w:r>
                  <w:r>
                    <w:rPr>
                      <w:rFonts w:hint="default" w:ascii="Times New Roman" w:hAnsi="Times New Roman" w:eastAsia="宋体" w:cs="Times New Roman"/>
                      <w:b w:val="0"/>
                      <w:color w:val="000000"/>
                      <w:kern w:val="0"/>
                      <w:sz w:val="21"/>
                      <w:szCs w:val="21"/>
                      <w:lang w:val="en-US" w:eastAsia="zh-CN" w:bidi="ar"/>
                    </w:rPr>
                    <w:t>/h，风压4000Pa，N=2.0kW</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4E910A1">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2台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AFF4730">
                  <w:pPr>
                    <w:jc w:val="center"/>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w:t>
                  </w:r>
                </w:p>
              </w:tc>
              <w:tc>
                <w:tcPr>
                  <w:tcW w:w="1191" w:type="dxa"/>
                  <w:vMerge w:val="continue"/>
                  <w:tcBorders>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72F119FB">
                  <w:pPr>
                    <w:keepNext w:val="0"/>
                    <w:keepLines w:val="0"/>
                    <w:widowControl/>
                    <w:suppressLineNumbers w:val="0"/>
                    <w:jc w:val="center"/>
                    <w:rPr>
                      <w:rFonts w:hint="default" w:ascii="Times New Roman" w:hAnsi="Times New Roman" w:eastAsia="宋体" w:cs="Times New Roman"/>
                      <w:b w:val="0"/>
                      <w:color w:val="000000"/>
                      <w:sz w:val="21"/>
                      <w:szCs w:val="21"/>
                    </w:rPr>
                  </w:pPr>
                </w:p>
              </w:tc>
            </w:tr>
            <w:tr w14:paraId="5D3D9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4DFAD2AE">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15</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4E58D834">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毛发聚集器</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4EFF980C">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处理量25m</w:t>
                  </w:r>
                  <w:r>
                    <w:rPr>
                      <w:rFonts w:hint="default" w:ascii="Times New Roman" w:hAnsi="Times New Roman" w:eastAsia="宋体" w:cs="Times New Roman"/>
                      <w:b w:val="0"/>
                      <w:color w:val="000000"/>
                      <w:kern w:val="0"/>
                      <w:sz w:val="21"/>
                      <w:szCs w:val="21"/>
                      <w:vertAlign w:val="superscript"/>
                      <w:lang w:val="en-US" w:eastAsia="zh-CN" w:bidi="ar"/>
                    </w:rPr>
                    <w:t>3</w:t>
                  </w:r>
                  <w:r>
                    <w:rPr>
                      <w:rFonts w:hint="default" w:ascii="Times New Roman" w:hAnsi="Times New Roman" w:eastAsia="宋体" w:cs="Times New Roman"/>
                      <w:b w:val="0"/>
                      <w:color w:val="000000"/>
                      <w:kern w:val="0"/>
                      <w:sz w:val="21"/>
                      <w:szCs w:val="21"/>
                      <w:lang w:val="en-US" w:eastAsia="zh-CN" w:bidi="ar"/>
                    </w:rPr>
                    <w:t>/h</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3D04DB28">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3台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134458E8">
                  <w:pPr>
                    <w:jc w:val="center"/>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w:t>
                  </w:r>
                </w:p>
              </w:tc>
              <w:tc>
                <w:tcPr>
                  <w:tcW w:w="1191"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148E3C53">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调节池</w:t>
                  </w:r>
                </w:p>
              </w:tc>
            </w:tr>
            <w:tr w14:paraId="5EDFF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11D80392">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16</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65232D3">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双曲面搅拌机</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1EFE395F">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转速250r/min，叶轮直径260mm，N=1.5kW</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206E997E">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8台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9E304AA">
                  <w:pPr>
                    <w:jc w:val="center"/>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w:t>
                  </w:r>
                </w:p>
              </w:tc>
              <w:tc>
                <w:tcPr>
                  <w:tcW w:w="1191"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63EB1C0F">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厌氧池、缺氧池</w:t>
                  </w:r>
                </w:p>
              </w:tc>
            </w:tr>
            <w:tr w14:paraId="582BD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518"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4B36791">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17</w:t>
                  </w:r>
                </w:p>
              </w:tc>
              <w:tc>
                <w:tcPr>
                  <w:tcW w:w="1730"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57AF6AE2">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除臭设备</w:t>
                  </w:r>
                </w:p>
              </w:tc>
              <w:tc>
                <w:tcPr>
                  <w:tcW w:w="3105"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77B6BFD9">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外形尺寸2000×1000×1500mm；风量1500m</w:t>
                  </w:r>
                  <w:r>
                    <w:rPr>
                      <w:rFonts w:hint="default" w:ascii="Times New Roman" w:hAnsi="Times New Roman" w:eastAsia="宋体" w:cs="Times New Roman"/>
                      <w:b w:val="0"/>
                      <w:color w:val="000000"/>
                      <w:kern w:val="0"/>
                      <w:sz w:val="21"/>
                      <w:szCs w:val="21"/>
                      <w:vertAlign w:val="superscript"/>
                      <w:lang w:val="en-US" w:eastAsia="zh-CN" w:bidi="ar"/>
                    </w:rPr>
                    <w:t>3</w:t>
                  </w:r>
                  <w:r>
                    <w:rPr>
                      <w:rFonts w:hint="default" w:ascii="Times New Roman" w:hAnsi="Times New Roman" w:eastAsia="宋体" w:cs="Times New Roman"/>
                      <w:b w:val="0"/>
                      <w:color w:val="000000"/>
                      <w:kern w:val="0"/>
                      <w:sz w:val="21"/>
                      <w:szCs w:val="21"/>
                      <w:lang w:val="en-US" w:eastAsia="zh-CN" w:bidi="ar"/>
                    </w:rPr>
                    <w:t>/h，压力792Pa，N=2.2kW</w:t>
                  </w:r>
                </w:p>
              </w:tc>
              <w:tc>
                <w:tcPr>
                  <w:tcW w:w="632"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44C5AD5D">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eastAsia" w:ascii="Times New Roman" w:hAnsi="Times New Roman" w:eastAsia="宋体" w:cs="Times New Roman"/>
                      <w:b w:val="0"/>
                      <w:color w:val="000000"/>
                      <w:kern w:val="0"/>
                      <w:sz w:val="21"/>
                      <w:szCs w:val="21"/>
                      <w:lang w:val="en-US" w:eastAsia="zh-CN" w:bidi="ar"/>
                    </w:rPr>
                    <w:t>1</w:t>
                  </w:r>
                  <w:r>
                    <w:rPr>
                      <w:rFonts w:hint="default" w:ascii="Times New Roman" w:hAnsi="Times New Roman" w:eastAsia="宋体" w:cs="Times New Roman"/>
                      <w:b w:val="0"/>
                      <w:color w:val="000000"/>
                      <w:kern w:val="0"/>
                      <w:sz w:val="21"/>
                      <w:szCs w:val="21"/>
                      <w:lang w:val="en-US" w:eastAsia="zh-CN" w:bidi="ar"/>
                    </w:rPr>
                    <w:t>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78F88EC9">
                  <w:pPr>
                    <w:jc w:val="center"/>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w:t>
                  </w:r>
                </w:p>
              </w:tc>
              <w:tc>
                <w:tcPr>
                  <w:tcW w:w="1191" w:type="dxa"/>
                  <w:tcBorders>
                    <w:top w:val="single" w:color="000000" w:sz="4" w:space="0"/>
                    <w:left w:val="single" w:color="000000" w:sz="4" w:space="0"/>
                    <w:bottom w:val="single" w:color="000000" w:sz="4" w:space="0"/>
                    <w:right w:val="single" w:color="000000" w:sz="4" w:space="0"/>
                  </w:tcBorders>
                  <w:shd w:val="clear" w:color="auto" w:fill="FFFFFF"/>
                  <w:tcMar>
                    <w:top w:w="120" w:type="dxa"/>
                    <w:left w:w="120" w:type="dxa"/>
                    <w:bottom w:w="120" w:type="dxa"/>
                    <w:right w:w="120" w:type="dxa"/>
                  </w:tcMar>
                  <w:vAlign w:val="center"/>
                </w:tcPr>
                <w:p w14:paraId="047712BA">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废气处理间（厂区）</w:t>
                  </w:r>
                </w:p>
              </w:tc>
            </w:tr>
          </w:tbl>
          <w:p w14:paraId="5F077496">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jc w:val="left"/>
              <w:textAlignment w:val="auto"/>
              <w:rPr>
                <w:rFonts w:hint="default" w:ascii="Times New Roman" w:hAnsi="Times New Roman" w:eastAsia="宋体" w:cs="Times New Roman"/>
                <w:b/>
                <w:bCs/>
                <w:color w:val="auto"/>
                <w:sz w:val="24"/>
                <w:highlight w:val="none"/>
                <w:lang w:val="en-US" w:eastAsia="zh-CN"/>
              </w:rPr>
            </w:pPr>
            <w:r>
              <w:rPr>
                <w:rFonts w:hint="eastAsia" w:cs="Times New Roman"/>
                <w:b/>
                <w:bCs/>
                <w:color w:val="auto"/>
                <w:kern w:val="2"/>
                <w:sz w:val="24"/>
                <w:szCs w:val="24"/>
                <w:lang w:val="en-US" w:eastAsia="zh-CN" w:bidi="ar-SA"/>
              </w:rPr>
              <w:t>2.</w:t>
            </w:r>
            <w:r>
              <w:rPr>
                <w:rFonts w:hint="eastAsia" w:ascii="Times New Roman" w:hAnsi="Times New Roman" w:eastAsia="宋体" w:cs="Times New Roman"/>
                <w:b/>
                <w:bCs/>
                <w:color w:val="auto"/>
                <w:kern w:val="2"/>
                <w:sz w:val="24"/>
                <w:szCs w:val="24"/>
                <w:lang w:val="en-US" w:eastAsia="zh-CN" w:bidi="ar-SA"/>
              </w:rPr>
              <w:t>4</w:t>
            </w:r>
            <w:r>
              <w:rPr>
                <w:rFonts w:hint="default" w:ascii="Times New Roman" w:hAnsi="Times New Roman" w:eastAsia="宋体" w:cs="Times New Roman"/>
                <w:b/>
                <w:bCs/>
                <w:color w:val="auto"/>
                <w:sz w:val="24"/>
                <w:highlight w:val="none"/>
                <w:lang w:val="en-US" w:eastAsia="zh-CN"/>
              </w:rPr>
              <w:t>收水范围及进出水水质</w:t>
            </w:r>
          </w:p>
          <w:p w14:paraId="2BB9050D">
            <w:pPr>
              <w:keepNext w:val="0"/>
              <w:keepLines w:val="0"/>
              <w:pageBreakBefore w:val="0"/>
              <w:widowControl w:val="0"/>
              <w:numPr>
                <w:ilvl w:val="0"/>
                <w:numId w:val="1"/>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sz w:val="24"/>
                <w:szCs w:val="24"/>
                <w:lang w:val="en-US" w:eastAsia="zh-CN"/>
              </w:rPr>
            </w:pPr>
            <w:r>
              <w:rPr>
                <w:rFonts w:hint="eastAsia"/>
                <w:sz w:val="24"/>
                <w:szCs w:val="24"/>
                <w:lang w:val="en-US" w:eastAsia="zh-CN"/>
              </w:rPr>
              <w:t>收水范围及进水水质</w:t>
            </w:r>
          </w:p>
          <w:p w14:paraId="7709C31E">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SA"/>
              </w:rPr>
            </w:pPr>
            <w:r>
              <w:rPr>
                <w:rFonts w:hint="eastAsia"/>
                <w:sz w:val="24"/>
                <w:szCs w:val="24"/>
                <w:lang w:val="en-US" w:eastAsia="zh-CN"/>
              </w:rPr>
              <w:t>本项目</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收集处理库尔勒上库高新区石油石化产业园</w:t>
            </w:r>
            <w:r>
              <w:rPr>
                <w:rFonts w:hint="eastAsia"/>
                <w:sz w:val="24"/>
                <w:szCs w:val="24"/>
                <w:lang w:val="en-US" w:eastAsia="zh-CN"/>
              </w:rPr>
              <w:t>产生的</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生活污水。</w:t>
            </w:r>
            <w:r>
              <w:rPr>
                <w:rFonts w:hint="eastAsia"/>
                <w:sz w:val="24"/>
                <w:szCs w:val="24"/>
                <w:lang w:val="en-US" w:eastAsia="zh-CN"/>
              </w:rPr>
              <w:t>根据项目初设，本项目进水水质见表2-3。</w:t>
            </w:r>
          </w:p>
          <w:p w14:paraId="5E00B15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（2）</w:t>
            </w:r>
            <w:r>
              <w:rPr>
                <w:rFonts w:hint="eastAsia" w:ascii="Times New Roman" w:hAnsi="Times New Roman" w:eastAsia="宋体" w:cs="Times New Roman"/>
                <w:color w:val="auto"/>
                <w:kern w:val="0"/>
                <w:sz w:val="24"/>
                <w:szCs w:val="24"/>
                <w:lang w:val="en-US" w:eastAsia="zh-CN" w:bidi="ar-SA"/>
              </w:rPr>
              <w:t>出水水质</w:t>
            </w:r>
          </w:p>
          <w:p w14:paraId="13D3C378">
            <w:pPr>
              <w:pStyle w:val="9"/>
              <w:keepNext w:val="0"/>
              <w:keepLines w:val="0"/>
              <w:pageBreakBefore w:val="0"/>
              <w:widowControl w:val="0"/>
              <w:kinsoku/>
              <w:wordWrap/>
              <w:overflowPunct/>
              <w:topLinePunct w:val="0"/>
              <w:bidi w:val="0"/>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本工程设计出水水质执行《城镇污水处理厂污染物排放标准》</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GB18918-2002</w:t>
            </w:r>
            <w:r>
              <w:rPr>
                <w:rFonts w:hint="eastAsia" w:cs="Times New Roman"/>
                <w:color w:val="auto"/>
                <w:kern w:val="0"/>
                <w:sz w:val="24"/>
                <w:szCs w:val="24"/>
                <w:highlight w:val="none"/>
                <w:lang w:val="en-US" w:eastAsia="zh-CN"/>
              </w:rPr>
              <w:t>）</w:t>
            </w:r>
            <w:r>
              <w:rPr>
                <w:rFonts w:hint="eastAsia" w:cs="Times New Roman"/>
                <w:lang w:val="en-US" w:eastAsia="zh-CN"/>
              </w:rPr>
              <w:t>及其修改单</w:t>
            </w:r>
            <w:r>
              <w:rPr>
                <w:rFonts w:hint="default" w:ascii="Times New Roman" w:hAnsi="Times New Roman" w:eastAsia="宋体" w:cs="Times New Roman"/>
                <w:color w:val="auto"/>
                <w:kern w:val="0"/>
                <w:sz w:val="24"/>
                <w:szCs w:val="24"/>
                <w:highlight w:val="none"/>
                <w:lang w:val="en-US" w:eastAsia="zh-CN"/>
              </w:rPr>
              <w:t>一级A标准</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《城市污水再生利用 工业用水水质》</w:t>
            </w:r>
            <w:r>
              <w:rPr>
                <w:rFonts w:hint="eastAsia" w:ascii="Times New Roman" w:hAnsi="Times New Roman" w:eastAsia="宋体" w:cs="Times New Roman"/>
                <w:color w:val="auto"/>
                <w:kern w:val="0"/>
                <w:sz w:val="24"/>
                <w:szCs w:val="24"/>
                <w:highlight w:val="none"/>
                <w:lang w:val="en-US" w:eastAsia="zh-CN"/>
              </w:rPr>
              <w:t>（GB/T19923-2024）表1</w:t>
            </w:r>
            <w:r>
              <w:rPr>
                <w:rFonts w:hint="default" w:ascii="Times New Roman" w:hAnsi="Times New Roman" w:eastAsia="宋体" w:cs="Times New Roman"/>
                <w:color w:val="auto"/>
                <w:kern w:val="0"/>
                <w:sz w:val="24"/>
                <w:szCs w:val="24"/>
                <w:highlight w:val="none"/>
                <w:lang w:val="en-US" w:eastAsia="zh-CN"/>
              </w:rPr>
              <w:t>。详细设计进出水水质及相应污水处理效率如下：</w:t>
            </w:r>
          </w:p>
          <w:p w14:paraId="2DCCB3C2">
            <w:pPr>
              <w:pStyle w:val="23"/>
              <w:bidi w:val="0"/>
              <w:rPr>
                <w:rFonts w:hint="eastAsia"/>
                <w:lang w:eastAsia="zh-CN"/>
              </w:rPr>
            </w:pPr>
            <w:r>
              <w:t>表</w:t>
            </w:r>
            <w:r>
              <w:fldChar w:fldCharType="begin"/>
            </w:r>
            <w:r>
              <w:instrText xml:space="preserve"> STYLEREF 1 \s \* ARABIC </w:instrText>
            </w:r>
            <w:r>
              <w:fldChar w:fldCharType="separate"/>
            </w:r>
            <w:r>
              <w:t>2</w:t>
            </w:r>
            <w:r>
              <w:fldChar w:fldCharType="end"/>
            </w:r>
            <w:r>
              <w:rPr>
                <w:rFonts w:hint="eastAsia"/>
                <w:lang w:val="en-US" w:eastAsia="zh-CN"/>
              </w:rPr>
              <w:t>-3</w:t>
            </w:r>
            <w:r>
              <w:rPr>
                <w:rFonts w:hint="eastAsia"/>
                <w:lang w:eastAsia="zh-CN"/>
              </w:rPr>
              <w:t>进出水水质主要指标一览表</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981"/>
              <w:gridCol w:w="928"/>
              <w:gridCol w:w="903"/>
              <w:gridCol w:w="871"/>
              <w:gridCol w:w="954"/>
              <w:gridCol w:w="913"/>
              <w:gridCol w:w="1142"/>
            </w:tblGrid>
            <w:tr w14:paraId="6635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pct"/>
                  <w:noWrap w:val="0"/>
                  <w:vAlign w:val="center"/>
                </w:tcPr>
                <w:p w14:paraId="5ED22EB9">
                  <w:pPr>
                    <w:autoSpaceDE w:val="0"/>
                    <w:autoSpaceDN w:val="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指标</w:t>
                  </w:r>
                </w:p>
              </w:tc>
              <w:tc>
                <w:tcPr>
                  <w:tcW w:w="581" w:type="pct"/>
                  <w:noWrap w:val="0"/>
                  <w:vAlign w:val="center"/>
                </w:tcPr>
                <w:p w14:paraId="21819F97">
                  <w:pPr>
                    <w:autoSpaceDE w:val="0"/>
                    <w:autoSpaceDN w:val="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rPr>
                    <w:t>BOD</w:t>
                  </w:r>
                  <w:r>
                    <w:rPr>
                      <w:rFonts w:hint="default" w:ascii="Times New Roman" w:hAnsi="Times New Roman" w:eastAsia="宋体" w:cs="Times New Roman"/>
                      <w:color w:val="auto"/>
                      <w:kern w:val="0"/>
                      <w:sz w:val="21"/>
                      <w:szCs w:val="21"/>
                      <w:highlight w:val="none"/>
                      <w:vertAlign w:val="subscript"/>
                      <w:lang w:val="en-US" w:eastAsia="zh-CN"/>
                    </w:rPr>
                    <w:t>5</w:t>
                  </w:r>
                </w:p>
              </w:tc>
              <w:tc>
                <w:tcPr>
                  <w:tcW w:w="550" w:type="pct"/>
                  <w:noWrap w:val="0"/>
                  <w:vAlign w:val="center"/>
                </w:tcPr>
                <w:p w14:paraId="503E798F">
                  <w:pPr>
                    <w:autoSpaceDE w:val="0"/>
                    <w:autoSpaceDN w:val="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rPr>
                    <w:t>CODcr</w:t>
                  </w:r>
                </w:p>
              </w:tc>
              <w:tc>
                <w:tcPr>
                  <w:tcW w:w="535" w:type="pct"/>
                  <w:noWrap w:val="0"/>
                  <w:vAlign w:val="center"/>
                </w:tcPr>
                <w:p w14:paraId="71790362">
                  <w:pPr>
                    <w:autoSpaceDE w:val="0"/>
                    <w:autoSpaceDN w:val="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rPr>
                    <w:t>SS</w:t>
                  </w:r>
                </w:p>
              </w:tc>
              <w:tc>
                <w:tcPr>
                  <w:tcW w:w="516" w:type="pct"/>
                  <w:noWrap w:val="0"/>
                  <w:vAlign w:val="center"/>
                </w:tcPr>
                <w:p w14:paraId="1EDA5249">
                  <w:pPr>
                    <w:autoSpaceDE w:val="0"/>
                    <w:autoSpaceDN w:val="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rPr>
                    <w:t>NH</w:t>
                  </w:r>
                  <w:r>
                    <w:rPr>
                      <w:rFonts w:hint="default" w:ascii="Times New Roman" w:hAnsi="Times New Roman" w:eastAsia="宋体" w:cs="Times New Roman"/>
                      <w:color w:val="auto"/>
                      <w:kern w:val="0"/>
                      <w:sz w:val="21"/>
                      <w:szCs w:val="21"/>
                      <w:highlight w:val="none"/>
                      <w:vertAlign w:val="subscript"/>
                      <w:lang w:val="en-US" w:eastAsia="zh-CN"/>
                    </w:rPr>
                    <w:t>3</w:t>
                  </w:r>
                  <w:r>
                    <w:rPr>
                      <w:rFonts w:hint="default" w:ascii="Times New Roman" w:hAnsi="Times New Roman" w:eastAsia="宋体" w:cs="Times New Roman"/>
                      <w:b/>
                      <w:bCs/>
                      <w:color w:val="auto"/>
                      <w:kern w:val="0"/>
                      <w:sz w:val="21"/>
                      <w:szCs w:val="21"/>
                      <w:highlight w:val="none"/>
                    </w:rPr>
                    <w:t>-N</w:t>
                  </w:r>
                </w:p>
              </w:tc>
              <w:tc>
                <w:tcPr>
                  <w:tcW w:w="565" w:type="pct"/>
                  <w:noWrap w:val="0"/>
                  <w:vAlign w:val="center"/>
                </w:tcPr>
                <w:p w14:paraId="789F993C">
                  <w:pPr>
                    <w:autoSpaceDE w:val="0"/>
                    <w:autoSpaceDN w:val="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rPr>
                    <w:t>TN</w:t>
                  </w:r>
                </w:p>
              </w:tc>
              <w:tc>
                <w:tcPr>
                  <w:tcW w:w="541" w:type="pct"/>
                  <w:noWrap w:val="0"/>
                  <w:vAlign w:val="center"/>
                </w:tcPr>
                <w:p w14:paraId="2C37F430">
                  <w:pPr>
                    <w:autoSpaceDE w:val="0"/>
                    <w:autoSpaceDN w:val="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rPr>
                    <w:t>TP</w:t>
                  </w:r>
                </w:p>
              </w:tc>
              <w:tc>
                <w:tcPr>
                  <w:tcW w:w="676" w:type="pct"/>
                  <w:noWrap w:val="0"/>
                  <w:vAlign w:val="center"/>
                </w:tcPr>
                <w:p w14:paraId="43D06B98">
                  <w:pPr>
                    <w:autoSpaceDE w:val="0"/>
                    <w:autoSpaceDN w:val="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rPr>
                    <w:t>pH</w:t>
                  </w:r>
                </w:p>
              </w:tc>
            </w:tr>
            <w:tr w14:paraId="2AA16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pct"/>
                  <w:noWrap w:val="0"/>
                  <w:vAlign w:val="center"/>
                </w:tcPr>
                <w:p w14:paraId="3B45DE16">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进水水质</w:t>
                  </w:r>
                  <w:r>
                    <w:rPr>
                      <w:rFonts w:hint="eastAsia"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rPr>
                    <w:t>mg/L</w:t>
                  </w:r>
                  <w:r>
                    <w:rPr>
                      <w:rFonts w:hint="eastAsia" w:cs="Times New Roman"/>
                      <w:color w:val="auto"/>
                      <w:kern w:val="0"/>
                      <w:sz w:val="21"/>
                      <w:szCs w:val="21"/>
                      <w:highlight w:val="none"/>
                      <w:lang w:val="en-US" w:eastAsia="zh-CN"/>
                    </w:rPr>
                    <w:t>）</w:t>
                  </w:r>
                </w:p>
              </w:tc>
              <w:tc>
                <w:tcPr>
                  <w:tcW w:w="581" w:type="pct"/>
                  <w:noWrap w:val="0"/>
                  <w:vAlign w:val="center"/>
                </w:tcPr>
                <w:p w14:paraId="0F7B65DF">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280</w:t>
                  </w:r>
                </w:p>
              </w:tc>
              <w:tc>
                <w:tcPr>
                  <w:tcW w:w="550" w:type="pct"/>
                  <w:noWrap w:val="0"/>
                  <w:vAlign w:val="center"/>
                </w:tcPr>
                <w:p w14:paraId="50F39518">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640</w:t>
                  </w:r>
                </w:p>
              </w:tc>
              <w:tc>
                <w:tcPr>
                  <w:tcW w:w="535" w:type="pct"/>
                  <w:noWrap w:val="0"/>
                  <w:vAlign w:val="center"/>
                </w:tcPr>
                <w:p w14:paraId="21AF3945">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150</w:t>
                  </w:r>
                </w:p>
              </w:tc>
              <w:tc>
                <w:tcPr>
                  <w:tcW w:w="516" w:type="pct"/>
                  <w:noWrap w:val="0"/>
                  <w:vAlign w:val="center"/>
                </w:tcPr>
                <w:p w14:paraId="771B0A21">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70</w:t>
                  </w:r>
                </w:p>
              </w:tc>
              <w:tc>
                <w:tcPr>
                  <w:tcW w:w="565" w:type="pct"/>
                  <w:noWrap w:val="0"/>
                  <w:vAlign w:val="center"/>
                </w:tcPr>
                <w:p w14:paraId="763A8568">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80</w:t>
                  </w:r>
                </w:p>
              </w:tc>
              <w:tc>
                <w:tcPr>
                  <w:tcW w:w="541" w:type="pct"/>
                  <w:noWrap w:val="0"/>
                  <w:vAlign w:val="center"/>
                </w:tcPr>
                <w:p w14:paraId="00F54CEE">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8</w:t>
                  </w:r>
                </w:p>
              </w:tc>
              <w:tc>
                <w:tcPr>
                  <w:tcW w:w="676" w:type="pct"/>
                  <w:noWrap w:val="0"/>
                  <w:vAlign w:val="center"/>
                </w:tcPr>
                <w:p w14:paraId="36B97A7A">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6-9</w:t>
                  </w:r>
                </w:p>
              </w:tc>
            </w:tr>
            <w:tr w14:paraId="09F9E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pct"/>
                  <w:noWrap w:val="0"/>
                  <w:vAlign w:val="center"/>
                </w:tcPr>
                <w:p w14:paraId="45856116">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出水水质</w:t>
                  </w:r>
                  <w:r>
                    <w:rPr>
                      <w:rFonts w:hint="eastAsia"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rPr>
                    <w:t>mg/L</w:t>
                  </w:r>
                  <w:r>
                    <w:rPr>
                      <w:rFonts w:hint="eastAsia" w:cs="Times New Roman"/>
                      <w:color w:val="auto"/>
                      <w:kern w:val="0"/>
                      <w:sz w:val="21"/>
                      <w:szCs w:val="21"/>
                      <w:highlight w:val="none"/>
                      <w:lang w:val="en-US" w:eastAsia="zh-CN"/>
                    </w:rPr>
                    <w:t>）</w:t>
                  </w:r>
                </w:p>
              </w:tc>
              <w:tc>
                <w:tcPr>
                  <w:tcW w:w="581" w:type="pct"/>
                  <w:noWrap w:val="0"/>
                  <w:vAlign w:val="center"/>
                </w:tcPr>
                <w:p w14:paraId="3CC6D4D1">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≤10</w:t>
                  </w:r>
                </w:p>
              </w:tc>
              <w:tc>
                <w:tcPr>
                  <w:tcW w:w="550" w:type="pct"/>
                  <w:noWrap w:val="0"/>
                  <w:vAlign w:val="center"/>
                </w:tcPr>
                <w:p w14:paraId="66F4E1D7">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≤50</w:t>
                  </w:r>
                </w:p>
              </w:tc>
              <w:tc>
                <w:tcPr>
                  <w:tcW w:w="535" w:type="pct"/>
                  <w:noWrap w:val="0"/>
                  <w:vAlign w:val="center"/>
                </w:tcPr>
                <w:p w14:paraId="6B7AF737">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≤10</w:t>
                  </w:r>
                </w:p>
              </w:tc>
              <w:tc>
                <w:tcPr>
                  <w:tcW w:w="516" w:type="pct"/>
                  <w:noWrap w:val="0"/>
                  <w:vAlign w:val="center"/>
                </w:tcPr>
                <w:p w14:paraId="2EE79B75">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w:t>
                  </w:r>
                </w:p>
              </w:tc>
              <w:tc>
                <w:tcPr>
                  <w:tcW w:w="565" w:type="pct"/>
                  <w:noWrap w:val="0"/>
                  <w:vAlign w:val="center"/>
                </w:tcPr>
                <w:p w14:paraId="3B176600">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≤15</w:t>
                  </w:r>
                </w:p>
              </w:tc>
              <w:tc>
                <w:tcPr>
                  <w:tcW w:w="541" w:type="pct"/>
                  <w:noWrap w:val="0"/>
                  <w:vAlign w:val="center"/>
                </w:tcPr>
                <w:p w14:paraId="5BB544CF">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≤0.5</w:t>
                  </w:r>
                </w:p>
              </w:tc>
              <w:tc>
                <w:tcPr>
                  <w:tcW w:w="676" w:type="pct"/>
                  <w:noWrap w:val="0"/>
                  <w:vAlign w:val="center"/>
                </w:tcPr>
                <w:p w14:paraId="4EF85FAC">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6-9</w:t>
                  </w:r>
                </w:p>
              </w:tc>
            </w:tr>
            <w:tr w14:paraId="0C05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 w:type="pct"/>
                  <w:noWrap w:val="0"/>
                  <w:vAlign w:val="center"/>
                </w:tcPr>
                <w:p w14:paraId="511DA14C">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处理效率</w:t>
                  </w:r>
                  <w:r>
                    <w:rPr>
                      <w:rFonts w:hint="eastAsia"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w:t>
                  </w:r>
                  <w:r>
                    <w:rPr>
                      <w:rFonts w:hint="eastAsia" w:cs="Times New Roman"/>
                      <w:color w:val="auto"/>
                      <w:kern w:val="0"/>
                      <w:sz w:val="21"/>
                      <w:szCs w:val="21"/>
                      <w:highlight w:val="none"/>
                      <w:lang w:val="en-US" w:eastAsia="zh-CN"/>
                    </w:rPr>
                    <w:t>）</w:t>
                  </w:r>
                </w:p>
              </w:tc>
              <w:tc>
                <w:tcPr>
                  <w:tcW w:w="581" w:type="pct"/>
                  <w:noWrap w:val="0"/>
                  <w:vAlign w:val="center"/>
                </w:tcPr>
                <w:p w14:paraId="29DFC943">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≥96.4</w:t>
                  </w:r>
                </w:p>
              </w:tc>
              <w:tc>
                <w:tcPr>
                  <w:tcW w:w="550" w:type="pct"/>
                  <w:noWrap w:val="0"/>
                  <w:vAlign w:val="center"/>
                </w:tcPr>
                <w:p w14:paraId="79BDE1A1">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≥92.2</w:t>
                  </w:r>
                </w:p>
              </w:tc>
              <w:tc>
                <w:tcPr>
                  <w:tcW w:w="535" w:type="pct"/>
                  <w:noWrap w:val="0"/>
                  <w:vAlign w:val="center"/>
                </w:tcPr>
                <w:p w14:paraId="763E9564">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≥93.3</w:t>
                  </w:r>
                </w:p>
              </w:tc>
              <w:tc>
                <w:tcPr>
                  <w:tcW w:w="516" w:type="pct"/>
                  <w:noWrap w:val="0"/>
                  <w:vAlign w:val="center"/>
                </w:tcPr>
                <w:p w14:paraId="2FAF2DDF">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≥92.9</w:t>
                  </w:r>
                </w:p>
              </w:tc>
              <w:tc>
                <w:tcPr>
                  <w:tcW w:w="565" w:type="pct"/>
                  <w:noWrap w:val="0"/>
                  <w:vAlign w:val="center"/>
                </w:tcPr>
                <w:p w14:paraId="5E256097">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≥81.3</w:t>
                  </w:r>
                </w:p>
              </w:tc>
              <w:tc>
                <w:tcPr>
                  <w:tcW w:w="541" w:type="pct"/>
                  <w:noWrap w:val="0"/>
                  <w:vAlign w:val="center"/>
                </w:tcPr>
                <w:p w14:paraId="60A2CEB8">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≥93.8</w:t>
                  </w:r>
                </w:p>
              </w:tc>
              <w:tc>
                <w:tcPr>
                  <w:tcW w:w="676" w:type="pct"/>
                  <w:noWrap w:val="0"/>
                  <w:vAlign w:val="center"/>
                </w:tcPr>
                <w:p w14:paraId="222BC2AD">
                  <w:pPr>
                    <w:autoSpaceDE w:val="0"/>
                    <w:autoSpaceDN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r>
          </w:tbl>
          <w:p w14:paraId="2EC2FBF1">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425" w:leftChars="0" w:hanging="425" w:firstLineChars="0"/>
              <w:jc w:val="left"/>
              <w:textAlignment w:val="auto"/>
              <w:rPr>
                <w:rFonts w:hint="default" w:ascii="Times New Roman" w:hAnsi="Times New Roman" w:eastAsia="宋体" w:cs="Times New Roman"/>
                <w:b/>
                <w:bCs/>
                <w:color w:val="auto"/>
                <w:sz w:val="24"/>
                <w:highlight w:val="none"/>
                <w:lang w:val="en-US" w:eastAsia="zh-CN"/>
              </w:rPr>
            </w:pPr>
            <w:r>
              <w:rPr>
                <w:rFonts w:hint="eastAsia" w:cs="Times New Roman"/>
                <w:b/>
                <w:bCs/>
                <w:color w:val="auto"/>
                <w:kern w:val="2"/>
                <w:sz w:val="24"/>
                <w:szCs w:val="24"/>
                <w:lang w:val="en-US" w:eastAsia="zh-CN" w:bidi="ar-SA"/>
              </w:rPr>
              <w:t>2.5</w:t>
            </w:r>
            <w:r>
              <w:rPr>
                <w:rFonts w:hint="default" w:ascii="Times New Roman" w:hAnsi="Times New Roman" w:eastAsia="宋体" w:cs="Times New Roman"/>
                <w:b/>
                <w:bCs/>
                <w:color w:val="auto"/>
                <w:sz w:val="24"/>
                <w:highlight w:val="none"/>
                <w:lang w:val="en-US" w:eastAsia="zh-CN"/>
              </w:rPr>
              <w:t>原辅材料及</w:t>
            </w:r>
            <w:r>
              <w:rPr>
                <w:rFonts w:hint="eastAsia" w:ascii="Times New Roman" w:hAnsi="Times New Roman" w:eastAsia="宋体" w:cs="Times New Roman"/>
                <w:b/>
                <w:bCs/>
                <w:color w:val="auto"/>
                <w:sz w:val="24"/>
                <w:highlight w:val="none"/>
                <w:lang w:val="en-US" w:eastAsia="zh-CN"/>
              </w:rPr>
              <w:t>能源</w:t>
            </w:r>
            <w:r>
              <w:rPr>
                <w:rFonts w:hint="default" w:ascii="Times New Roman" w:hAnsi="Times New Roman" w:eastAsia="宋体" w:cs="Times New Roman"/>
                <w:b/>
                <w:bCs/>
                <w:color w:val="auto"/>
                <w:sz w:val="24"/>
                <w:highlight w:val="none"/>
                <w:lang w:val="en-US" w:eastAsia="zh-CN"/>
              </w:rPr>
              <w:t>消耗情况</w:t>
            </w:r>
          </w:p>
          <w:p w14:paraId="1CC84A6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zh-CN" w:eastAsia="zh-CN"/>
              </w:rPr>
              <w:t>本项目主要辅料</w:t>
            </w:r>
            <w:r>
              <w:rPr>
                <w:rFonts w:hint="eastAsia" w:cs="Times New Roman"/>
                <w:color w:val="auto"/>
                <w:kern w:val="0"/>
                <w:sz w:val="24"/>
                <w:highlight w:val="none"/>
                <w:lang w:val="en-US" w:eastAsia="zh-CN"/>
              </w:rPr>
              <w:t>为PAC、PAM、次氯酸钠、乙酸钠、和磁粉。</w:t>
            </w:r>
            <w:r>
              <w:rPr>
                <w:rFonts w:hint="default" w:ascii="Times New Roman" w:hAnsi="Times New Roman" w:eastAsia="宋体" w:cs="Times New Roman"/>
                <w:color w:val="auto"/>
                <w:kern w:val="0"/>
                <w:sz w:val="24"/>
                <w:highlight w:val="none"/>
                <w:lang w:val="zh-CN" w:eastAsia="zh-CN"/>
              </w:rPr>
              <w:t>能源消耗</w:t>
            </w:r>
            <w:r>
              <w:rPr>
                <w:rFonts w:hint="eastAsia" w:cs="Times New Roman"/>
                <w:color w:val="auto"/>
                <w:kern w:val="0"/>
                <w:sz w:val="24"/>
                <w:highlight w:val="none"/>
                <w:lang w:val="en-US" w:eastAsia="zh-CN"/>
              </w:rPr>
              <w:t>包括电和水。</w:t>
            </w:r>
            <w:r>
              <w:rPr>
                <w:rFonts w:hint="default" w:ascii="Times New Roman" w:hAnsi="Times New Roman" w:eastAsia="宋体" w:cs="Times New Roman"/>
                <w:color w:val="auto"/>
                <w:kern w:val="0"/>
                <w:sz w:val="24"/>
                <w:highlight w:val="none"/>
                <w:lang w:val="zh-CN" w:eastAsia="zh-CN"/>
              </w:rPr>
              <w:t>本项目主要原辅材料</w:t>
            </w:r>
            <w:r>
              <w:rPr>
                <w:rFonts w:hint="eastAsia" w:cs="Times New Roman"/>
                <w:color w:val="auto"/>
                <w:kern w:val="0"/>
                <w:sz w:val="24"/>
                <w:highlight w:val="none"/>
                <w:lang w:val="en-US" w:eastAsia="zh-CN"/>
              </w:rPr>
              <w:t>消耗情况见表2-4；主要能源消耗情况见表2-5。</w:t>
            </w:r>
          </w:p>
          <w:p w14:paraId="5CB280BC">
            <w:pPr>
              <w:pStyle w:val="23"/>
              <w:bidi w:val="0"/>
              <w:rPr>
                <w:rFonts w:hint="eastAsia"/>
                <w:lang w:eastAsia="zh-CN"/>
              </w:rPr>
            </w:pPr>
            <w:r>
              <w:t>表</w:t>
            </w:r>
            <w:r>
              <w:fldChar w:fldCharType="begin"/>
            </w:r>
            <w:r>
              <w:instrText xml:space="preserve"> STYLEREF 1 \s \* ARABIC </w:instrText>
            </w:r>
            <w:r>
              <w:fldChar w:fldCharType="separate"/>
            </w:r>
            <w:r>
              <w:t>2</w:t>
            </w:r>
            <w:r>
              <w:fldChar w:fldCharType="end"/>
            </w:r>
            <w:r>
              <w:rPr>
                <w:rFonts w:hint="eastAsia"/>
                <w:lang w:val="en-US" w:eastAsia="zh-CN"/>
              </w:rPr>
              <w:t>-4</w:t>
            </w:r>
            <w:r>
              <w:rPr>
                <w:rFonts w:hint="eastAsia"/>
                <w:lang w:eastAsia="zh-CN"/>
              </w:rPr>
              <w:t>原辅材料消耗情况一览表（单位：t/a）</w:t>
            </w:r>
          </w:p>
          <w:tbl>
            <w:tblPr>
              <w:tblStyle w:val="1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333"/>
              <w:gridCol w:w="2174"/>
              <w:gridCol w:w="2371"/>
              <w:gridCol w:w="2564"/>
            </w:tblGrid>
            <w:tr w14:paraId="29F388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789" w:type="pct"/>
                  <w:vMerge w:val="restart"/>
                  <w:tcBorders>
                    <w:top w:val="single" w:color="auto" w:sz="4" w:space="0"/>
                    <w:left w:val="single" w:color="auto" w:sz="0" w:space="0"/>
                    <w:tl2br w:val="nil"/>
                    <w:tr2bl w:val="nil"/>
                  </w:tcBorders>
                  <w:noWrap w:val="0"/>
                  <w:vAlign w:val="center"/>
                </w:tcPr>
                <w:p w14:paraId="663ACD3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kern w:val="0"/>
                      <w:sz w:val="21"/>
                      <w:szCs w:val="21"/>
                      <w:highlight w:val="none"/>
                      <w:lang w:val="en-US" w:bidi="ar-SA"/>
                    </w:rPr>
                  </w:pPr>
                  <w:r>
                    <w:rPr>
                      <w:rFonts w:hint="default" w:ascii="Times New Roman" w:hAnsi="Times New Roman" w:eastAsia="宋体" w:cs="Times New Roman"/>
                      <w:b/>
                      <w:bCs/>
                      <w:color w:val="auto"/>
                      <w:spacing w:val="-3"/>
                      <w:kern w:val="0"/>
                      <w:sz w:val="21"/>
                      <w:szCs w:val="21"/>
                      <w:highlight w:val="none"/>
                      <w:lang w:val="zh-CN" w:bidi="zh-CN"/>
                    </w:rPr>
                    <w:t>序号</w:t>
                  </w:r>
                </w:p>
              </w:tc>
              <w:tc>
                <w:tcPr>
                  <w:tcW w:w="1287" w:type="pct"/>
                  <w:vMerge w:val="restart"/>
                  <w:tcBorders>
                    <w:top w:val="single" w:color="auto" w:sz="4" w:space="0"/>
                    <w:tl2br w:val="nil"/>
                    <w:tr2bl w:val="nil"/>
                  </w:tcBorders>
                  <w:noWrap w:val="0"/>
                  <w:vAlign w:val="center"/>
                </w:tcPr>
                <w:p w14:paraId="3295961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kern w:val="0"/>
                      <w:sz w:val="21"/>
                      <w:szCs w:val="21"/>
                      <w:highlight w:val="none"/>
                      <w:lang w:val="en-US" w:bidi="ar-SA"/>
                    </w:rPr>
                  </w:pPr>
                  <w:r>
                    <w:rPr>
                      <w:rFonts w:hint="default" w:ascii="Times New Roman" w:hAnsi="Times New Roman" w:eastAsia="宋体" w:cs="Times New Roman"/>
                      <w:b/>
                      <w:bCs/>
                      <w:color w:val="auto"/>
                      <w:spacing w:val="-3"/>
                      <w:kern w:val="0"/>
                      <w:sz w:val="21"/>
                      <w:szCs w:val="21"/>
                      <w:highlight w:val="none"/>
                      <w:lang w:val="zh-CN" w:bidi="zh-CN"/>
                    </w:rPr>
                    <w:t>名称</w:t>
                  </w:r>
                </w:p>
              </w:tc>
              <w:tc>
                <w:tcPr>
                  <w:tcW w:w="1404" w:type="pct"/>
                  <w:vMerge w:val="restart"/>
                  <w:tcBorders>
                    <w:top w:val="single" w:color="auto" w:sz="4" w:space="0"/>
                    <w:tl2br w:val="nil"/>
                    <w:tr2bl w:val="nil"/>
                  </w:tcBorders>
                  <w:shd w:val="clear" w:color="auto" w:fill="auto"/>
                  <w:noWrap w:val="0"/>
                  <w:vAlign w:val="center"/>
                </w:tcPr>
                <w:p w14:paraId="192A501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spacing w:val="-3"/>
                      <w:kern w:val="0"/>
                      <w:sz w:val="21"/>
                      <w:szCs w:val="21"/>
                      <w:highlight w:val="none"/>
                      <w:lang w:val="en-US" w:eastAsia="zh-CN" w:bidi="zh-CN"/>
                    </w:rPr>
                    <w:t>年用量</w:t>
                  </w:r>
                </w:p>
              </w:tc>
              <w:tc>
                <w:tcPr>
                  <w:tcW w:w="1518" w:type="pct"/>
                  <w:vMerge w:val="restart"/>
                  <w:tcBorders>
                    <w:top w:val="single" w:color="auto" w:sz="4" w:space="0"/>
                    <w:right w:val="single" w:color="auto" w:sz="4" w:space="0"/>
                    <w:tl2br w:val="nil"/>
                    <w:tr2bl w:val="nil"/>
                  </w:tcBorders>
                  <w:noWrap w:val="0"/>
                  <w:vAlign w:val="center"/>
                </w:tcPr>
                <w:p w14:paraId="6BA75D7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pacing w:val="-3"/>
                      <w:kern w:val="0"/>
                      <w:sz w:val="21"/>
                      <w:szCs w:val="21"/>
                      <w:highlight w:val="none"/>
                      <w:lang w:val="en-US" w:eastAsia="zh-CN" w:bidi="zh-CN"/>
                    </w:rPr>
                  </w:pPr>
                  <w:r>
                    <w:rPr>
                      <w:rFonts w:hint="default" w:ascii="Times New Roman" w:hAnsi="Times New Roman" w:eastAsia="宋体" w:cs="Times New Roman"/>
                      <w:b/>
                      <w:bCs/>
                      <w:color w:val="auto"/>
                      <w:spacing w:val="-3"/>
                      <w:kern w:val="0"/>
                      <w:sz w:val="21"/>
                      <w:szCs w:val="21"/>
                      <w:highlight w:val="none"/>
                      <w:lang w:val="en-US" w:eastAsia="zh-CN" w:bidi="zh-CN"/>
                    </w:rPr>
                    <w:t>来源</w:t>
                  </w:r>
                </w:p>
              </w:tc>
            </w:tr>
            <w:tr w14:paraId="3A02F7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789" w:type="pct"/>
                  <w:vMerge w:val="continue"/>
                  <w:tcBorders>
                    <w:left w:val="single" w:color="auto" w:sz="4" w:space="0"/>
                    <w:tl2br w:val="nil"/>
                    <w:tr2bl w:val="nil"/>
                  </w:tcBorders>
                  <w:noWrap w:val="0"/>
                  <w:vAlign w:val="center"/>
                </w:tcPr>
                <w:p w14:paraId="6BE89A5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1"/>
                      <w:szCs w:val="21"/>
                      <w:highlight w:val="none"/>
                    </w:rPr>
                  </w:pPr>
                </w:p>
              </w:tc>
              <w:tc>
                <w:tcPr>
                  <w:tcW w:w="1287" w:type="pct"/>
                  <w:vMerge w:val="continue"/>
                  <w:tcBorders>
                    <w:tl2br w:val="nil"/>
                    <w:tr2bl w:val="nil"/>
                  </w:tcBorders>
                  <w:noWrap w:val="0"/>
                  <w:vAlign w:val="center"/>
                </w:tcPr>
                <w:p w14:paraId="2682E69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1"/>
                      <w:szCs w:val="21"/>
                      <w:highlight w:val="none"/>
                    </w:rPr>
                  </w:pPr>
                </w:p>
              </w:tc>
              <w:tc>
                <w:tcPr>
                  <w:tcW w:w="1404" w:type="pct"/>
                  <w:vMerge w:val="continue"/>
                  <w:tcBorders>
                    <w:tl2br w:val="nil"/>
                    <w:tr2bl w:val="nil"/>
                  </w:tcBorders>
                  <w:shd w:val="clear" w:color="auto" w:fill="auto"/>
                  <w:noWrap w:val="0"/>
                  <w:vAlign w:val="center"/>
                </w:tcPr>
                <w:p w14:paraId="4A38B6F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pacing w:val="-3"/>
                      <w:kern w:val="0"/>
                      <w:sz w:val="21"/>
                      <w:szCs w:val="21"/>
                      <w:highlight w:val="none"/>
                      <w:lang w:val="en-US" w:eastAsia="zh-CN" w:bidi="zh-CN"/>
                    </w:rPr>
                  </w:pPr>
                </w:p>
              </w:tc>
              <w:tc>
                <w:tcPr>
                  <w:tcW w:w="1518" w:type="pct"/>
                  <w:vMerge w:val="continue"/>
                  <w:tcBorders>
                    <w:right w:val="single" w:color="auto" w:sz="4" w:space="0"/>
                    <w:tl2br w:val="nil"/>
                    <w:tr2bl w:val="nil"/>
                  </w:tcBorders>
                  <w:noWrap w:val="0"/>
                  <w:vAlign w:val="center"/>
                </w:tcPr>
                <w:p w14:paraId="758C916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pacing w:val="-3"/>
                      <w:kern w:val="0"/>
                      <w:sz w:val="21"/>
                      <w:szCs w:val="21"/>
                      <w:highlight w:val="none"/>
                      <w:lang w:val="en-US" w:eastAsia="zh-CN" w:bidi="zh-CN"/>
                    </w:rPr>
                  </w:pPr>
                </w:p>
              </w:tc>
            </w:tr>
            <w:tr w14:paraId="1BDB0E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789" w:type="pct"/>
                  <w:tcBorders>
                    <w:left w:val="single" w:color="auto" w:sz="4" w:space="0"/>
                    <w:tl2br w:val="nil"/>
                    <w:tr2bl w:val="nil"/>
                  </w:tcBorders>
                  <w:noWrap w:val="0"/>
                  <w:vAlign w:val="center"/>
                </w:tcPr>
                <w:p w14:paraId="060408D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en-US" w:eastAsia="zh-CN" w:bidi="zh-CN"/>
                    </w:rPr>
                  </w:pPr>
                  <w:r>
                    <w:rPr>
                      <w:rFonts w:hint="default" w:ascii="Times New Roman" w:hAnsi="Times New Roman" w:eastAsia="宋体" w:cs="Times New Roman"/>
                      <w:color w:val="auto"/>
                      <w:spacing w:val="-3"/>
                      <w:kern w:val="0"/>
                      <w:sz w:val="21"/>
                      <w:szCs w:val="21"/>
                      <w:highlight w:val="none"/>
                      <w:lang w:val="en-US" w:eastAsia="zh-CN" w:bidi="zh-CN"/>
                    </w:rPr>
                    <w:t>1</w:t>
                  </w:r>
                </w:p>
              </w:tc>
              <w:tc>
                <w:tcPr>
                  <w:tcW w:w="1287" w:type="pct"/>
                  <w:tcBorders>
                    <w:tl2br w:val="nil"/>
                    <w:tr2bl w:val="nil"/>
                  </w:tcBorders>
                  <w:shd w:val="clear" w:color="auto" w:fill="auto"/>
                  <w:noWrap w:val="0"/>
                  <w:vAlign w:val="center"/>
                </w:tcPr>
                <w:p w14:paraId="08A18E5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en-US" w:eastAsia="zh-CN" w:bidi="zh-CN"/>
                    </w:rPr>
                  </w:pPr>
                  <w:r>
                    <w:rPr>
                      <w:rFonts w:hint="default" w:ascii="Times New Roman" w:hAnsi="Times New Roman" w:eastAsia="宋体" w:cs="Times New Roman"/>
                      <w:color w:val="auto"/>
                      <w:spacing w:val="-3"/>
                      <w:kern w:val="0"/>
                      <w:sz w:val="21"/>
                      <w:szCs w:val="21"/>
                      <w:highlight w:val="none"/>
                      <w:lang w:val="en-US" w:eastAsia="zh-CN" w:bidi="zh-CN"/>
                    </w:rPr>
                    <w:t>PAC</w:t>
                  </w:r>
                </w:p>
              </w:tc>
              <w:tc>
                <w:tcPr>
                  <w:tcW w:w="2364" w:type="dxa"/>
                  <w:tcBorders>
                    <w:tl2br w:val="nil"/>
                    <w:tr2bl w:val="nil"/>
                  </w:tcBorders>
                  <w:shd w:val="clear" w:color="auto" w:fill="auto"/>
                  <w:noWrap w:val="0"/>
                  <w:vAlign w:val="center"/>
                </w:tcPr>
                <w:p w14:paraId="2B2AB6D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en-US" w:eastAsia="zh-CN" w:bidi="zh-CN"/>
                    </w:rPr>
                  </w:pPr>
                  <w:r>
                    <w:rPr>
                      <w:rFonts w:hint="eastAsia" w:ascii="Times New Roman" w:hAnsi="Times New Roman" w:eastAsia="宋体" w:cs="Times New Roman"/>
                      <w:color w:val="auto"/>
                      <w:spacing w:val="-3"/>
                      <w:kern w:val="0"/>
                      <w:sz w:val="21"/>
                      <w:szCs w:val="21"/>
                      <w:highlight w:val="none"/>
                      <w:lang w:val="en-US" w:eastAsia="zh-CN" w:bidi="zh-CN"/>
                    </w:rPr>
                    <w:t>23</w:t>
                  </w:r>
                </w:p>
              </w:tc>
              <w:tc>
                <w:tcPr>
                  <w:tcW w:w="1518" w:type="pct"/>
                  <w:tcBorders>
                    <w:right w:val="single" w:color="auto" w:sz="4" w:space="0"/>
                    <w:tl2br w:val="nil"/>
                    <w:tr2bl w:val="nil"/>
                  </w:tcBorders>
                  <w:shd w:val="clear" w:color="auto" w:fill="auto"/>
                  <w:noWrap w:val="0"/>
                  <w:vAlign w:val="center"/>
                </w:tcPr>
                <w:p w14:paraId="7C56EE5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en-US" w:eastAsia="zh-CN" w:bidi="zh-CN"/>
                    </w:rPr>
                  </w:pPr>
                  <w:r>
                    <w:rPr>
                      <w:rFonts w:hint="default" w:ascii="Times New Roman" w:hAnsi="Times New Roman" w:eastAsia="宋体" w:cs="Times New Roman"/>
                      <w:color w:val="auto"/>
                      <w:spacing w:val="-3"/>
                      <w:kern w:val="0"/>
                      <w:sz w:val="21"/>
                      <w:szCs w:val="21"/>
                      <w:highlight w:val="none"/>
                      <w:lang w:val="en-US" w:eastAsia="zh-CN" w:bidi="zh-CN"/>
                    </w:rPr>
                    <w:t>外购</w:t>
                  </w:r>
                </w:p>
              </w:tc>
            </w:tr>
            <w:tr w14:paraId="2CA509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789" w:type="pct"/>
                  <w:tcBorders>
                    <w:left w:val="single" w:color="auto" w:sz="4" w:space="0"/>
                    <w:tl2br w:val="nil"/>
                    <w:tr2bl w:val="nil"/>
                  </w:tcBorders>
                  <w:noWrap w:val="0"/>
                  <w:vAlign w:val="center"/>
                </w:tcPr>
                <w:p w14:paraId="357A7E8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bidi="zh-CN"/>
                    </w:rPr>
                  </w:pPr>
                  <w:r>
                    <w:rPr>
                      <w:rFonts w:hint="default" w:ascii="Times New Roman" w:hAnsi="Times New Roman" w:eastAsia="宋体" w:cs="Times New Roman"/>
                      <w:color w:val="auto"/>
                      <w:kern w:val="0"/>
                      <w:sz w:val="21"/>
                      <w:szCs w:val="21"/>
                      <w:highlight w:val="none"/>
                      <w:lang w:val="en-US" w:eastAsia="zh-CN" w:bidi="zh-CN"/>
                    </w:rPr>
                    <w:t>2</w:t>
                  </w:r>
                </w:p>
              </w:tc>
              <w:tc>
                <w:tcPr>
                  <w:tcW w:w="1287" w:type="pct"/>
                  <w:tcBorders>
                    <w:tl2br w:val="nil"/>
                    <w:tr2bl w:val="nil"/>
                  </w:tcBorders>
                  <w:shd w:val="clear" w:color="auto" w:fill="auto"/>
                  <w:noWrap w:val="0"/>
                  <w:vAlign w:val="center"/>
                </w:tcPr>
                <w:p w14:paraId="1653CB2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en-US" w:eastAsia="zh-CN" w:bidi="zh-CN"/>
                    </w:rPr>
                  </w:pPr>
                  <w:r>
                    <w:rPr>
                      <w:rFonts w:hint="default" w:ascii="Times New Roman" w:hAnsi="Times New Roman" w:eastAsia="宋体" w:cs="Times New Roman"/>
                      <w:color w:val="auto"/>
                      <w:spacing w:val="-3"/>
                      <w:kern w:val="0"/>
                      <w:sz w:val="21"/>
                      <w:szCs w:val="21"/>
                      <w:highlight w:val="none"/>
                      <w:lang w:val="en-US" w:eastAsia="zh-CN" w:bidi="zh-CN"/>
                    </w:rPr>
                    <w:t>PAM</w:t>
                  </w:r>
                </w:p>
              </w:tc>
              <w:tc>
                <w:tcPr>
                  <w:tcW w:w="2364" w:type="dxa"/>
                  <w:tcBorders>
                    <w:tl2br w:val="nil"/>
                    <w:tr2bl w:val="nil"/>
                  </w:tcBorders>
                  <w:shd w:val="clear" w:color="auto" w:fill="auto"/>
                  <w:noWrap w:val="0"/>
                  <w:vAlign w:val="center"/>
                </w:tcPr>
                <w:p w14:paraId="196298A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en-US" w:eastAsia="zh-CN" w:bidi="zh-CN"/>
                    </w:rPr>
                  </w:pPr>
                  <w:r>
                    <w:rPr>
                      <w:rFonts w:hint="eastAsia" w:ascii="Times New Roman" w:hAnsi="Times New Roman" w:eastAsia="宋体" w:cs="Times New Roman"/>
                      <w:color w:val="auto"/>
                      <w:spacing w:val="-3"/>
                      <w:kern w:val="0"/>
                      <w:sz w:val="21"/>
                      <w:szCs w:val="21"/>
                      <w:highlight w:val="none"/>
                      <w:lang w:val="en-US" w:eastAsia="zh-CN" w:bidi="zh-CN"/>
                    </w:rPr>
                    <w:t>2</w:t>
                  </w:r>
                </w:p>
              </w:tc>
              <w:tc>
                <w:tcPr>
                  <w:tcW w:w="1518" w:type="pct"/>
                  <w:tcBorders>
                    <w:right w:val="single" w:color="auto" w:sz="4" w:space="0"/>
                    <w:tl2br w:val="nil"/>
                    <w:tr2bl w:val="nil"/>
                  </w:tcBorders>
                  <w:shd w:val="clear" w:color="auto" w:fill="auto"/>
                  <w:noWrap w:val="0"/>
                  <w:vAlign w:val="center"/>
                </w:tcPr>
                <w:p w14:paraId="27D4418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en-US" w:eastAsia="zh-CN" w:bidi="zh-CN"/>
                    </w:rPr>
                  </w:pPr>
                  <w:r>
                    <w:rPr>
                      <w:rFonts w:hint="default" w:ascii="Times New Roman" w:hAnsi="Times New Roman" w:eastAsia="宋体" w:cs="Times New Roman"/>
                      <w:color w:val="auto"/>
                      <w:spacing w:val="-3"/>
                      <w:kern w:val="0"/>
                      <w:sz w:val="21"/>
                      <w:szCs w:val="21"/>
                      <w:highlight w:val="none"/>
                      <w:lang w:val="en-US" w:eastAsia="zh-CN" w:bidi="zh-CN"/>
                    </w:rPr>
                    <w:t>外购</w:t>
                  </w:r>
                </w:p>
              </w:tc>
            </w:tr>
            <w:tr w14:paraId="0E16A9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789" w:type="pct"/>
                  <w:tcBorders>
                    <w:left w:val="single" w:color="auto" w:sz="4" w:space="0"/>
                    <w:tl2br w:val="nil"/>
                    <w:tr2bl w:val="nil"/>
                  </w:tcBorders>
                  <w:noWrap w:val="0"/>
                  <w:vAlign w:val="center"/>
                </w:tcPr>
                <w:p w14:paraId="2F1359F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bidi="zh-CN"/>
                    </w:rPr>
                  </w:pPr>
                  <w:r>
                    <w:rPr>
                      <w:rFonts w:hint="default" w:ascii="Times New Roman" w:hAnsi="Times New Roman" w:eastAsia="宋体" w:cs="Times New Roman"/>
                      <w:color w:val="auto"/>
                      <w:kern w:val="0"/>
                      <w:sz w:val="21"/>
                      <w:szCs w:val="21"/>
                      <w:highlight w:val="none"/>
                      <w:lang w:val="zh-CN" w:bidi="zh-CN"/>
                    </w:rPr>
                    <w:t>3</w:t>
                  </w:r>
                </w:p>
              </w:tc>
              <w:tc>
                <w:tcPr>
                  <w:tcW w:w="1287" w:type="pct"/>
                  <w:tcBorders>
                    <w:tl2br w:val="nil"/>
                    <w:tr2bl w:val="nil"/>
                  </w:tcBorders>
                  <w:shd w:val="clear" w:color="auto" w:fill="auto"/>
                  <w:noWrap w:val="0"/>
                  <w:vAlign w:val="center"/>
                </w:tcPr>
                <w:p w14:paraId="0A601C6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en-US" w:eastAsia="zh-CN" w:bidi="zh-CN"/>
                    </w:rPr>
                  </w:pPr>
                  <w:r>
                    <w:rPr>
                      <w:rFonts w:hint="default" w:ascii="Times New Roman" w:hAnsi="Times New Roman" w:eastAsia="宋体" w:cs="Times New Roman"/>
                      <w:color w:val="auto"/>
                      <w:spacing w:val="-3"/>
                      <w:kern w:val="0"/>
                      <w:sz w:val="21"/>
                      <w:szCs w:val="21"/>
                      <w:highlight w:val="none"/>
                      <w:lang w:val="en-US" w:eastAsia="zh-CN" w:bidi="zh-CN"/>
                    </w:rPr>
                    <w:t>次氯酸钠</w:t>
                  </w:r>
                </w:p>
              </w:tc>
              <w:tc>
                <w:tcPr>
                  <w:tcW w:w="2364" w:type="dxa"/>
                  <w:tcBorders>
                    <w:tl2br w:val="nil"/>
                    <w:tr2bl w:val="nil"/>
                  </w:tcBorders>
                  <w:shd w:val="clear" w:color="auto" w:fill="auto"/>
                  <w:noWrap w:val="0"/>
                  <w:vAlign w:val="center"/>
                </w:tcPr>
                <w:p w14:paraId="5450E78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en-US" w:eastAsia="zh-CN" w:bidi="zh-CN"/>
                    </w:rPr>
                  </w:pPr>
                  <w:r>
                    <w:rPr>
                      <w:rFonts w:hint="eastAsia" w:ascii="Times New Roman" w:hAnsi="Times New Roman" w:eastAsia="宋体" w:cs="Times New Roman"/>
                      <w:color w:val="auto"/>
                      <w:spacing w:val="-3"/>
                      <w:kern w:val="0"/>
                      <w:sz w:val="21"/>
                      <w:szCs w:val="21"/>
                      <w:highlight w:val="none"/>
                      <w:lang w:val="en-US" w:eastAsia="zh-CN" w:bidi="zh-CN"/>
                    </w:rPr>
                    <w:t>383</w:t>
                  </w:r>
                </w:p>
              </w:tc>
              <w:tc>
                <w:tcPr>
                  <w:tcW w:w="1518" w:type="pct"/>
                  <w:tcBorders>
                    <w:right w:val="single" w:color="auto" w:sz="4" w:space="0"/>
                    <w:tl2br w:val="nil"/>
                    <w:tr2bl w:val="nil"/>
                  </w:tcBorders>
                  <w:shd w:val="clear" w:color="auto" w:fill="auto"/>
                  <w:noWrap w:val="0"/>
                  <w:vAlign w:val="center"/>
                </w:tcPr>
                <w:p w14:paraId="3B7DEE4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en-US" w:eastAsia="zh-CN" w:bidi="zh-CN"/>
                    </w:rPr>
                  </w:pPr>
                  <w:r>
                    <w:rPr>
                      <w:rFonts w:hint="default" w:ascii="Times New Roman" w:hAnsi="Times New Roman" w:eastAsia="宋体" w:cs="Times New Roman"/>
                      <w:color w:val="auto"/>
                      <w:spacing w:val="-3"/>
                      <w:kern w:val="0"/>
                      <w:sz w:val="21"/>
                      <w:szCs w:val="21"/>
                      <w:highlight w:val="none"/>
                      <w:lang w:val="en-US" w:eastAsia="zh-CN" w:bidi="zh-CN"/>
                    </w:rPr>
                    <w:t>外购</w:t>
                  </w:r>
                </w:p>
              </w:tc>
            </w:tr>
            <w:tr w14:paraId="657997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789" w:type="pct"/>
                  <w:tcBorders>
                    <w:left w:val="single" w:color="auto" w:sz="4" w:space="0"/>
                    <w:tl2br w:val="nil"/>
                    <w:tr2bl w:val="nil"/>
                  </w:tcBorders>
                  <w:noWrap w:val="0"/>
                  <w:vAlign w:val="center"/>
                </w:tcPr>
                <w:p w14:paraId="4AAF7E2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bidi="zh-CN"/>
                    </w:rPr>
                  </w:pPr>
                  <w:r>
                    <w:rPr>
                      <w:rFonts w:hint="default" w:ascii="Times New Roman" w:hAnsi="Times New Roman" w:eastAsia="宋体" w:cs="Times New Roman"/>
                      <w:color w:val="auto"/>
                      <w:kern w:val="0"/>
                      <w:sz w:val="21"/>
                      <w:szCs w:val="21"/>
                      <w:highlight w:val="none"/>
                      <w:lang w:val="en-US" w:eastAsia="zh-CN" w:bidi="zh-CN"/>
                    </w:rPr>
                    <w:t>4</w:t>
                  </w:r>
                </w:p>
              </w:tc>
              <w:tc>
                <w:tcPr>
                  <w:tcW w:w="1287" w:type="pct"/>
                  <w:tcBorders>
                    <w:tl2br w:val="nil"/>
                    <w:tr2bl w:val="nil"/>
                  </w:tcBorders>
                  <w:shd w:val="clear" w:color="auto" w:fill="auto"/>
                  <w:noWrap w:val="0"/>
                  <w:vAlign w:val="center"/>
                </w:tcPr>
                <w:p w14:paraId="613E447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zh-CN" w:eastAsia="zh-CN" w:bidi="zh-CN"/>
                    </w:rPr>
                  </w:pPr>
                  <w:r>
                    <w:rPr>
                      <w:rFonts w:hint="default" w:ascii="Times New Roman" w:hAnsi="Times New Roman" w:eastAsia="宋体" w:cs="Times New Roman"/>
                      <w:color w:val="auto"/>
                      <w:spacing w:val="-3"/>
                      <w:kern w:val="0"/>
                      <w:sz w:val="21"/>
                      <w:szCs w:val="21"/>
                      <w:highlight w:val="none"/>
                      <w:lang w:val="en-US" w:eastAsia="zh-CN" w:bidi="zh-CN"/>
                    </w:rPr>
                    <w:t>乙酸钠</w:t>
                  </w:r>
                </w:p>
              </w:tc>
              <w:tc>
                <w:tcPr>
                  <w:tcW w:w="2364" w:type="dxa"/>
                  <w:tcBorders>
                    <w:tl2br w:val="nil"/>
                    <w:tr2bl w:val="nil"/>
                  </w:tcBorders>
                  <w:shd w:val="clear" w:color="auto" w:fill="auto"/>
                  <w:noWrap w:val="0"/>
                  <w:vAlign w:val="center"/>
                </w:tcPr>
                <w:p w14:paraId="27084E4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en-US" w:eastAsia="zh-CN" w:bidi="zh-CN"/>
                    </w:rPr>
                  </w:pPr>
                  <w:r>
                    <w:rPr>
                      <w:rFonts w:hint="eastAsia" w:ascii="Times New Roman" w:hAnsi="Times New Roman" w:eastAsia="宋体" w:cs="Times New Roman"/>
                      <w:color w:val="auto"/>
                      <w:spacing w:val="-3"/>
                      <w:kern w:val="0"/>
                      <w:sz w:val="21"/>
                      <w:szCs w:val="21"/>
                      <w:highlight w:val="none"/>
                      <w:lang w:val="en-US" w:eastAsia="zh-CN" w:bidi="zh-CN"/>
                    </w:rPr>
                    <w:t>413</w:t>
                  </w:r>
                </w:p>
              </w:tc>
              <w:tc>
                <w:tcPr>
                  <w:tcW w:w="1518" w:type="pct"/>
                  <w:tcBorders>
                    <w:right w:val="single" w:color="auto" w:sz="4" w:space="0"/>
                    <w:tl2br w:val="nil"/>
                    <w:tr2bl w:val="nil"/>
                  </w:tcBorders>
                  <w:shd w:val="clear" w:color="auto" w:fill="auto"/>
                  <w:noWrap w:val="0"/>
                  <w:vAlign w:val="center"/>
                </w:tcPr>
                <w:p w14:paraId="42D53CF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en-US" w:eastAsia="zh-CN" w:bidi="zh-CN"/>
                    </w:rPr>
                  </w:pPr>
                  <w:r>
                    <w:rPr>
                      <w:rFonts w:hint="default" w:ascii="Times New Roman" w:hAnsi="Times New Roman" w:eastAsia="宋体" w:cs="Times New Roman"/>
                      <w:color w:val="auto"/>
                      <w:spacing w:val="-3"/>
                      <w:kern w:val="0"/>
                      <w:sz w:val="21"/>
                      <w:szCs w:val="21"/>
                      <w:highlight w:val="none"/>
                      <w:lang w:val="en-US" w:eastAsia="zh-CN" w:bidi="zh-CN"/>
                    </w:rPr>
                    <w:t>外购</w:t>
                  </w:r>
                </w:p>
              </w:tc>
            </w:tr>
            <w:tr w14:paraId="279C11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789" w:type="pct"/>
                  <w:tcBorders>
                    <w:left w:val="single" w:color="auto" w:sz="4" w:space="0"/>
                    <w:bottom w:val="single" w:color="auto" w:sz="4" w:space="0"/>
                    <w:tl2br w:val="nil"/>
                    <w:tr2bl w:val="nil"/>
                  </w:tcBorders>
                  <w:noWrap w:val="0"/>
                  <w:vAlign w:val="center"/>
                </w:tcPr>
                <w:p w14:paraId="7642816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kern w:val="0"/>
                      <w:sz w:val="21"/>
                      <w:szCs w:val="21"/>
                      <w:highlight w:val="none"/>
                      <w:lang w:val="en-US" w:bidi="zh-CN"/>
                    </w:rPr>
                  </w:pPr>
                  <w:r>
                    <w:rPr>
                      <w:rFonts w:hint="eastAsia" w:cs="Times New Roman"/>
                      <w:color w:val="auto"/>
                      <w:kern w:val="0"/>
                      <w:sz w:val="21"/>
                      <w:szCs w:val="21"/>
                      <w:highlight w:val="none"/>
                      <w:lang w:val="en-US" w:bidi="zh-CN"/>
                    </w:rPr>
                    <w:t>5</w:t>
                  </w:r>
                </w:p>
              </w:tc>
              <w:tc>
                <w:tcPr>
                  <w:tcW w:w="1287" w:type="pct"/>
                  <w:tcBorders>
                    <w:bottom w:val="single" w:color="auto" w:sz="4" w:space="0"/>
                    <w:tl2br w:val="nil"/>
                    <w:tr2bl w:val="nil"/>
                  </w:tcBorders>
                  <w:shd w:val="clear" w:color="auto" w:fill="auto"/>
                  <w:noWrap w:val="0"/>
                  <w:vAlign w:val="center"/>
                </w:tcPr>
                <w:p w14:paraId="3ABBF5A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en-US" w:eastAsia="zh-CN" w:bidi="zh-CN"/>
                    </w:rPr>
                  </w:pPr>
                  <w:r>
                    <w:rPr>
                      <w:rFonts w:hint="default" w:ascii="Times New Roman" w:hAnsi="Times New Roman" w:eastAsia="宋体" w:cs="Times New Roman"/>
                      <w:color w:val="auto"/>
                      <w:spacing w:val="-3"/>
                      <w:kern w:val="0"/>
                      <w:sz w:val="21"/>
                      <w:szCs w:val="21"/>
                      <w:highlight w:val="none"/>
                      <w:lang w:val="en-US" w:bidi="zh-CN"/>
                    </w:rPr>
                    <w:t>磁粉</w:t>
                  </w:r>
                </w:p>
              </w:tc>
              <w:tc>
                <w:tcPr>
                  <w:tcW w:w="2364" w:type="dxa"/>
                  <w:tcBorders>
                    <w:bottom w:val="single" w:color="auto" w:sz="4" w:space="0"/>
                    <w:tl2br w:val="nil"/>
                    <w:tr2bl w:val="nil"/>
                  </w:tcBorders>
                  <w:shd w:val="clear" w:color="auto" w:fill="auto"/>
                  <w:noWrap w:val="0"/>
                  <w:vAlign w:val="center"/>
                </w:tcPr>
                <w:p w14:paraId="5A82B57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en-US" w:eastAsia="zh-CN" w:bidi="zh-CN"/>
                    </w:rPr>
                  </w:pPr>
                  <w:r>
                    <w:rPr>
                      <w:rFonts w:hint="eastAsia" w:ascii="Times New Roman" w:hAnsi="Times New Roman" w:eastAsia="宋体" w:cs="Times New Roman"/>
                      <w:color w:val="auto"/>
                      <w:spacing w:val="-3"/>
                      <w:kern w:val="0"/>
                      <w:sz w:val="21"/>
                      <w:szCs w:val="21"/>
                      <w:highlight w:val="none"/>
                      <w:lang w:val="en-US" w:eastAsia="zh-CN" w:bidi="zh-CN"/>
                    </w:rPr>
                    <w:t>23</w:t>
                  </w:r>
                </w:p>
              </w:tc>
              <w:tc>
                <w:tcPr>
                  <w:tcW w:w="1518" w:type="pct"/>
                  <w:tcBorders>
                    <w:bottom w:val="single" w:color="auto" w:sz="4" w:space="0"/>
                    <w:right w:val="single" w:color="auto" w:sz="4" w:space="0"/>
                    <w:tl2br w:val="nil"/>
                    <w:tr2bl w:val="nil"/>
                  </w:tcBorders>
                  <w:shd w:val="clear" w:color="auto" w:fill="auto"/>
                  <w:noWrap w:val="0"/>
                  <w:vAlign w:val="center"/>
                </w:tcPr>
                <w:p w14:paraId="288AB31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3"/>
                      <w:kern w:val="0"/>
                      <w:sz w:val="21"/>
                      <w:szCs w:val="21"/>
                      <w:highlight w:val="none"/>
                      <w:lang w:val="en-US" w:eastAsia="zh-CN" w:bidi="zh-CN"/>
                    </w:rPr>
                  </w:pPr>
                  <w:r>
                    <w:rPr>
                      <w:rFonts w:hint="default" w:ascii="Times New Roman" w:hAnsi="Times New Roman" w:eastAsia="宋体" w:cs="Times New Roman"/>
                      <w:color w:val="auto"/>
                      <w:spacing w:val="-3"/>
                      <w:kern w:val="0"/>
                      <w:sz w:val="21"/>
                      <w:szCs w:val="21"/>
                      <w:highlight w:val="none"/>
                      <w:lang w:val="en-US" w:eastAsia="zh-CN" w:bidi="zh-CN"/>
                    </w:rPr>
                    <w:t>外购</w:t>
                  </w:r>
                </w:p>
              </w:tc>
            </w:tr>
          </w:tbl>
          <w:p w14:paraId="0CCE6EEA">
            <w:pPr>
              <w:pStyle w:val="23"/>
              <w:keepNext w:val="0"/>
              <w:keepLines w:val="0"/>
              <w:pageBreakBefore w:val="0"/>
              <w:widowControl w:val="0"/>
              <w:kinsoku/>
              <w:wordWrap/>
              <w:overflowPunct/>
              <w:topLinePunct w:val="0"/>
              <w:autoSpaceDE/>
              <w:autoSpaceDN/>
              <w:bidi w:val="0"/>
              <w:adjustRightInd/>
              <w:snapToGrid/>
              <w:spacing w:before="157" w:beforeLines="50"/>
              <w:textAlignment w:val="auto"/>
              <w:rPr>
                <w:rFonts w:hint="eastAsia"/>
                <w:lang w:eastAsia="zh-CN"/>
              </w:rPr>
            </w:pPr>
            <w:r>
              <w:t>表</w:t>
            </w:r>
            <w:r>
              <w:fldChar w:fldCharType="begin"/>
            </w:r>
            <w:r>
              <w:instrText xml:space="preserve"> STYLEREF 1 \s \* ARABIC </w:instrText>
            </w:r>
            <w:r>
              <w:fldChar w:fldCharType="separate"/>
            </w:r>
            <w:r>
              <w:t>2</w:t>
            </w:r>
            <w:r>
              <w:fldChar w:fldCharType="end"/>
            </w:r>
            <w:r>
              <w:rPr>
                <w:rFonts w:hint="eastAsia"/>
                <w:lang w:val="en-US" w:eastAsia="zh-CN"/>
              </w:rPr>
              <w:t>-5</w:t>
            </w:r>
            <w:r>
              <w:rPr>
                <w:rFonts w:hint="eastAsia"/>
                <w:lang w:eastAsia="zh-CN"/>
              </w:rPr>
              <w:t>主要能源消耗情况表</w:t>
            </w:r>
          </w:p>
          <w:tbl>
            <w:tblPr>
              <w:tblStyle w:val="1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1150"/>
              <w:gridCol w:w="1920"/>
              <w:gridCol w:w="3234"/>
              <w:gridCol w:w="1000"/>
            </w:tblGrid>
            <w:tr w14:paraId="4645BF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74" w:type="pct"/>
                  <w:tcBorders>
                    <w:top w:val="single" w:color="auto" w:sz="4" w:space="0"/>
                    <w:left w:val="single" w:color="auto" w:sz="0" w:space="0"/>
                    <w:tl2br w:val="nil"/>
                    <w:tr2bl w:val="nil"/>
                  </w:tcBorders>
                  <w:vAlign w:val="center"/>
                </w:tcPr>
                <w:p w14:paraId="47032D6A">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类别</w:t>
                  </w:r>
                </w:p>
              </w:tc>
              <w:tc>
                <w:tcPr>
                  <w:tcW w:w="681" w:type="pct"/>
                  <w:tcBorders>
                    <w:top w:val="single" w:color="auto" w:sz="4" w:space="0"/>
                    <w:tl2br w:val="nil"/>
                    <w:tr2bl w:val="nil"/>
                  </w:tcBorders>
                  <w:vAlign w:val="center"/>
                </w:tcPr>
                <w:p w14:paraId="7580B590">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名称</w:t>
                  </w:r>
                </w:p>
              </w:tc>
              <w:tc>
                <w:tcPr>
                  <w:tcW w:w="1137" w:type="pct"/>
                  <w:tcBorders>
                    <w:top w:val="single" w:color="auto" w:sz="4" w:space="0"/>
                    <w:tl2br w:val="nil"/>
                    <w:tr2bl w:val="nil"/>
                  </w:tcBorders>
                  <w:vAlign w:val="center"/>
                </w:tcPr>
                <w:p w14:paraId="4DD3F472">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年耗量（单位）</w:t>
                  </w:r>
                </w:p>
              </w:tc>
              <w:tc>
                <w:tcPr>
                  <w:tcW w:w="1915" w:type="pct"/>
                  <w:tcBorders>
                    <w:top w:val="single" w:color="auto" w:sz="4" w:space="0"/>
                    <w:tl2br w:val="nil"/>
                    <w:tr2bl w:val="nil"/>
                  </w:tcBorders>
                  <w:vAlign w:val="center"/>
                </w:tcPr>
                <w:p w14:paraId="46CB78B0">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来源</w:t>
                  </w:r>
                </w:p>
              </w:tc>
              <w:tc>
                <w:tcPr>
                  <w:tcW w:w="592" w:type="pct"/>
                  <w:tcBorders>
                    <w:top w:val="single" w:color="auto" w:sz="4" w:space="0"/>
                    <w:right w:val="single" w:color="auto" w:sz="4" w:space="0"/>
                    <w:tl2br w:val="nil"/>
                    <w:tr2bl w:val="nil"/>
                  </w:tcBorders>
                  <w:vAlign w:val="center"/>
                </w:tcPr>
                <w:p w14:paraId="6E988C9E">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备注</w:t>
                  </w:r>
                </w:p>
              </w:tc>
            </w:tr>
            <w:tr w14:paraId="7DEC90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74" w:type="pct"/>
                  <w:vMerge w:val="restart"/>
                  <w:tcBorders>
                    <w:left w:val="single" w:color="auto" w:sz="4" w:space="0"/>
                    <w:tl2br w:val="nil"/>
                    <w:tr2bl w:val="nil"/>
                  </w:tcBorders>
                  <w:vAlign w:val="center"/>
                </w:tcPr>
                <w:p w14:paraId="25541E31">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动力消耗</w:t>
                  </w:r>
                </w:p>
              </w:tc>
              <w:tc>
                <w:tcPr>
                  <w:tcW w:w="681" w:type="pct"/>
                  <w:tcBorders>
                    <w:tl2br w:val="nil"/>
                    <w:tr2bl w:val="nil"/>
                  </w:tcBorders>
                  <w:vAlign w:val="center"/>
                </w:tcPr>
                <w:p w14:paraId="5EE8451E">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电</w:t>
                  </w:r>
                </w:p>
              </w:tc>
              <w:tc>
                <w:tcPr>
                  <w:tcW w:w="1137" w:type="pct"/>
                  <w:tcBorders>
                    <w:tl2br w:val="nil"/>
                    <w:tr2bl w:val="nil"/>
                  </w:tcBorders>
                  <w:vAlign w:val="center"/>
                </w:tcPr>
                <w:p w14:paraId="3367ED39">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146.01万k</w:t>
                  </w:r>
                  <w:r>
                    <w:rPr>
                      <w:rFonts w:hint="default" w:ascii="Times New Roman" w:hAnsi="Times New Roman" w:eastAsia="宋体" w:cs="Times New Roman"/>
                      <w:color w:val="auto"/>
                      <w:kern w:val="0"/>
                      <w:sz w:val="21"/>
                      <w:szCs w:val="21"/>
                      <w:highlight w:val="none"/>
                    </w:rPr>
                    <w:t>W</w:t>
                  </w:r>
                  <w:r>
                    <w:rPr>
                      <w:rFonts w:hint="default"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rPr>
                    <w:t>h</w:t>
                  </w:r>
                </w:p>
              </w:tc>
              <w:tc>
                <w:tcPr>
                  <w:tcW w:w="1915" w:type="pct"/>
                  <w:tcBorders>
                    <w:tl2br w:val="nil"/>
                    <w:tr2bl w:val="nil"/>
                  </w:tcBorders>
                  <w:vAlign w:val="center"/>
                </w:tcPr>
                <w:p w14:paraId="6FD08452">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污水厂</w:t>
                  </w:r>
                  <w:r>
                    <w:rPr>
                      <w:rFonts w:hint="default" w:ascii="Times New Roman" w:hAnsi="Times New Roman" w:eastAsia="宋体" w:cs="Times New Roman"/>
                      <w:color w:val="auto"/>
                      <w:kern w:val="0"/>
                      <w:sz w:val="21"/>
                      <w:szCs w:val="21"/>
                      <w:highlight w:val="none"/>
                    </w:rPr>
                    <w:t>电网供给</w:t>
                  </w:r>
                </w:p>
              </w:tc>
              <w:tc>
                <w:tcPr>
                  <w:tcW w:w="592" w:type="pct"/>
                  <w:tcBorders>
                    <w:right w:val="single" w:color="auto" w:sz="4" w:space="0"/>
                    <w:tl2br w:val="nil"/>
                    <w:tr2bl w:val="nil"/>
                  </w:tcBorders>
                  <w:vAlign w:val="center"/>
                </w:tcPr>
                <w:p w14:paraId="10CC0EB2">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w:t>
                  </w:r>
                </w:p>
              </w:tc>
            </w:tr>
            <w:tr w14:paraId="4C8EEC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74" w:type="pct"/>
                  <w:vMerge w:val="continue"/>
                  <w:tcBorders>
                    <w:left w:val="single" w:color="auto" w:sz="4" w:space="0"/>
                    <w:bottom w:val="single" w:color="auto" w:sz="4" w:space="0"/>
                    <w:tl2br w:val="nil"/>
                    <w:tr2bl w:val="nil"/>
                  </w:tcBorders>
                  <w:vAlign w:val="center"/>
                </w:tcPr>
                <w:p w14:paraId="0E684EB3">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Times New Roman" w:hAnsi="Times New Roman" w:eastAsia="宋体" w:cs="Times New Roman"/>
                      <w:color w:val="auto"/>
                      <w:kern w:val="0"/>
                      <w:sz w:val="21"/>
                      <w:szCs w:val="21"/>
                      <w:highlight w:val="none"/>
                    </w:rPr>
                  </w:pPr>
                </w:p>
              </w:tc>
              <w:tc>
                <w:tcPr>
                  <w:tcW w:w="681" w:type="pct"/>
                  <w:tcBorders>
                    <w:bottom w:val="single" w:color="auto" w:sz="4" w:space="0"/>
                    <w:tl2br w:val="nil"/>
                    <w:tr2bl w:val="nil"/>
                  </w:tcBorders>
                  <w:vAlign w:val="center"/>
                </w:tcPr>
                <w:p w14:paraId="51809CC5">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水</w:t>
                  </w:r>
                </w:p>
              </w:tc>
              <w:tc>
                <w:tcPr>
                  <w:tcW w:w="1137" w:type="pct"/>
                  <w:tcBorders>
                    <w:bottom w:val="single" w:color="auto" w:sz="4" w:space="0"/>
                    <w:tl2br w:val="nil"/>
                    <w:tr2bl w:val="nil"/>
                  </w:tcBorders>
                  <w:vAlign w:val="center"/>
                </w:tcPr>
                <w:p w14:paraId="3F1B82BE">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274t</w:t>
                  </w:r>
                  <w:r>
                    <w:rPr>
                      <w:rFonts w:hint="default" w:ascii="Times New Roman" w:hAnsi="Times New Roman" w:eastAsia="宋体" w:cs="Times New Roman"/>
                      <w:color w:val="auto"/>
                      <w:kern w:val="0"/>
                      <w:sz w:val="21"/>
                      <w:szCs w:val="21"/>
                      <w:highlight w:val="none"/>
                    </w:rPr>
                    <w:t>/a</w:t>
                  </w:r>
                </w:p>
              </w:tc>
              <w:tc>
                <w:tcPr>
                  <w:tcW w:w="1915" w:type="pct"/>
                  <w:tcBorders>
                    <w:bottom w:val="single" w:color="auto" w:sz="4" w:space="0"/>
                    <w:tl2br w:val="nil"/>
                    <w:tr2bl w:val="nil"/>
                  </w:tcBorders>
                  <w:vAlign w:val="center"/>
                </w:tcPr>
                <w:p w14:paraId="792F9D12">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Times New Roman" w:hAnsi="Times New Roman" w:eastAsia="宋体" w:cs="Times New Roman"/>
                      <w:color w:val="auto"/>
                      <w:kern w:val="0"/>
                      <w:sz w:val="21"/>
                      <w:szCs w:val="21"/>
                      <w:highlight w:val="none"/>
                      <w:lang w:val="en-US"/>
                    </w:rPr>
                  </w:pPr>
                  <w:r>
                    <w:rPr>
                      <w:rFonts w:hint="default" w:ascii="Times New Roman" w:hAnsi="Times New Roman" w:eastAsia="宋体" w:cs="Times New Roman"/>
                      <w:color w:val="auto"/>
                      <w:kern w:val="0"/>
                      <w:sz w:val="21"/>
                      <w:szCs w:val="21"/>
                      <w:highlight w:val="none"/>
                      <w:lang w:val="en-US" w:eastAsia="zh-CN"/>
                    </w:rPr>
                    <w:t>职工生活用水</w:t>
                  </w:r>
                </w:p>
              </w:tc>
              <w:tc>
                <w:tcPr>
                  <w:tcW w:w="592" w:type="pct"/>
                  <w:tcBorders>
                    <w:bottom w:val="single" w:color="auto" w:sz="4" w:space="0"/>
                    <w:right w:val="single" w:color="auto" w:sz="4" w:space="0"/>
                    <w:tl2br w:val="nil"/>
                    <w:tr2bl w:val="nil"/>
                  </w:tcBorders>
                  <w:vAlign w:val="center"/>
                </w:tcPr>
                <w:p w14:paraId="7F120490">
                  <w:pPr>
                    <w:keepNext w:val="0"/>
                    <w:keepLines w:val="0"/>
                    <w:pageBreakBefore w:val="0"/>
                    <w:widowControl w:val="0"/>
                    <w:kinsoku/>
                    <w:wordWrap/>
                    <w:overflowPunct/>
                    <w:topLinePunct w:val="0"/>
                    <w:autoSpaceDE w:val="0"/>
                    <w:autoSpaceDN w:val="0"/>
                    <w:bidi w:val="0"/>
                    <w:adjustRightInd/>
                    <w:snapToGrid/>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w:t>
                  </w:r>
                </w:p>
              </w:tc>
            </w:tr>
          </w:tbl>
          <w:p w14:paraId="3644ECA0">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425" w:leftChars="0" w:hanging="425" w:firstLineChars="0"/>
              <w:jc w:val="left"/>
              <w:textAlignment w:val="auto"/>
              <w:rPr>
                <w:rFonts w:hint="default" w:ascii="Times New Roman" w:hAnsi="Times New Roman" w:eastAsia="宋体" w:cs="Times New Roman"/>
                <w:b/>
                <w:bCs/>
                <w:color w:val="auto"/>
                <w:sz w:val="24"/>
                <w:highlight w:val="none"/>
                <w:lang w:val="en-US" w:eastAsia="zh-CN"/>
              </w:rPr>
            </w:pPr>
            <w:r>
              <w:rPr>
                <w:rFonts w:hint="eastAsia" w:cs="Times New Roman"/>
                <w:b/>
                <w:bCs/>
                <w:color w:val="auto"/>
                <w:kern w:val="2"/>
                <w:sz w:val="24"/>
                <w:szCs w:val="24"/>
                <w:lang w:val="en-US" w:eastAsia="zh-CN" w:bidi="ar-SA"/>
              </w:rPr>
              <w:t>2.6</w:t>
            </w:r>
            <w:r>
              <w:rPr>
                <w:rFonts w:hint="eastAsia" w:ascii="Times New Roman" w:hAnsi="Times New Roman" w:eastAsia="宋体" w:cs="Times New Roman"/>
                <w:b/>
                <w:bCs/>
                <w:color w:val="auto"/>
                <w:sz w:val="24"/>
                <w:highlight w:val="none"/>
                <w:lang w:val="en-US" w:eastAsia="zh-CN"/>
              </w:rPr>
              <w:t>公</w:t>
            </w:r>
            <w:r>
              <w:rPr>
                <w:rFonts w:hint="eastAsia" w:cs="Times New Roman"/>
                <w:b/>
                <w:bCs/>
                <w:color w:val="auto"/>
                <w:sz w:val="24"/>
                <w:highlight w:val="none"/>
                <w:lang w:val="en-US" w:eastAsia="zh-CN"/>
              </w:rPr>
              <w:t>用</w:t>
            </w:r>
            <w:r>
              <w:rPr>
                <w:rFonts w:hint="eastAsia" w:ascii="Times New Roman" w:hAnsi="Times New Roman" w:eastAsia="宋体" w:cs="Times New Roman"/>
                <w:b/>
                <w:bCs/>
                <w:color w:val="auto"/>
                <w:sz w:val="24"/>
                <w:highlight w:val="none"/>
                <w:lang w:val="en-US" w:eastAsia="zh-CN"/>
              </w:rPr>
              <w:t>工程</w:t>
            </w:r>
          </w:p>
          <w:p w14:paraId="11BE415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cs="Times New Roman"/>
                <w:color w:val="auto"/>
                <w:kern w:val="0"/>
                <w:sz w:val="24"/>
                <w:highlight w:val="none"/>
                <w:lang w:val="en-US" w:eastAsia="zh-CN"/>
              </w:rPr>
              <w:t>（1）</w:t>
            </w:r>
            <w:r>
              <w:rPr>
                <w:rFonts w:hint="default" w:ascii="Times New Roman" w:hAnsi="Times New Roman" w:eastAsia="宋体" w:cs="Times New Roman"/>
                <w:color w:val="auto"/>
                <w:kern w:val="0"/>
                <w:sz w:val="24"/>
                <w:highlight w:val="none"/>
                <w:lang w:val="en-US" w:eastAsia="zh-CN"/>
              </w:rPr>
              <w:t>供水</w:t>
            </w:r>
          </w:p>
          <w:p w14:paraId="2882729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生活用水：本项目劳动定员</w:t>
            </w:r>
            <w:r>
              <w:rPr>
                <w:rFonts w:hint="eastAsia" w:cs="Times New Roman"/>
                <w:color w:val="auto"/>
                <w:kern w:val="0"/>
                <w:sz w:val="24"/>
                <w:highlight w:val="none"/>
                <w:lang w:val="en-US" w:eastAsia="zh-CN"/>
              </w:rPr>
              <w:t>1</w:t>
            </w:r>
            <w:r>
              <w:rPr>
                <w:rFonts w:hint="default" w:cs="Times New Roman"/>
                <w:color w:val="auto"/>
                <w:kern w:val="0"/>
                <w:sz w:val="24"/>
                <w:highlight w:val="none"/>
                <w:lang w:val="en-US" w:eastAsia="zh-CN"/>
              </w:rPr>
              <w:t>5</w:t>
            </w:r>
            <w:r>
              <w:rPr>
                <w:rFonts w:hint="default" w:ascii="Times New Roman" w:hAnsi="Times New Roman" w:eastAsia="宋体" w:cs="Times New Roman"/>
                <w:color w:val="auto"/>
                <w:kern w:val="0"/>
                <w:sz w:val="24"/>
                <w:highlight w:val="none"/>
                <w:lang w:val="en-US" w:eastAsia="zh-CN"/>
              </w:rPr>
              <w:t>人，根据《行业用水定额》（DB15/T</w:t>
            </w:r>
            <w:r>
              <w:rPr>
                <w:rFonts w:hint="eastAsia" w:ascii="Times New Roman" w:hAnsi="Times New Roman" w:eastAsia="宋体" w:cs="Times New Roman"/>
                <w:color w:val="auto"/>
                <w:kern w:val="0"/>
                <w:sz w:val="24"/>
                <w:highlight w:val="none"/>
                <w:lang w:val="en-US" w:eastAsia="zh-CN"/>
              </w:rPr>
              <w:t xml:space="preserve"> </w:t>
            </w:r>
            <w:r>
              <w:rPr>
                <w:rFonts w:hint="default" w:ascii="Times New Roman" w:hAnsi="Times New Roman" w:eastAsia="宋体" w:cs="Times New Roman"/>
                <w:color w:val="auto"/>
                <w:kern w:val="0"/>
                <w:sz w:val="24"/>
                <w:highlight w:val="none"/>
                <w:lang w:val="en-US" w:eastAsia="zh-CN"/>
              </w:rPr>
              <w:t>385</w:t>
            </w:r>
            <w:r>
              <w:rPr>
                <w:rFonts w:hint="eastAsia" w:ascii="Times New Roman" w:hAnsi="Times New Roman" w:eastAsia="宋体" w:cs="Times New Roman"/>
                <w:color w:val="auto"/>
                <w:kern w:val="0"/>
                <w:sz w:val="24"/>
                <w:highlight w:val="none"/>
                <w:lang w:val="en-US" w:eastAsia="zh-CN"/>
              </w:rPr>
              <w:t>—2025</w:t>
            </w:r>
            <w:r>
              <w:rPr>
                <w:rFonts w:hint="default" w:ascii="Times New Roman" w:hAnsi="Times New Roman" w:eastAsia="宋体" w:cs="Times New Roman"/>
                <w:color w:val="auto"/>
                <w:kern w:val="0"/>
                <w:sz w:val="24"/>
                <w:highlight w:val="none"/>
                <w:lang w:val="en-US" w:eastAsia="zh-CN"/>
              </w:rPr>
              <w:t>），本项目年工作365天，职工生活用水量按40L/人·d计，则用水量为0.</w:t>
            </w:r>
            <w:r>
              <w:rPr>
                <w:rFonts w:hint="eastAsia" w:ascii="Times New Roman" w:hAnsi="Times New Roman" w:eastAsia="宋体" w:cs="Times New Roman"/>
                <w:color w:val="auto"/>
                <w:kern w:val="0"/>
                <w:sz w:val="24"/>
                <w:highlight w:val="none"/>
                <w:lang w:val="en-US" w:eastAsia="zh-CN"/>
              </w:rPr>
              <w:t>6</w:t>
            </w:r>
            <w:r>
              <w:rPr>
                <w:rFonts w:hint="default" w:ascii="Times New Roman" w:hAnsi="Times New Roman" w:eastAsia="宋体" w:cs="Times New Roman"/>
                <w:color w:val="auto"/>
                <w:kern w:val="0"/>
                <w:sz w:val="24"/>
                <w:highlight w:val="none"/>
                <w:lang w:val="en-US" w:eastAsia="zh-CN"/>
              </w:rPr>
              <w:t>t/d（</w:t>
            </w:r>
            <w:r>
              <w:rPr>
                <w:rFonts w:hint="eastAsia" w:cs="Times New Roman"/>
                <w:color w:val="auto"/>
                <w:kern w:val="0"/>
                <w:sz w:val="24"/>
                <w:highlight w:val="none"/>
                <w:lang w:val="en-US" w:eastAsia="zh-CN"/>
              </w:rPr>
              <w:t>219</w:t>
            </w:r>
            <w:r>
              <w:rPr>
                <w:rFonts w:hint="default" w:ascii="Times New Roman" w:hAnsi="Times New Roman" w:eastAsia="宋体" w:cs="Times New Roman"/>
                <w:color w:val="auto"/>
                <w:kern w:val="0"/>
                <w:sz w:val="24"/>
                <w:highlight w:val="none"/>
                <w:lang w:val="en-US" w:eastAsia="zh-CN"/>
              </w:rPr>
              <w:t>t/a）。</w:t>
            </w:r>
          </w:p>
          <w:p w14:paraId="693A2A56">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（2）排水工程</w:t>
            </w:r>
          </w:p>
          <w:p w14:paraId="1447FD5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本项目厂区排水采用雨污分流制。</w:t>
            </w:r>
          </w:p>
          <w:p w14:paraId="42018A9A">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①雨水排水系统：</w:t>
            </w:r>
          </w:p>
          <w:p w14:paraId="5308308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厂区雨水经道路雨水口收集后，通过雨水管网重力流排至园区市政雨水管网。</w:t>
            </w:r>
          </w:p>
          <w:p w14:paraId="7DC0A6B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②污水排水系统：</w:t>
            </w:r>
          </w:p>
          <w:p w14:paraId="7E9F557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员工生活污水：劳动定员15人，生活污水产生量按用水量的80%计，约为0.48t/d（</w:t>
            </w:r>
            <w:r>
              <w:rPr>
                <w:rFonts w:hint="eastAsia" w:cs="Times New Roman"/>
                <w:color w:val="auto"/>
                <w:kern w:val="0"/>
                <w:sz w:val="24"/>
                <w:highlight w:val="none"/>
                <w:lang w:val="en-US" w:eastAsia="zh-CN"/>
              </w:rPr>
              <w:t>175.2</w:t>
            </w:r>
            <w:r>
              <w:rPr>
                <w:rFonts w:hint="default" w:ascii="Times New Roman" w:hAnsi="Times New Roman" w:eastAsia="宋体" w:cs="Times New Roman"/>
                <w:color w:val="auto"/>
                <w:kern w:val="0"/>
                <w:sz w:val="24"/>
                <w:highlight w:val="none"/>
                <w:lang w:val="en-US" w:eastAsia="zh-CN"/>
              </w:rPr>
              <w:t>t/a），经厂区污水管网收集后排入本项目污水处理系统进水端。</w:t>
            </w:r>
          </w:p>
          <w:p w14:paraId="4286543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生产废水：包括污泥脱水滤液、设备冲洗水等，全部经厂区污水管网收集后回流至调节池，进入污水处理系统一并处理。</w:t>
            </w:r>
          </w:p>
          <w:p w14:paraId="08BB349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本项目为污水处理厂工程，自身产生的所有废水（生活污水及生产废水）均纳入厂区污水处理系统进行处</w:t>
            </w:r>
            <w:r>
              <w:rPr>
                <w:rFonts w:hint="default" w:ascii="Times New Roman" w:hAnsi="Times New Roman" w:eastAsia="宋体" w:cs="Times New Roman"/>
                <w:color w:val="auto"/>
                <w:spacing w:val="-6"/>
                <w:kern w:val="0"/>
                <w:sz w:val="24"/>
                <w:highlight w:val="none"/>
                <w:lang w:val="en-US" w:eastAsia="zh-CN"/>
              </w:rPr>
              <w:t>理，</w:t>
            </w:r>
            <w:r>
              <w:rPr>
                <w:rFonts w:hint="eastAsia" w:cs="Times New Roman"/>
                <w:color w:val="auto"/>
                <w:spacing w:val="-6"/>
                <w:kern w:val="0"/>
                <w:sz w:val="24"/>
                <w:highlight w:val="none"/>
                <w:lang w:val="en-US" w:eastAsia="zh-CN"/>
              </w:rPr>
              <w:t>处</w:t>
            </w:r>
            <w:r>
              <w:rPr>
                <w:rFonts w:hint="eastAsia" w:ascii="Times New Roman" w:hAnsi="Times New Roman" w:eastAsia="宋体" w:cs="Times New Roman"/>
                <w:color w:val="auto"/>
                <w:kern w:val="0"/>
                <w:sz w:val="24"/>
                <w:highlight w:val="none"/>
                <w:lang w:val="en-US" w:eastAsia="zh-CN"/>
              </w:rPr>
              <w:t>理</w:t>
            </w:r>
            <w:r>
              <w:rPr>
                <w:rFonts w:hint="default" w:ascii="Times New Roman" w:hAnsi="Times New Roman" w:eastAsia="宋体" w:cs="Times New Roman"/>
                <w:color w:val="auto"/>
                <w:kern w:val="0"/>
                <w:sz w:val="24"/>
                <w:highlight w:val="none"/>
                <w:lang w:val="en-US" w:eastAsia="zh-CN"/>
              </w:rPr>
              <w:t>达标后的尾水夏季用于园区绿化灌溉，非灌溉期供给园区企业回用或储存至现状中水库</w:t>
            </w:r>
            <w:r>
              <w:rPr>
                <w:rFonts w:hint="eastAsia" w:ascii="Times New Roman" w:hAnsi="Times New Roman" w:eastAsia="宋体" w:cs="Times New Roman"/>
                <w:color w:val="auto"/>
                <w:kern w:val="0"/>
                <w:sz w:val="24"/>
                <w:highlight w:val="none"/>
                <w:lang w:val="en-US" w:eastAsia="zh-CN"/>
              </w:rPr>
              <w:t>。</w:t>
            </w:r>
          </w:p>
          <w:p w14:paraId="7BCBC40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（3）供电工程</w:t>
            </w:r>
          </w:p>
          <w:p w14:paraId="7A7ABA2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本项目由库尔勒市上库高新区供电公司供电</w:t>
            </w:r>
            <w:r>
              <w:rPr>
                <w:rFonts w:hint="eastAsia" w:ascii="Times New Roman" w:hAnsi="Times New Roman" w:eastAsia="宋体" w:cs="Times New Roman"/>
                <w:color w:val="auto"/>
                <w:kern w:val="0"/>
                <w:sz w:val="24"/>
                <w:highlight w:val="none"/>
                <w:lang w:val="en-US" w:eastAsia="zh-CN"/>
              </w:rPr>
              <w:t>。</w:t>
            </w:r>
          </w:p>
          <w:p w14:paraId="7A12840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cs="Times New Roman"/>
                <w:color w:val="auto"/>
                <w:kern w:val="0"/>
                <w:sz w:val="24"/>
                <w:highlight w:val="none"/>
                <w:lang w:val="en-US" w:eastAsia="zh-CN"/>
              </w:rPr>
            </w:pPr>
            <w:r>
              <w:rPr>
                <w:rFonts w:hint="eastAsia" w:ascii="Times New Roman" w:hAnsi="Times New Roman" w:eastAsia="宋体" w:cs="Times New Roman"/>
                <w:color w:val="auto"/>
                <w:kern w:val="0"/>
                <w:sz w:val="24"/>
                <w:szCs w:val="24"/>
                <w:lang w:val="en-US" w:eastAsia="zh-CN" w:bidi="ar-SA"/>
              </w:rPr>
              <w:t>（4）</w:t>
            </w:r>
            <w:r>
              <w:rPr>
                <w:rFonts w:hint="eastAsia" w:cs="Times New Roman"/>
                <w:color w:val="auto"/>
                <w:kern w:val="0"/>
                <w:sz w:val="24"/>
                <w:highlight w:val="none"/>
                <w:lang w:val="en-US" w:eastAsia="zh-CN"/>
              </w:rPr>
              <w:t>供暖</w:t>
            </w:r>
          </w:p>
          <w:p w14:paraId="401354AC">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cs="Times New Roman"/>
                <w:color w:val="auto"/>
                <w:kern w:val="0"/>
                <w:sz w:val="24"/>
                <w:highlight w:val="none"/>
                <w:lang w:val="en-US" w:eastAsia="zh-CN"/>
              </w:rPr>
            </w:pPr>
            <w:r>
              <w:rPr>
                <w:rFonts w:hint="default" w:cs="Times New Roman"/>
                <w:color w:val="auto"/>
                <w:kern w:val="0"/>
                <w:sz w:val="24"/>
                <w:highlight w:val="none"/>
                <w:lang w:val="en-US" w:eastAsia="zh-CN"/>
              </w:rPr>
              <w:t>本项目冬季采用电采暖，电锅炉房设2台200kW电锅炉，为厂区综合楼、值班室、鼓风机房、加药间等生产办公设施供暖。供暖管网采用闭式循环系统，供回水温度85/60℃。</w:t>
            </w:r>
          </w:p>
          <w:p w14:paraId="58BED11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cs="Times New Roman"/>
                <w:color w:val="auto"/>
                <w:kern w:val="0"/>
                <w:sz w:val="24"/>
                <w:highlight w:val="none"/>
                <w:lang w:val="en-US" w:eastAsia="zh-CN"/>
              </w:rPr>
            </w:pPr>
            <w:r>
              <w:rPr>
                <w:rFonts w:hint="eastAsia" w:cs="Times New Roman"/>
                <w:color w:val="auto"/>
                <w:kern w:val="0"/>
                <w:sz w:val="24"/>
                <w:highlight w:val="none"/>
                <w:lang w:val="en-US" w:eastAsia="zh-CN"/>
              </w:rPr>
              <w:t>（5）消防</w:t>
            </w:r>
          </w:p>
          <w:p w14:paraId="1DFA474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本工程消防系统严格遵循《建筑设计防火规范》（GB50016-2014，2018年版）和《消防给水及消火栓系统技术规范》（GB50974-2014）的要求进行设计。</w:t>
            </w:r>
          </w:p>
          <w:p w14:paraId="52890B3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消防给水系统：厂区消防水源由市政给水管网供给，在厂区内形成环状消防供水管网，管径DN100。室外按间距不大于120m设置室外消火栓，保护半径不大于150m。各建筑物室内按规范要求设置室内消火栓及灭火器。</w:t>
            </w:r>
          </w:p>
          <w:p w14:paraId="74298C4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灭火器配置：综合楼、配电室、加药间、鼓风机房等重要场所按《建筑灭火器配置设计规范》（GB50140-2005）配置磷酸铵盐干粉灭火器。</w:t>
            </w:r>
          </w:p>
          <w:p w14:paraId="6B0C30B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消防车道：厂区沿各主要建构筑物周边设有环形消防车道，路面宽度4m，转弯半径9m，满足消防车辆通行要求。</w:t>
            </w:r>
          </w:p>
          <w:p w14:paraId="47E0CDDA">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火灾报警系统：配电室、变配电间、中控室等关键部位设置火灾自动报警系统及感烟探测器。</w:t>
            </w:r>
          </w:p>
          <w:p w14:paraId="1BAF278C">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cs="Times New Roman"/>
                <w:color w:val="auto"/>
                <w:kern w:val="0"/>
                <w:sz w:val="24"/>
                <w:highlight w:val="none"/>
                <w:lang w:val="en-US" w:eastAsia="zh-CN"/>
              </w:rPr>
            </w:pPr>
            <w:r>
              <w:rPr>
                <w:rFonts w:hint="eastAsia" w:cs="Times New Roman"/>
                <w:color w:val="auto"/>
                <w:kern w:val="0"/>
                <w:sz w:val="24"/>
                <w:highlight w:val="none"/>
                <w:lang w:val="en-US" w:eastAsia="zh-CN"/>
              </w:rPr>
              <w:t>（6）仪表自动化</w:t>
            </w:r>
          </w:p>
          <w:p w14:paraId="1737F25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本工程采用集中管理、分散控制的控制模式，设中央控制室进行全厂集中运行监视、控制和管理，系统采用信息层、控制层和设备层三层结构形式。</w:t>
            </w:r>
          </w:p>
          <w:p w14:paraId="39BBE60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在线监测系统：根据《排污单位自行监测技术指南 水处理》（HJ 1083-2020）要求，在进水总管和出水总排口分别设置在线监测设施，其中进出水流量、COD、</w:t>
            </w:r>
            <w:r>
              <w:rPr>
                <w:rFonts w:hint="eastAsia" w:ascii="Times New Roman" w:hAnsi="Times New Roman" w:eastAsia="宋体" w:cs="Times New Roman"/>
                <w:color w:val="auto"/>
                <w:spacing w:val="-6"/>
                <w:kern w:val="0"/>
                <w:sz w:val="24"/>
                <w:highlight w:val="none"/>
                <w:lang w:val="en-US" w:eastAsia="zh-CN"/>
              </w:rPr>
              <w:t>氨氮、总磷、总氮等主要指标实施自动监测，并与生态环境部门在线监控平台联网。</w:t>
            </w:r>
          </w:p>
          <w:p w14:paraId="7DF9A52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过程仪表：在调节池、生化池、污泥泵池等关键工艺节点设置pH计、溶解氧仪（DO）、氧化还原电位仪（ORP）、污泥浓度计（MLSS）、超声波液位计、电磁</w:t>
            </w:r>
            <w:r>
              <w:rPr>
                <w:rFonts w:hint="eastAsia" w:ascii="Times New Roman" w:hAnsi="Times New Roman" w:eastAsia="宋体" w:cs="Times New Roman"/>
                <w:color w:val="auto"/>
                <w:spacing w:val="-6"/>
                <w:kern w:val="0"/>
                <w:sz w:val="24"/>
                <w:highlight w:val="none"/>
                <w:lang w:val="en-US" w:eastAsia="zh-CN"/>
              </w:rPr>
              <w:t>流量计、压力变送器等过程仪表，实时监测工艺运行参数，确保系统稳定运行。</w:t>
            </w:r>
          </w:p>
          <w:p w14:paraId="0DD16FC7">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控制系统：采用可编程控制器（PLC）实现全厂设备的自动控制，设备设就地、远程和自动三种控制方式。鼓风机、加药泵、回流泵等关键设备采用变频控制，根据工艺参数自动调节运行频率，实现精准控制和节能运行。同时，厂区设置视频安防监控系统，在主要出入口、工艺单元及周界设置监控摄像头，实现厂区安全监控全覆盖。</w:t>
            </w:r>
          </w:p>
          <w:p w14:paraId="63E686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jc w:val="left"/>
              <w:textAlignment w:val="auto"/>
              <w:rPr>
                <w:rFonts w:hint="default" w:ascii="Times New Roman" w:hAnsi="Times New Roman" w:eastAsia="宋体" w:cs="Times New Roman"/>
                <w:b/>
                <w:bCs/>
                <w:color w:val="auto"/>
                <w:sz w:val="24"/>
                <w:highlight w:val="none"/>
                <w:lang w:val="en-US" w:eastAsia="zh-CN"/>
              </w:rPr>
            </w:pPr>
            <w:r>
              <w:rPr>
                <w:rFonts w:hint="eastAsia" w:cs="Times New Roman"/>
                <w:b/>
                <w:bCs/>
                <w:color w:val="auto"/>
                <w:kern w:val="2"/>
                <w:sz w:val="24"/>
                <w:szCs w:val="24"/>
                <w:lang w:val="en-US" w:eastAsia="zh-CN" w:bidi="ar-SA"/>
              </w:rPr>
              <w:t>2.</w:t>
            </w:r>
            <w:r>
              <w:rPr>
                <w:rFonts w:hint="eastAsia" w:ascii="Times New Roman" w:hAnsi="Times New Roman" w:eastAsia="宋体" w:cs="Times New Roman"/>
                <w:b/>
                <w:bCs/>
                <w:color w:val="auto"/>
                <w:kern w:val="2"/>
                <w:sz w:val="24"/>
                <w:szCs w:val="24"/>
                <w:lang w:val="en-US" w:eastAsia="zh-CN" w:bidi="ar-SA"/>
              </w:rPr>
              <w:t>7</w:t>
            </w:r>
            <w:r>
              <w:rPr>
                <w:rFonts w:hint="eastAsia" w:ascii="Times New Roman" w:hAnsi="Times New Roman" w:eastAsia="宋体" w:cs="Times New Roman"/>
                <w:b/>
                <w:bCs/>
                <w:color w:val="auto"/>
                <w:sz w:val="24"/>
                <w:highlight w:val="none"/>
                <w:lang w:val="en-US" w:eastAsia="zh-CN"/>
              </w:rPr>
              <w:t>劳动定员</w:t>
            </w:r>
          </w:p>
          <w:p w14:paraId="0522B9A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本项目</w:t>
            </w:r>
            <w:r>
              <w:rPr>
                <w:rFonts w:hint="default" w:ascii="Times New Roman" w:hAnsi="Times New Roman" w:eastAsia="宋体" w:cs="Times New Roman"/>
                <w:color w:val="auto"/>
                <w:kern w:val="0"/>
                <w:sz w:val="24"/>
                <w:highlight w:val="none"/>
                <w:lang w:val="en-US" w:eastAsia="zh-CN"/>
              </w:rPr>
              <w:t>劳动定员15人，全年工作</w:t>
            </w:r>
            <w:r>
              <w:rPr>
                <w:rFonts w:hint="eastAsia" w:ascii="Times New Roman" w:hAnsi="Times New Roman" w:eastAsia="宋体" w:cs="Times New Roman"/>
                <w:color w:val="auto"/>
                <w:kern w:val="0"/>
                <w:sz w:val="24"/>
                <w:highlight w:val="none"/>
                <w:lang w:val="en-US" w:eastAsia="zh-CN"/>
              </w:rPr>
              <w:t>3</w:t>
            </w:r>
            <w:r>
              <w:rPr>
                <w:rFonts w:hint="default" w:ascii="Times New Roman" w:hAnsi="Times New Roman" w:eastAsia="宋体" w:cs="Times New Roman"/>
                <w:color w:val="auto"/>
                <w:kern w:val="0"/>
                <w:sz w:val="24"/>
                <w:highlight w:val="none"/>
                <w:lang w:val="en-US" w:eastAsia="zh-CN"/>
              </w:rPr>
              <w:t>65天，每天三班制</w:t>
            </w:r>
            <w:r>
              <w:rPr>
                <w:rFonts w:hint="eastAsia" w:ascii="Times New Roman" w:hAnsi="Times New Roman" w:eastAsia="宋体" w:cs="Times New Roman"/>
                <w:color w:val="auto"/>
                <w:kern w:val="0"/>
                <w:sz w:val="24"/>
                <w:highlight w:val="none"/>
                <w:lang w:val="en-US" w:eastAsia="zh-CN"/>
              </w:rPr>
              <w:t>，每班次8小时。</w:t>
            </w:r>
          </w:p>
          <w:p w14:paraId="224BFC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jc w:val="left"/>
              <w:textAlignment w:val="auto"/>
              <w:rPr>
                <w:rFonts w:hint="default" w:ascii="Times New Roman" w:hAnsi="Times New Roman" w:eastAsia="宋体" w:cs="Times New Roman"/>
                <w:b/>
                <w:bCs/>
                <w:color w:val="auto"/>
                <w:sz w:val="24"/>
                <w:highlight w:val="none"/>
                <w:lang w:val="en-US" w:eastAsia="zh-CN"/>
              </w:rPr>
            </w:pPr>
            <w:r>
              <w:rPr>
                <w:rFonts w:hint="eastAsia" w:cs="Times New Roman"/>
                <w:b/>
                <w:bCs/>
                <w:color w:val="auto"/>
                <w:kern w:val="2"/>
                <w:sz w:val="24"/>
                <w:szCs w:val="24"/>
                <w:lang w:val="en-US" w:eastAsia="zh-CN" w:bidi="ar-SA"/>
              </w:rPr>
              <w:t>2.8</w:t>
            </w:r>
            <w:r>
              <w:rPr>
                <w:rFonts w:hint="eastAsia" w:ascii="Times New Roman" w:hAnsi="Times New Roman" w:eastAsia="宋体" w:cs="Times New Roman"/>
                <w:b/>
                <w:bCs/>
                <w:color w:val="auto"/>
                <w:sz w:val="24"/>
                <w:highlight w:val="none"/>
                <w:lang w:val="en-US" w:eastAsia="zh-CN"/>
              </w:rPr>
              <w:t>厂区平面布置情况</w:t>
            </w:r>
          </w:p>
          <w:p w14:paraId="1D82203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本项目位于新疆维吾尔自治区库尔勒市上库高新区石油石化产业园昆玉路东侧，本次新建工程实际用地面积约6295.19平方米</w:t>
            </w:r>
            <w:r>
              <w:rPr>
                <w:rFonts w:hint="eastAsia" w:cs="Times New Roman"/>
                <w:color w:val="auto"/>
                <w:kern w:val="0"/>
                <w:sz w:val="24"/>
                <w:highlight w:val="none"/>
                <w:lang w:val="en-US" w:eastAsia="zh-CN"/>
              </w:rPr>
              <w:t>，全厂总用地面积约62000m²（含一期工程、二期工程及预留发展用地）</w:t>
            </w:r>
            <w:r>
              <w:rPr>
                <w:rFonts w:hint="default" w:ascii="Times New Roman" w:hAnsi="Times New Roman" w:eastAsia="宋体" w:cs="Times New Roman"/>
                <w:color w:val="auto"/>
                <w:kern w:val="0"/>
                <w:sz w:val="24"/>
                <w:highlight w:val="none"/>
                <w:lang w:val="en-US" w:eastAsia="zh-CN"/>
              </w:rPr>
              <w:t>。厂区平面布置遵循工艺流程优先、功能分区明确的原则，按污水处理流程自南向北依次布置各处理单元：</w:t>
            </w:r>
          </w:p>
          <w:p w14:paraId="3DC6C01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（1）</w:t>
            </w:r>
            <w:r>
              <w:rPr>
                <w:rFonts w:hint="default" w:ascii="Times New Roman" w:hAnsi="Times New Roman" w:eastAsia="宋体" w:cs="Times New Roman"/>
                <w:color w:val="auto"/>
                <w:kern w:val="0"/>
                <w:sz w:val="24"/>
                <w:highlight w:val="none"/>
                <w:lang w:val="en-US" w:eastAsia="zh-CN"/>
              </w:rPr>
              <w:t>预处理区</w:t>
            </w:r>
          </w:p>
          <w:p w14:paraId="04C7AE5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位于厂区</w:t>
            </w:r>
            <w:r>
              <w:rPr>
                <w:rFonts w:hint="eastAsia" w:ascii="Times New Roman" w:hAnsi="Times New Roman" w:eastAsia="宋体" w:cs="Times New Roman"/>
                <w:color w:val="auto"/>
                <w:kern w:val="0"/>
                <w:sz w:val="24"/>
                <w:highlight w:val="none"/>
                <w:lang w:val="en-US" w:eastAsia="zh-CN"/>
              </w:rPr>
              <w:t>东</w:t>
            </w:r>
            <w:r>
              <w:rPr>
                <w:rFonts w:hint="default" w:ascii="Times New Roman" w:hAnsi="Times New Roman" w:eastAsia="宋体" w:cs="Times New Roman"/>
                <w:color w:val="auto"/>
                <w:kern w:val="0"/>
                <w:sz w:val="24"/>
                <w:highlight w:val="none"/>
                <w:lang w:val="en-US" w:eastAsia="zh-CN"/>
              </w:rPr>
              <w:t>侧，主要包括旋流除砂间、加药间、格栅、调节池、旋流沉砂器等预处理构筑物。污水由厂区东侧接入后，首先进入预处理区，经格栅、调节池、旋流沉砂器等设施处理后进入后续生化处理单元。</w:t>
            </w:r>
          </w:p>
          <w:p w14:paraId="7B9D482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p w14:paraId="6F99BF50">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（2）</w:t>
            </w:r>
            <w:r>
              <w:rPr>
                <w:rFonts w:hint="default" w:ascii="Times New Roman" w:hAnsi="Times New Roman" w:eastAsia="宋体" w:cs="Times New Roman"/>
                <w:color w:val="auto"/>
                <w:kern w:val="0"/>
                <w:sz w:val="24"/>
                <w:highlight w:val="none"/>
                <w:lang w:val="en-US" w:eastAsia="zh-CN"/>
              </w:rPr>
              <w:t>生化处理区</w:t>
            </w:r>
          </w:p>
          <w:p w14:paraId="6F7D7F0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位于厂区中部偏南，主要包括生物池及污泥泵房（AAO生物池）和二沉池。预处理后的污水进入AAO生物池，经厌氧、缺氧、好氧三段生化反应去除有机物及氮磷后，进入二沉池进行泥水分离。</w:t>
            </w:r>
          </w:p>
          <w:p w14:paraId="607EB4E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（3）</w:t>
            </w:r>
            <w:r>
              <w:rPr>
                <w:rFonts w:hint="default" w:ascii="Times New Roman" w:hAnsi="Times New Roman" w:eastAsia="宋体" w:cs="Times New Roman"/>
                <w:color w:val="auto"/>
                <w:kern w:val="0"/>
                <w:sz w:val="24"/>
                <w:highlight w:val="none"/>
                <w:lang w:val="en-US" w:eastAsia="zh-CN"/>
              </w:rPr>
              <w:t>深度处理区</w:t>
            </w:r>
          </w:p>
          <w:p w14:paraId="4EB4F57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与预处理区综合布置于厂区南侧，主要包括高效沉淀池、精密过滤滤池、消毒接触池等。二沉池出水进入深度处理区，经混凝沉淀、精密过滤、消毒后达标回用。</w:t>
            </w:r>
          </w:p>
          <w:p w14:paraId="4780C1B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（4）</w:t>
            </w:r>
            <w:r>
              <w:rPr>
                <w:rFonts w:hint="default" w:ascii="Times New Roman" w:hAnsi="Times New Roman" w:eastAsia="宋体" w:cs="Times New Roman"/>
                <w:color w:val="auto"/>
                <w:kern w:val="0"/>
                <w:sz w:val="24"/>
                <w:highlight w:val="none"/>
                <w:lang w:val="en-US" w:eastAsia="zh-CN"/>
              </w:rPr>
              <w:t>污泥处理区</w:t>
            </w:r>
          </w:p>
          <w:p w14:paraId="07D4BE4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位于厂区西南侧，主要包括污泥浓缩池、脱水机房（含除臭设备间、危废贮存点）。污泥浓缩池建于脱水机房室内，脱水机房为合建单体，地上2层，一层布置污泥浓缩池、板框压滤机、污泥调理系统、危废贮存点及一般固废暂存区；二层布置生物除臭及离子除臭设备。该区域相对独立，远离厂区北侧办公区域，便于污泥转运，减少对办公区的影响。</w:t>
            </w:r>
          </w:p>
          <w:p w14:paraId="39173F3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（5）</w:t>
            </w:r>
            <w:r>
              <w:rPr>
                <w:rFonts w:hint="default" w:ascii="Times New Roman" w:hAnsi="Times New Roman" w:eastAsia="宋体" w:cs="Times New Roman"/>
                <w:color w:val="auto"/>
                <w:kern w:val="0"/>
                <w:sz w:val="24"/>
                <w:highlight w:val="none"/>
                <w:lang w:val="en-US" w:eastAsia="zh-CN"/>
              </w:rPr>
              <w:t>辅助设施区</w:t>
            </w:r>
          </w:p>
          <w:p w14:paraId="5684B2B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鼓风机房、变电站：位于厂区中部偏北（生物池北侧、二沉池东北侧），紧邻生化池，缩短曝气风管输送距离，降低能耗</w:t>
            </w:r>
            <w:r>
              <w:rPr>
                <w:rFonts w:hint="eastAsia" w:ascii="Times New Roman" w:hAnsi="Times New Roman" w:eastAsia="宋体" w:cs="Times New Roman"/>
                <w:color w:val="auto"/>
                <w:kern w:val="0"/>
                <w:sz w:val="24"/>
                <w:highlight w:val="none"/>
                <w:lang w:val="en-US" w:eastAsia="zh-CN"/>
              </w:rPr>
              <w:t>。</w:t>
            </w:r>
          </w:p>
          <w:p w14:paraId="4C76696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加药间：集成于预处理综合建筑内，临近各水处理单体，药剂投加管线敷设距离短。</w:t>
            </w:r>
          </w:p>
          <w:p w14:paraId="67A2E14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业务用房：位于厂区北侧（新建业务用房及一期利旧业务用房），远离污泥处理区，减少异味及噪声影响。</w:t>
            </w:r>
          </w:p>
          <w:p w14:paraId="0585434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详细说明：</w:t>
            </w:r>
          </w:p>
          <w:p w14:paraId="0397AB1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①</w:t>
            </w:r>
            <w:r>
              <w:rPr>
                <w:rFonts w:hint="default" w:ascii="Times New Roman" w:hAnsi="Times New Roman" w:eastAsia="宋体" w:cs="Times New Roman"/>
                <w:color w:val="auto"/>
                <w:kern w:val="0"/>
                <w:sz w:val="24"/>
                <w:highlight w:val="none"/>
                <w:lang w:val="en-US" w:eastAsia="zh-CN"/>
              </w:rPr>
              <w:t>工艺流程顺畅高效</w:t>
            </w:r>
          </w:p>
          <w:p w14:paraId="746D52B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项目厂区内自南向北依次布设二沉池、生物池及污泥泵房、预处理综合构筑物（旋流除砂间、加药间</w:t>
            </w:r>
            <w:r>
              <w:rPr>
                <w:rFonts w:hint="eastAsia" w:ascii="Times New Roman" w:hAnsi="Times New Roman" w:eastAsia="宋体" w:cs="Times New Roman"/>
                <w:color w:val="auto"/>
                <w:kern w:val="0"/>
                <w:sz w:val="24"/>
                <w:highlight w:val="none"/>
                <w:lang w:val="en-US" w:eastAsia="zh-CN"/>
              </w:rPr>
              <w:t>）及深度处理构筑物（</w:t>
            </w:r>
            <w:r>
              <w:rPr>
                <w:rFonts w:hint="default" w:ascii="Times New Roman" w:hAnsi="Times New Roman" w:eastAsia="宋体" w:cs="Times New Roman"/>
                <w:color w:val="auto"/>
                <w:kern w:val="0"/>
                <w:sz w:val="24"/>
                <w:highlight w:val="none"/>
                <w:lang w:val="en-US" w:eastAsia="zh-CN"/>
              </w:rPr>
              <w:t>高效沉淀池、精密过滤池、消毒计量再生水储存提升泵房）。污水从</w:t>
            </w:r>
            <w:r>
              <w:rPr>
                <w:rFonts w:hint="eastAsia" w:ascii="Times New Roman" w:hAnsi="Times New Roman" w:eastAsia="宋体" w:cs="Times New Roman"/>
                <w:color w:val="auto"/>
                <w:kern w:val="0"/>
                <w:sz w:val="24"/>
                <w:highlight w:val="none"/>
                <w:lang w:val="en-US" w:eastAsia="zh-CN"/>
              </w:rPr>
              <w:t>东</w:t>
            </w:r>
            <w:r>
              <w:rPr>
                <w:rFonts w:hint="default" w:ascii="Times New Roman" w:hAnsi="Times New Roman" w:eastAsia="宋体" w:cs="Times New Roman"/>
                <w:color w:val="auto"/>
                <w:kern w:val="0"/>
                <w:sz w:val="24"/>
                <w:highlight w:val="none"/>
                <w:lang w:val="en-US" w:eastAsia="zh-CN"/>
              </w:rPr>
              <w:t>侧预处理综合构筑物接入后，按</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预处理→生化处理→深度处理→消毒回用</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的工艺逻辑依次流经各处理单元，各核心处理单元沿污水流向集中布置，有效缩短了工艺管线长度，减少了水头损失与能耗，避免了管线交叉干扰，确保了污水处理流程顺畅高效。</w:t>
            </w:r>
          </w:p>
          <w:p w14:paraId="7D7627F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②</w:t>
            </w:r>
            <w:r>
              <w:rPr>
                <w:rFonts w:hint="default" w:ascii="Times New Roman" w:hAnsi="Times New Roman" w:eastAsia="宋体" w:cs="Times New Roman"/>
                <w:color w:val="auto"/>
                <w:kern w:val="0"/>
                <w:sz w:val="24"/>
                <w:highlight w:val="none"/>
                <w:lang w:val="en-US" w:eastAsia="zh-CN"/>
              </w:rPr>
              <w:t>功能分区明确合理</w:t>
            </w:r>
          </w:p>
          <w:p w14:paraId="4B9B99E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厂区将预处理、生化及深度处理等核心生产单元集中布置于厂区中部及南侧；鼓风机房、变电站集中布置于生物池北侧、二沉池北侧区域，鼓风机房紧邻核心生化处理单元，大幅缩短曝气风管输送距离；变电站地处全厂水泵、风机、仪表设备集中的用电负荷中心，供配电线路短捷高效。污泥浓缩池、脱水机房及除臭设备间为合建单体，集中布置于厂区西南侧，既减少了污泥处理产生的异味、噪声对厂内环境的影响，又便于脱水污泥的外运处置。</w:t>
            </w:r>
          </w:p>
          <w:p w14:paraId="6732803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③</w:t>
            </w:r>
            <w:r>
              <w:rPr>
                <w:rFonts w:hint="default" w:ascii="Times New Roman" w:hAnsi="Times New Roman" w:eastAsia="宋体" w:cs="Times New Roman"/>
                <w:color w:val="auto"/>
                <w:kern w:val="0"/>
                <w:sz w:val="24"/>
                <w:highlight w:val="none"/>
                <w:lang w:val="en-US" w:eastAsia="zh-CN"/>
              </w:rPr>
              <w:t>辅助设施布局经济便捷</w:t>
            </w:r>
          </w:p>
          <w:p w14:paraId="5A3ACB9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加药间集成于预处理综合建筑内，临近生物池、二沉池等各水处理单体，药剂投加管线敷设综合距离短，配套投加系统布设经济便捷。鼓风机房紧邻生化池布置，为曝气系统提供就近动力支撑，降低了能耗与运维成本。危废贮存点及一般固废暂存区布置于脱水机房一层，与污泥处理单元合建，便于固废的集中收集和外运处置。</w:t>
            </w:r>
          </w:p>
          <w:p w14:paraId="2FE0C88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④</w:t>
            </w:r>
            <w:r>
              <w:rPr>
                <w:rFonts w:hint="default" w:ascii="Times New Roman" w:hAnsi="Times New Roman" w:eastAsia="宋体" w:cs="Times New Roman"/>
                <w:color w:val="auto"/>
                <w:kern w:val="0"/>
                <w:sz w:val="24"/>
                <w:highlight w:val="none"/>
                <w:lang w:val="en-US" w:eastAsia="zh-CN"/>
              </w:rPr>
              <w:t>产污单元与办公区有效分隔</w:t>
            </w:r>
          </w:p>
          <w:p w14:paraId="5389A89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污泥脱水机房、除臭设备间布置于厂区西南侧，远离地块北侧业务用房厂前办公区域，污泥转运、臭气处理等产污单元与办公生活区分隔，各建构筑物之间防火、卫生防护间距均满足规范要求。厂区东侧为现状一期污水处理站利旧备用区块，与新建污水处理设施以现状围墙分隔，互不干扰。</w:t>
            </w:r>
          </w:p>
          <w:p w14:paraId="0E16280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⑤</w:t>
            </w:r>
            <w:r>
              <w:rPr>
                <w:rFonts w:hint="default" w:ascii="Times New Roman" w:hAnsi="Times New Roman" w:eastAsia="宋体" w:cs="Times New Roman"/>
                <w:color w:val="auto"/>
                <w:kern w:val="0"/>
                <w:sz w:val="24"/>
                <w:highlight w:val="none"/>
                <w:lang w:val="en-US" w:eastAsia="zh-CN"/>
              </w:rPr>
              <w:t>交通组织便捷顺畅</w:t>
            </w:r>
          </w:p>
          <w:p w14:paraId="5358488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厂区现状出入口共两处，分别位于地块北侧，本次新建区域临近北侧西侧出入口，可直接利旧使用。同时沿各主要建构筑物周边通道新建环形永久道路，道路相互回环贯通，路面宽度4m，主道路交叉口转弯半径9m，完整路网可满足药剂运输、污泥外运、设备检修及消防通行全部需求。</w:t>
            </w:r>
          </w:p>
          <w:p w14:paraId="08333B7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综上，本项目平面布置既保障了污水处理工艺的高效衔接，又实现了各功能区的有序划分与合理衔接，布局紧凑、科学合理，符合《城市污水处理厂设计规范》（GB50147-2017）相关规范要求。</w:t>
            </w:r>
          </w:p>
          <w:p w14:paraId="78E4119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p>
        </w:tc>
      </w:tr>
      <w:tr w14:paraId="06000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8" w:hRule="atLeast"/>
        </w:trPr>
        <w:tc>
          <w:tcPr>
            <w:tcW w:w="399" w:type="dxa"/>
            <w:vAlign w:val="center"/>
          </w:tcPr>
          <w:p w14:paraId="407D89F0">
            <w:pPr>
              <w:jc w:val="center"/>
              <w:rPr>
                <w:rFonts w:hint="default"/>
                <w:vertAlign w:val="baseline"/>
                <w:lang w:val="en-US" w:eastAsia="zh-CN"/>
              </w:rPr>
            </w:pPr>
            <w:r>
              <w:rPr>
                <w:rFonts w:hint="eastAsia" w:cs="Times New Roman"/>
                <w:b/>
                <w:bCs/>
                <w:color w:val="auto"/>
                <w:sz w:val="21"/>
                <w:szCs w:val="21"/>
                <w:highlight w:val="none"/>
                <w:lang w:val="en-US" w:eastAsia="zh-CN"/>
              </w:rPr>
              <w:t>工艺</w:t>
            </w:r>
            <w:r>
              <w:rPr>
                <w:rFonts w:hint="eastAsia" w:ascii="Times New Roman" w:hAnsi="Times New Roman" w:eastAsia="宋体" w:cs="Times New Roman"/>
                <w:b/>
                <w:bCs/>
                <w:color w:val="auto"/>
                <w:sz w:val="21"/>
                <w:szCs w:val="21"/>
                <w:highlight w:val="none"/>
              </w:rPr>
              <w:t>流程和产排污环节</w:t>
            </w:r>
          </w:p>
        </w:tc>
        <w:tc>
          <w:tcPr>
            <w:tcW w:w="8661" w:type="dxa"/>
          </w:tcPr>
          <w:p w14:paraId="048CCEFC">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2.9</w:t>
            </w:r>
            <w:r>
              <w:rPr>
                <w:rFonts w:hint="default" w:ascii="Times New Roman" w:hAnsi="Times New Roman" w:eastAsia="宋体" w:cs="Times New Roman"/>
                <w:b/>
                <w:bCs/>
                <w:color w:val="auto"/>
                <w:sz w:val="24"/>
                <w:highlight w:val="none"/>
                <w:lang w:val="en-US" w:eastAsia="zh-CN"/>
              </w:rPr>
              <w:t>施工期工艺流程</w:t>
            </w:r>
          </w:p>
          <w:p w14:paraId="65C95D7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本项目施工期主要建设内容包括构筑物施工</w:t>
            </w:r>
            <w:r>
              <w:rPr>
                <w:rFonts w:hint="eastAsia" w:ascii="Times New Roman" w:hAnsi="Times New Roman" w:eastAsia="宋体" w:cs="Times New Roman"/>
                <w:color w:val="auto"/>
                <w:kern w:val="0"/>
                <w:sz w:val="24"/>
                <w:highlight w:val="none"/>
                <w:lang w:val="en-US" w:eastAsia="zh-CN"/>
              </w:rPr>
              <w:t>和管道施工</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污水处理</w:t>
            </w:r>
            <w:r>
              <w:rPr>
                <w:rFonts w:hint="eastAsia" w:cs="Times New Roman"/>
                <w:color w:val="auto"/>
                <w:kern w:val="0"/>
                <w:sz w:val="24"/>
                <w:highlight w:val="none"/>
                <w:lang w:val="en-US" w:eastAsia="zh-CN"/>
              </w:rPr>
              <w:t>厂</w:t>
            </w:r>
            <w:r>
              <w:rPr>
                <w:rFonts w:hint="default" w:ascii="Times New Roman" w:hAnsi="Times New Roman" w:eastAsia="宋体" w:cs="Times New Roman"/>
                <w:color w:val="auto"/>
                <w:kern w:val="0"/>
                <w:sz w:val="24"/>
                <w:highlight w:val="none"/>
                <w:lang w:val="en-US" w:eastAsia="zh-CN"/>
              </w:rPr>
              <w:t>构筑物建设过程中主要内容为清理地表、平整土地、基础开挖、主体工程及附属工程建设、设备安装等，施工工艺流程及产污环节如下</w:t>
            </w:r>
            <w:r>
              <w:rPr>
                <w:rFonts w:hint="eastAsia" w:cs="Times New Roman"/>
                <w:color w:val="auto"/>
                <w:kern w:val="0"/>
                <w:sz w:val="24"/>
                <w:highlight w:val="none"/>
                <w:lang w:val="en-US" w:eastAsia="zh-CN"/>
              </w:rPr>
              <w:t>图</w:t>
            </w:r>
            <w:r>
              <w:rPr>
                <w:rFonts w:hint="default" w:ascii="Times New Roman" w:hAnsi="Times New Roman" w:eastAsia="宋体" w:cs="Times New Roman"/>
                <w:color w:val="auto"/>
                <w:kern w:val="0"/>
                <w:sz w:val="24"/>
                <w:highlight w:val="none"/>
                <w:lang w:val="en-US" w:eastAsia="zh-CN"/>
              </w:rPr>
              <w:t>：</w:t>
            </w:r>
          </w:p>
          <w:p w14:paraId="60A4B0BF">
            <w:pPr>
              <w:adjustRightInd w:val="0"/>
              <w:snapToGrid w:val="0"/>
              <w:jc w:val="center"/>
              <w:rPr>
                <w:highlight w:val="none"/>
              </w:rPr>
            </w:pPr>
            <w:r>
              <w:drawing>
                <wp:inline distT="0" distB="0" distL="114300" distR="114300">
                  <wp:extent cx="4991100" cy="1724025"/>
                  <wp:effectExtent l="0" t="0" r="0" b="9525"/>
                  <wp:docPr id="9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5"/>
                          <pic:cNvPicPr>
                            <a:picLocks noChangeAspect="1"/>
                          </pic:cNvPicPr>
                        </pic:nvPicPr>
                        <pic:blipFill>
                          <a:blip r:embed="rId13"/>
                          <a:stretch>
                            <a:fillRect/>
                          </a:stretch>
                        </pic:blipFill>
                        <pic:spPr>
                          <a:xfrm>
                            <a:off x="0" y="0"/>
                            <a:ext cx="4991100" cy="1724025"/>
                          </a:xfrm>
                          <a:prstGeom prst="rect">
                            <a:avLst/>
                          </a:prstGeom>
                          <a:noFill/>
                          <a:ln>
                            <a:noFill/>
                          </a:ln>
                        </pic:spPr>
                      </pic:pic>
                    </a:graphicData>
                  </a:graphic>
                </wp:inline>
              </w:drawing>
            </w:r>
          </w:p>
          <w:p w14:paraId="5AEC30C8">
            <w:pPr>
              <w:pStyle w:val="23"/>
              <w:bidi w:val="0"/>
              <w:rPr>
                <w:rFonts w:hint="eastAsia"/>
                <w:lang w:eastAsia="zh-CN"/>
              </w:rPr>
            </w:pPr>
            <w:r>
              <w:t xml:space="preserve">图 </w:t>
            </w:r>
            <w:r>
              <w:fldChar w:fldCharType="begin"/>
            </w:r>
            <w:r>
              <w:instrText xml:space="preserve"> STYLEREF 1 \s \* ARABIC </w:instrText>
            </w:r>
            <w:r>
              <w:fldChar w:fldCharType="separate"/>
            </w:r>
            <w:r>
              <w:t>2</w:t>
            </w:r>
            <w:r>
              <w:fldChar w:fldCharType="end"/>
            </w:r>
            <w:r>
              <w:rPr>
                <w:rFonts w:hint="eastAsia"/>
                <w:lang w:eastAsia="zh-CN"/>
              </w:rPr>
              <w:t>-</w:t>
            </w:r>
            <w:r>
              <w:fldChar w:fldCharType="begin"/>
            </w:r>
            <w:r>
              <w:instrText xml:space="preserve"> SEQ 图 \* ARABIC \s 1 </w:instrText>
            </w:r>
            <w:r>
              <w:fldChar w:fldCharType="separate"/>
            </w:r>
            <w:r>
              <w:t>1</w:t>
            </w:r>
            <w:r>
              <w:fldChar w:fldCharType="end"/>
            </w:r>
            <w:r>
              <w:rPr>
                <w:rFonts w:hint="eastAsia"/>
                <w:lang w:eastAsia="zh-CN"/>
              </w:rPr>
              <w:t>污水处理厂施工工艺及产污环节</w:t>
            </w:r>
          </w:p>
          <w:p w14:paraId="5DE5AB7E">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本项目配套管网敷设工艺流程及产污节点示意图如下</w:t>
            </w:r>
            <w:r>
              <w:rPr>
                <w:rFonts w:hint="eastAsia" w:ascii="Times New Roman" w:hAnsi="Times New Roman" w:eastAsia="宋体" w:cs="Times New Roman"/>
                <w:color w:val="auto"/>
                <w:kern w:val="0"/>
                <w:sz w:val="24"/>
                <w:highlight w:val="none"/>
                <w:lang w:val="en-US" w:eastAsia="zh-CN"/>
              </w:rPr>
              <w:t>：</w:t>
            </w:r>
          </w:p>
          <w:p w14:paraId="5456D8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highlight w:val="none"/>
              </w:rPr>
            </w:pPr>
            <w:r>
              <w:drawing>
                <wp:inline distT="0" distB="0" distL="114300" distR="114300">
                  <wp:extent cx="4828540" cy="2679700"/>
                  <wp:effectExtent l="0" t="0" r="10160" b="6350"/>
                  <wp:docPr id="9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7"/>
                          <pic:cNvPicPr>
                            <a:picLocks noChangeAspect="1"/>
                          </pic:cNvPicPr>
                        </pic:nvPicPr>
                        <pic:blipFill>
                          <a:blip r:embed="rId14"/>
                          <a:stretch>
                            <a:fillRect/>
                          </a:stretch>
                        </pic:blipFill>
                        <pic:spPr>
                          <a:xfrm>
                            <a:off x="0" y="0"/>
                            <a:ext cx="4828540" cy="2679700"/>
                          </a:xfrm>
                          <a:prstGeom prst="rect">
                            <a:avLst/>
                          </a:prstGeom>
                          <a:noFill/>
                          <a:ln>
                            <a:noFill/>
                          </a:ln>
                        </pic:spPr>
                      </pic:pic>
                    </a:graphicData>
                  </a:graphic>
                </wp:inline>
              </w:drawing>
            </w:r>
          </w:p>
          <w:p w14:paraId="67447AD1">
            <w:pPr>
              <w:pStyle w:val="23"/>
              <w:bidi w:val="0"/>
              <w:rPr>
                <w:rFonts w:hint="eastAsia"/>
                <w:lang w:val="en-US" w:eastAsia="zh-CN"/>
              </w:rPr>
            </w:pPr>
            <w:r>
              <w:t xml:space="preserve">图 </w:t>
            </w:r>
            <w:r>
              <w:fldChar w:fldCharType="begin"/>
            </w:r>
            <w:r>
              <w:instrText xml:space="preserve"> STYLEREF 1 \s \* ARABIC </w:instrText>
            </w:r>
            <w:r>
              <w:fldChar w:fldCharType="separate"/>
            </w:r>
            <w:r>
              <w:t>2</w:t>
            </w:r>
            <w:r>
              <w:fldChar w:fldCharType="end"/>
            </w:r>
            <w:r>
              <w:rPr>
                <w:rFonts w:hint="eastAsia"/>
                <w:lang w:eastAsia="zh-CN"/>
              </w:rPr>
              <w:t>-</w:t>
            </w:r>
            <w:r>
              <w:fldChar w:fldCharType="begin"/>
            </w:r>
            <w:r>
              <w:instrText xml:space="preserve"> SEQ 图 \* ARABIC \s 1 </w:instrText>
            </w:r>
            <w:r>
              <w:fldChar w:fldCharType="separate"/>
            </w:r>
            <w:r>
              <w:t>2</w:t>
            </w:r>
            <w:r>
              <w:fldChar w:fldCharType="end"/>
            </w:r>
            <w:r>
              <w:rPr>
                <w:rFonts w:hint="eastAsia"/>
                <w:lang w:eastAsia="zh-CN"/>
              </w:rPr>
              <w:t>项目配套管网敷设工艺流程及产污节点示意图</w:t>
            </w:r>
          </w:p>
          <w:p w14:paraId="46B187CA">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jc w:val="left"/>
              <w:textAlignment w:val="auto"/>
              <w:rPr>
                <w:rFonts w:hint="eastAsia" w:ascii="Times New Roman" w:hAnsi="Times New Roman" w:eastAsia="宋体" w:cs="Times New Roman"/>
                <w:b w:val="0"/>
                <w:bCs w:val="0"/>
                <w:color w:val="auto"/>
                <w:kern w:val="0"/>
                <w:sz w:val="24"/>
                <w:szCs w:val="24"/>
                <w:highlight w:val="none"/>
                <w:lang w:val="en-US" w:eastAsia="zh-CN" w:bidi="ar"/>
              </w:rPr>
            </w:pPr>
            <w:r>
              <w:rPr>
                <w:rFonts w:hint="eastAsia" w:ascii="Times New Roman" w:hAnsi="Times New Roman" w:eastAsia="宋体" w:cs="Times New Roman"/>
                <w:b/>
                <w:bCs/>
                <w:color w:val="auto"/>
                <w:kern w:val="2"/>
                <w:sz w:val="24"/>
                <w:szCs w:val="24"/>
                <w:highlight w:val="none"/>
                <w:lang w:val="en-US" w:eastAsia="zh-CN" w:bidi="ar-SA"/>
              </w:rPr>
              <w:t>2.</w:t>
            </w:r>
            <w:r>
              <w:rPr>
                <w:rFonts w:hint="eastAsia" w:cs="Times New Roman"/>
                <w:b/>
                <w:bCs/>
                <w:color w:val="auto"/>
                <w:kern w:val="2"/>
                <w:sz w:val="24"/>
                <w:szCs w:val="24"/>
                <w:highlight w:val="none"/>
                <w:lang w:val="en-US" w:eastAsia="zh-CN" w:bidi="ar-SA"/>
              </w:rPr>
              <w:t>10</w:t>
            </w:r>
            <w:r>
              <w:rPr>
                <w:rFonts w:hint="eastAsia" w:ascii="Times New Roman" w:hAnsi="Times New Roman" w:eastAsia="宋体" w:cs="Times New Roman"/>
                <w:b/>
                <w:bCs/>
                <w:color w:val="auto"/>
                <w:sz w:val="24"/>
                <w:highlight w:val="none"/>
                <w:lang w:val="en-US" w:eastAsia="zh-CN"/>
              </w:rPr>
              <w:t>运营期工艺流程</w:t>
            </w:r>
          </w:p>
          <w:p w14:paraId="0A5C76D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（1）预处理工段</w:t>
            </w:r>
          </w:p>
          <w:p w14:paraId="22CEEFB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污水首先进入格栅间，通过粗格栅去除污水中较大漂浮物（直径大于20mm的杂物），再经细格栅去除污水中细小颗粒（直径大于3mm的杂物），保护后续处理设施正常运行。格栅由PLC根据格栅前后液位差或设定的时间间隔启闭机械栅耙，并联动输送机完成栅渣的收集、输送。</w:t>
            </w:r>
          </w:p>
          <w:p w14:paraId="1314D580">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污水经格栅处理后进入调节池，对污水厂进水水质、水量的波动进行调节、均合，为后续工艺的稳定运行创造条件。</w:t>
            </w:r>
          </w:p>
          <w:p w14:paraId="1B9F657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污水经调节池提升后进入旋流沉砂设备，去除进水中比重大于2.65、粒径大于0.106mm的砂粒，保证后续处理构筑物的正常运行。</w:t>
            </w:r>
          </w:p>
          <w:p w14:paraId="6B40344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（2）生化处理工段</w:t>
            </w:r>
          </w:p>
          <w:p w14:paraId="112C977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生化处理采用改良AAO（Bardenpho）生物池，即由厌氧区、前缺氧区、前好氧区、后缺氧区及后好氧区五部分组成。污水首先进入厌氧区，回流污泥在厌氧环境下释磷，同时降解有机氮转化为氨氮；然后进入前缺氧区，与回流的硝化液混合进行反硝化反应，将硝酸盐氮转化为氮气实现脱氮；随后进入前好氧区，通过硝化反应将氨氮转化为硝酸盐氮；后缺氧区进一步利用外加碳源（乙酸钠）进行深度脱氮；后好氧区用于吹脱剩余氮气并防止磷的二次释放。生物池出水进入二沉池进行固液分离，上清液进入后续深度处理单元，底部污泥一部分回流至生物池，一部分作为剩余污泥排至污泥浓缩池。</w:t>
            </w:r>
          </w:p>
          <w:p w14:paraId="3DA77BF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（3）深度处理工段</w:t>
            </w:r>
          </w:p>
          <w:p w14:paraId="4B159D0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二沉池出水进入高效沉淀池及滤池，通过投加PAC/PAM进一步去除污水中的COD、SS和TP。高效沉淀池集混合、反应、沉淀于一体，依托污泥混凝、循环、斜管分离及浓缩等原理进行泥水分离；精密过滤滤池进一步去除残留悬浮物。</w:t>
            </w:r>
          </w:p>
          <w:p w14:paraId="76413C9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深度处理出水进入消毒、计量、再生水储存及提升泵池，通过投加次氯酸钠消毒剂对污水进行消毒，确保出水卫生学指标达标。经消毒后污水经巴氏计量槽计量，通过在线监测仪表实时监控，达标尾水进入回用系统。</w:t>
            </w:r>
          </w:p>
          <w:p w14:paraId="4786CC8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（4）污泥处理工段</w:t>
            </w:r>
          </w:p>
          <w:p w14:paraId="4A7E3BE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二沉池和高效沉淀池产生的剩余污泥进入污泥浓缩池进行重力浓缩，浓缩后污泥进入脱水机房，经调理池加药调理后，由板框压滤机脱水至含水率≤60%，脱水后的污泥外运至垃圾填埋场填埋。污泥浓缩池上清液和压滤机滤液回流至调节池重新进入污水处理系统。</w:t>
            </w:r>
          </w:p>
          <w:p w14:paraId="63B7EDC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cs="Times New Roman"/>
                <w:b w:val="0"/>
                <w:bCs w:val="0"/>
                <w:color w:val="auto"/>
                <w:kern w:val="0"/>
                <w:sz w:val="24"/>
                <w:szCs w:val="24"/>
                <w:highlight w:val="none"/>
                <w:lang w:val="en-US" w:eastAsia="zh-CN" w:bidi="ar"/>
              </w:rPr>
            </w:pPr>
            <w:r>
              <w:drawing>
                <wp:inline distT="0" distB="0" distL="114300" distR="114300">
                  <wp:extent cx="5360670" cy="3242945"/>
                  <wp:effectExtent l="0" t="0" r="11430" b="14605"/>
                  <wp:docPr id="10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
                          <pic:cNvPicPr>
                            <a:picLocks noChangeAspect="1"/>
                          </pic:cNvPicPr>
                        </pic:nvPicPr>
                        <pic:blipFill>
                          <a:blip r:embed="rId15"/>
                          <a:stretch>
                            <a:fillRect/>
                          </a:stretch>
                        </pic:blipFill>
                        <pic:spPr>
                          <a:xfrm>
                            <a:off x="0" y="0"/>
                            <a:ext cx="5360670" cy="3242945"/>
                          </a:xfrm>
                          <a:prstGeom prst="rect">
                            <a:avLst/>
                          </a:prstGeom>
                          <a:noFill/>
                          <a:ln>
                            <a:noFill/>
                          </a:ln>
                        </pic:spPr>
                      </pic:pic>
                    </a:graphicData>
                  </a:graphic>
                </wp:inline>
              </w:drawing>
            </w:r>
          </w:p>
          <w:p w14:paraId="4592EE61">
            <w:pPr>
              <w:pStyle w:val="23"/>
              <w:bidi w:val="0"/>
              <w:rPr>
                <w:rFonts w:hint="eastAsia" w:ascii="Times New Roman" w:hAnsi="Times New Roman" w:eastAsia="宋体" w:cs="Times New Roman"/>
                <w:b/>
                <w:bCs/>
                <w:color w:val="auto"/>
                <w:sz w:val="21"/>
                <w:szCs w:val="21"/>
                <w:highlight w:val="none"/>
                <w:lang w:val="en-US" w:eastAsia="zh-CN"/>
              </w:rPr>
            </w:pPr>
            <w:r>
              <w:t xml:space="preserve">图 </w:t>
            </w:r>
            <w:r>
              <w:fldChar w:fldCharType="begin"/>
            </w:r>
            <w:r>
              <w:instrText xml:space="preserve"> STYLEREF 1 \s \* ARABIC </w:instrText>
            </w:r>
            <w:r>
              <w:fldChar w:fldCharType="separate"/>
            </w:r>
            <w:r>
              <w:t>2</w:t>
            </w:r>
            <w:r>
              <w:fldChar w:fldCharType="end"/>
            </w:r>
            <w:r>
              <w:rPr>
                <w:rFonts w:hint="eastAsia"/>
                <w:lang w:eastAsia="zh-CN"/>
              </w:rPr>
              <w:t>-</w:t>
            </w:r>
            <w:r>
              <w:fldChar w:fldCharType="begin"/>
            </w:r>
            <w:r>
              <w:instrText xml:space="preserve"> SEQ 图 \* ARABIC \s 1 </w:instrText>
            </w:r>
            <w:r>
              <w:fldChar w:fldCharType="separate"/>
            </w:r>
            <w:r>
              <w:t>3</w:t>
            </w:r>
            <w:r>
              <w:fldChar w:fldCharType="end"/>
            </w:r>
            <w:r>
              <w:rPr>
                <w:rFonts w:hint="eastAsia"/>
                <w:lang w:eastAsia="zh-CN"/>
              </w:rPr>
              <w:t>本项目运营期工艺流程及产污节点图</w:t>
            </w:r>
          </w:p>
          <w:p w14:paraId="267BA3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eastAsia" w:cs="Times New Roman"/>
                <w:b/>
                <w:bCs/>
                <w:color w:val="auto"/>
                <w:kern w:val="2"/>
                <w:sz w:val="24"/>
                <w:szCs w:val="24"/>
                <w:highlight w:val="none"/>
                <w:lang w:val="en-US" w:eastAsia="zh-CN" w:bidi="ar-SA"/>
              </w:rPr>
              <w:t>2.11</w:t>
            </w:r>
            <w:r>
              <w:rPr>
                <w:rFonts w:hint="eastAsia" w:ascii="Times New Roman" w:hAnsi="Times New Roman" w:eastAsia="宋体" w:cs="Times New Roman"/>
                <w:b/>
                <w:bCs/>
                <w:color w:val="auto"/>
                <w:sz w:val="24"/>
                <w:highlight w:val="none"/>
                <w:lang w:val="en-US" w:eastAsia="zh-CN"/>
              </w:rPr>
              <w:t>产排污环节</w:t>
            </w:r>
          </w:p>
          <w:p w14:paraId="5C49BFC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本项目</w:t>
            </w:r>
            <w:r>
              <w:rPr>
                <w:rFonts w:hint="eastAsia" w:ascii="Times New Roman" w:hAnsi="Times New Roman" w:eastAsia="宋体" w:cs="Times New Roman"/>
                <w:color w:val="auto"/>
                <w:kern w:val="0"/>
                <w:sz w:val="24"/>
                <w:highlight w:val="none"/>
                <w:lang w:val="en-US" w:eastAsia="zh-CN"/>
              </w:rPr>
              <w:t>施工期、运营期的</w:t>
            </w:r>
            <w:r>
              <w:rPr>
                <w:rFonts w:hint="default" w:ascii="Times New Roman" w:hAnsi="Times New Roman" w:eastAsia="宋体" w:cs="Times New Roman"/>
                <w:color w:val="auto"/>
                <w:kern w:val="0"/>
                <w:sz w:val="24"/>
                <w:highlight w:val="none"/>
                <w:lang w:val="en-US" w:eastAsia="zh-CN"/>
              </w:rPr>
              <w:t>污染物产生情况见下表</w:t>
            </w:r>
            <w:r>
              <w:rPr>
                <w:rFonts w:hint="eastAsia" w:ascii="Times New Roman" w:hAnsi="Times New Roman" w:eastAsia="宋体" w:cs="Times New Roman"/>
                <w:color w:val="auto"/>
                <w:kern w:val="0"/>
                <w:sz w:val="24"/>
                <w:highlight w:val="none"/>
                <w:lang w:val="en-US" w:eastAsia="zh-CN"/>
              </w:rPr>
              <w:t>：</w:t>
            </w:r>
          </w:p>
          <w:p w14:paraId="1C930A76">
            <w:pPr>
              <w:pStyle w:val="23"/>
              <w:bidi w:val="0"/>
              <w:rPr>
                <w:rFonts w:hint="eastAsia"/>
                <w:lang w:eastAsia="zh-CN"/>
              </w:rPr>
            </w:pPr>
            <w:r>
              <w:t>表</w:t>
            </w:r>
            <w:r>
              <w:fldChar w:fldCharType="begin"/>
            </w:r>
            <w:r>
              <w:instrText xml:space="preserve"> STYLEREF 1 \s \* ARABIC </w:instrText>
            </w:r>
            <w:r>
              <w:fldChar w:fldCharType="separate"/>
            </w:r>
            <w:r>
              <w:t>2</w:t>
            </w:r>
            <w:r>
              <w:fldChar w:fldCharType="end"/>
            </w:r>
            <w:r>
              <w:rPr>
                <w:rFonts w:hint="eastAsia"/>
                <w:lang w:val="en-US" w:eastAsia="zh-CN"/>
              </w:rPr>
              <w:t>-6</w:t>
            </w:r>
            <w:r>
              <w:rPr>
                <w:rFonts w:hint="eastAsia"/>
                <w:lang w:eastAsia="zh-CN"/>
              </w:rPr>
              <w:t>项目产污环节及治理措施一览表</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658"/>
              <w:gridCol w:w="1298"/>
              <w:gridCol w:w="1966"/>
              <w:gridCol w:w="1499"/>
              <w:gridCol w:w="2360"/>
            </w:tblGrid>
            <w:tr w14:paraId="7F269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7" w:hRule="atLeast"/>
                <w:jc w:val="center"/>
              </w:trPr>
              <w:tc>
                <w:tcPr>
                  <w:tcW w:w="386" w:type="pct"/>
                  <w:noWrap w:val="0"/>
                  <w:vAlign w:val="center"/>
                </w:tcPr>
                <w:p w14:paraId="517F69C6">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阶段</w:t>
                  </w:r>
                </w:p>
              </w:tc>
              <w:tc>
                <w:tcPr>
                  <w:tcW w:w="390" w:type="pct"/>
                  <w:noWrap w:val="0"/>
                  <w:vAlign w:val="center"/>
                </w:tcPr>
                <w:p w14:paraId="08D2B363">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bCs/>
                      <w:color w:val="auto"/>
                      <w:spacing w:val="0"/>
                      <w:sz w:val="21"/>
                      <w:szCs w:val="21"/>
                      <w:highlight w:val="none"/>
                      <w:vertAlign w:val="baseline"/>
                      <w:lang w:val="en-US" w:eastAsia="zh-CN"/>
                    </w:rPr>
                    <w:t>项目</w:t>
                  </w:r>
                </w:p>
              </w:tc>
              <w:tc>
                <w:tcPr>
                  <w:tcW w:w="769" w:type="pct"/>
                  <w:noWrap w:val="0"/>
                  <w:vAlign w:val="center"/>
                </w:tcPr>
                <w:p w14:paraId="11C17AE9">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bCs/>
                      <w:color w:val="auto"/>
                      <w:spacing w:val="0"/>
                      <w:sz w:val="21"/>
                      <w:szCs w:val="21"/>
                      <w:highlight w:val="none"/>
                      <w:vertAlign w:val="baseline"/>
                      <w:lang w:val="en-US" w:eastAsia="zh-CN"/>
                    </w:rPr>
                    <w:t>污染源名称</w:t>
                  </w:r>
                </w:p>
              </w:tc>
              <w:tc>
                <w:tcPr>
                  <w:tcW w:w="1165" w:type="pct"/>
                  <w:noWrap w:val="0"/>
                  <w:vAlign w:val="center"/>
                </w:tcPr>
                <w:p w14:paraId="20ED4732">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产污环节</w:t>
                  </w:r>
                </w:p>
              </w:tc>
              <w:tc>
                <w:tcPr>
                  <w:tcW w:w="888" w:type="pct"/>
                  <w:noWrap w:val="0"/>
                  <w:vAlign w:val="center"/>
                </w:tcPr>
                <w:p w14:paraId="3FF29F58">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bCs/>
                      <w:color w:val="auto"/>
                      <w:spacing w:val="0"/>
                      <w:sz w:val="21"/>
                      <w:szCs w:val="21"/>
                      <w:highlight w:val="none"/>
                      <w:vertAlign w:val="baseline"/>
                      <w:lang w:val="en-US" w:eastAsia="zh-CN"/>
                    </w:rPr>
                    <w:t>主要污染物</w:t>
                  </w:r>
                </w:p>
              </w:tc>
              <w:tc>
                <w:tcPr>
                  <w:tcW w:w="1399" w:type="pct"/>
                  <w:noWrap w:val="0"/>
                  <w:vAlign w:val="center"/>
                </w:tcPr>
                <w:p w14:paraId="62E8D463">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bCs/>
                      <w:color w:val="auto"/>
                      <w:spacing w:val="0"/>
                      <w:sz w:val="21"/>
                      <w:szCs w:val="21"/>
                      <w:highlight w:val="none"/>
                      <w:vertAlign w:val="baseline"/>
                      <w:lang w:val="en-US" w:eastAsia="zh-CN"/>
                    </w:rPr>
                    <w:t>处理设施及去向</w:t>
                  </w:r>
                </w:p>
              </w:tc>
            </w:tr>
            <w:tr w14:paraId="60C47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386" w:type="pct"/>
                  <w:vMerge w:val="restart"/>
                  <w:noWrap w:val="0"/>
                  <w:vAlign w:val="center"/>
                </w:tcPr>
                <w:p w14:paraId="19DCA7C0">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施工期</w:t>
                  </w:r>
                </w:p>
              </w:tc>
              <w:tc>
                <w:tcPr>
                  <w:tcW w:w="390" w:type="pct"/>
                  <w:vMerge w:val="restart"/>
                  <w:noWrap w:val="0"/>
                  <w:vAlign w:val="center"/>
                </w:tcPr>
                <w:p w14:paraId="23840DF8">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bCs/>
                      <w:color w:val="auto"/>
                      <w:spacing w:val="0"/>
                      <w:sz w:val="21"/>
                      <w:szCs w:val="21"/>
                      <w:highlight w:val="none"/>
                      <w:vertAlign w:val="baseline"/>
                      <w:lang w:val="en-US" w:eastAsia="zh-CN"/>
                    </w:rPr>
                    <w:t>废水</w:t>
                  </w:r>
                </w:p>
              </w:tc>
              <w:tc>
                <w:tcPr>
                  <w:tcW w:w="769" w:type="pct"/>
                  <w:noWrap w:val="0"/>
                  <w:vAlign w:val="center"/>
                </w:tcPr>
                <w:p w14:paraId="7BFE115A">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管道试压废水</w:t>
                  </w:r>
                </w:p>
              </w:tc>
              <w:tc>
                <w:tcPr>
                  <w:tcW w:w="1165" w:type="pct"/>
                  <w:noWrap w:val="0"/>
                  <w:vAlign w:val="center"/>
                </w:tcPr>
                <w:p w14:paraId="589173A0">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施工期管道试压</w:t>
                  </w:r>
                </w:p>
              </w:tc>
              <w:tc>
                <w:tcPr>
                  <w:tcW w:w="888" w:type="pct"/>
                  <w:noWrap w:val="0"/>
                  <w:vAlign w:val="center"/>
                </w:tcPr>
                <w:p w14:paraId="0F0405B1">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SS</w:t>
                  </w:r>
                </w:p>
              </w:tc>
              <w:tc>
                <w:tcPr>
                  <w:tcW w:w="1399" w:type="pct"/>
                  <w:noWrap w:val="0"/>
                  <w:vAlign w:val="center"/>
                </w:tcPr>
                <w:p w14:paraId="2C7FA304">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bCs/>
                      <w:color w:val="auto"/>
                      <w:spacing w:val="0"/>
                      <w:sz w:val="21"/>
                      <w:szCs w:val="21"/>
                      <w:highlight w:val="none"/>
                      <w:vertAlign w:val="baseline"/>
                      <w:lang w:val="en-US" w:eastAsia="zh-CN"/>
                    </w:rPr>
                    <w:t>用于施工</w:t>
                  </w:r>
                  <w:r>
                    <w:rPr>
                      <w:rFonts w:hint="eastAsia" w:cs="Times New Roman"/>
                      <w:bCs/>
                      <w:color w:val="auto"/>
                      <w:spacing w:val="0"/>
                      <w:sz w:val="21"/>
                      <w:szCs w:val="21"/>
                      <w:highlight w:val="none"/>
                      <w:vertAlign w:val="baseline"/>
                      <w:lang w:val="en-US" w:eastAsia="zh-CN"/>
                    </w:rPr>
                    <w:t>现场</w:t>
                  </w:r>
                  <w:r>
                    <w:rPr>
                      <w:rFonts w:hint="default" w:ascii="Times New Roman" w:hAnsi="Times New Roman" w:eastAsia="宋体" w:cs="Times New Roman"/>
                      <w:bCs/>
                      <w:color w:val="auto"/>
                      <w:spacing w:val="0"/>
                      <w:sz w:val="21"/>
                      <w:szCs w:val="21"/>
                      <w:highlight w:val="none"/>
                      <w:vertAlign w:val="baseline"/>
                      <w:lang w:val="en-US" w:eastAsia="zh-CN"/>
                    </w:rPr>
                    <w:t>洒水抑尘</w:t>
                  </w:r>
                </w:p>
              </w:tc>
            </w:tr>
            <w:tr w14:paraId="30F3D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386" w:type="pct"/>
                  <w:vMerge w:val="continue"/>
                  <w:noWrap w:val="0"/>
                  <w:vAlign w:val="center"/>
                </w:tcPr>
                <w:p w14:paraId="76CFC299">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6033C0D4">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72746E1C">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施工机械冲洗废水</w:t>
                  </w:r>
                </w:p>
              </w:tc>
              <w:tc>
                <w:tcPr>
                  <w:tcW w:w="1165" w:type="pct"/>
                  <w:noWrap w:val="0"/>
                  <w:vAlign w:val="center"/>
                </w:tcPr>
                <w:p w14:paraId="74D11A2E">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施工机械冲洗</w:t>
                  </w:r>
                  <w:r>
                    <w:rPr>
                      <w:rFonts w:hint="eastAsia" w:cs="Times New Roman"/>
                      <w:color w:val="000000"/>
                      <w:spacing w:val="0"/>
                      <w:sz w:val="21"/>
                      <w:szCs w:val="21"/>
                      <w:highlight w:val="none"/>
                      <w:lang w:val="en-US" w:eastAsia="zh-CN"/>
                    </w:rPr>
                    <w:t>废水</w:t>
                  </w:r>
                </w:p>
              </w:tc>
              <w:tc>
                <w:tcPr>
                  <w:tcW w:w="888" w:type="pct"/>
                  <w:noWrap w:val="0"/>
                  <w:vAlign w:val="center"/>
                </w:tcPr>
                <w:p w14:paraId="427C0949">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SS</w:t>
                  </w:r>
                </w:p>
              </w:tc>
              <w:tc>
                <w:tcPr>
                  <w:tcW w:w="1399" w:type="pct"/>
                  <w:noWrap w:val="0"/>
                  <w:vAlign w:val="center"/>
                </w:tcPr>
                <w:p w14:paraId="6D14CADD">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经临时沉淀池处理后，回用于场地洒水抑尘</w:t>
                  </w:r>
                </w:p>
              </w:tc>
            </w:tr>
            <w:tr w14:paraId="1A459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86" w:type="pct"/>
                  <w:vMerge w:val="continue"/>
                  <w:noWrap w:val="0"/>
                  <w:vAlign w:val="center"/>
                </w:tcPr>
                <w:p w14:paraId="0528E17C">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0F2F9CA9">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4BE91FE5">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生活污水</w:t>
                  </w:r>
                </w:p>
              </w:tc>
              <w:tc>
                <w:tcPr>
                  <w:tcW w:w="1165" w:type="pct"/>
                  <w:noWrap w:val="0"/>
                  <w:vAlign w:val="center"/>
                </w:tcPr>
                <w:p w14:paraId="74B06493">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施工期施工人员产生</w:t>
                  </w:r>
                </w:p>
              </w:tc>
              <w:tc>
                <w:tcPr>
                  <w:tcW w:w="888" w:type="pct"/>
                  <w:noWrap w:val="0"/>
                  <w:vAlign w:val="center"/>
                </w:tcPr>
                <w:p w14:paraId="4D6360B5">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COD、BOD</w:t>
                  </w:r>
                  <w:r>
                    <w:rPr>
                      <w:rFonts w:hint="eastAsia" w:ascii="Times New Roman" w:hAnsi="Times New Roman" w:eastAsia="宋体" w:cs="Times New Roman"/>
                      <w:bCs/>
                      <w:color w:val="auto"/>
                      <w:spacing w:val="0"/>
                      <w:sz w:val="21"/>
                      <w:szCs w:val="21"/>
                      <w:highlight w:val="none"/>
                      <w:vertAlign w:val="subscript"/>
                      <w:lang w:val="en-US" w:eastAsia="zh-CN"/>
                    </w:rPr>
                    <w:t>5</w:t>
                  </w:r>
                  <w:r>
                    <w:rPr>
                      <w:rFonts w:hint="eastAsia" w:ascii="Times New Roman" w:hAnsi="Times New Roman" w:eastAsia="宋体" w:cs="Times New Roman"/>
                      <w:bCs/>
                      <w:color w:val="auto"/>
                      <w:spacing w:val="0"/>
                      <w:sz w:val="21"/>
                      <w:szCs w:val="21"/>
                      <w:highlight w:val="none"/>
                      <w:vertAlign w:val="baseline"/>
                      <w:lang w:val="en-US" w:eastAsia="zh-CN"/>
                    </w:rPr>
                    <w:t>、氨氮等</w:t>
                  </w:r>
                </w:p>
              </w:tc>
              <w:tc>
                <w:tcPr>
                  <w:tcW w:w="1399" w:type="pct"/>
                  <w:noWrap w:val="0"/>
                  <w:vAlign w:val="center"/>
                </w:tcPr>
                <w:p w14:paraId="4D3BD135">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bCs/>
                      <w:color w:val="auto"/>
                      <w:spacing w:val="0"/>
                      <w:sz w:val="21"/>
                      <w:szCs w:val="21"/>
                      <w:highlight w:val="none"/>
                      <w:vertAlign w:val="baseline"/>
                      <w:lang w:val="en-US" w:eastAsia="zh-CN"/>
                    </w:rPr>
                    <w:t>依托</w:t>
                  </w:r>
                  <w:r>
                    <w:rPr>
                      <w:rFonts w:hint="eastAsia" w:cs="Times New Roman"/>
                      <w:bCs/>
                      <w:color w:val="auto"/>
                      <w:spacing w:val="0"/>
                      <w:sz w:val="21"/>
                      <w:szCs w:val="21"/>
                      <w:highlight w:val="none"/>
                      <w:vertAlign w:val="baseline"/>
                      <w:lang w:val="en-US" w:eastAsia="zh-CN"/>
                    </w:rPr>
                    <w:t>产业园</w:t>
                  </w:r>
                  <w:r>
                    <w:rPr>
                      <w:rFonts w:hint="eastAsia" w:ascii="Times New Roman" w:hAnsi="Times New Roman" w:eastAsia="宋体" w:cs="Times New Roman"/>
                      <w:bCs/>
                      <w:color w:val="auto"/>
                      <w:spacing w:val="0"/>
                      <w:sz w:val="21"/>
                      <w:szCs w:val="21"/>
                      <w:highlight w:val="none"/>
                      <w:vertAlign w:val="baseline"/>
                      <w:lang w:val="en-US" w:eastAsia="zh-CN"/>
                    </w:rPr>
                    <w:t>现</w:t>
                  </w:r>
                  <w:r>
                    <w:rPr>
                      <w:rFonts w:hint="default" w:ascii="Times New Roman" w:hAnsi="Times New Roman" w:eastAsia="宋体" w:cs="Times New Roman"/>
                      <w:bCs/>
                      <w:color w:val="auto"/>
                      <w:spacing w:val="0"/>
                      <w:sz w:val="21"/>
                      <w:szCs w:val="21"/>
                      <w:highlight w:val="none"/>
                      <w:vertAlign w:val="baseline"/>
                      <w:lang w:val="en-US" w:eastAsia="zh-CN"/>
                    </w:rPr>
                    <w:t>有生活污水处理设施</w:t>
                  </w:r>
                </w:p>
              </w:tc>
            </w:tr>
            <w:tr w14:paraId="39A11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2D1A9840">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noWrap w:val="0"/>
                  <w:vAlign w:val="center"/>
                </w:tcPr>
                <w:p w14:paraId="59C2E3D6">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噪声</w:t>
                  </w:r>
                </w:p>
              </w:tc>
              <w:tc>
                <w:tcPr>
                  <w:tcW w:w="769" w:type="pct"/>
                  <w:noWrap w:val="0"/>
                  <w:vAlign w:val="center"/>
                </w:tcPr>
                <w:p w14:paraId="17775258">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施工机械</w:t>
                  </w:r>
                  <w:r>
                    <w:rPr>
                      <w:rFonts w:hint="eastAsia" w:cs="Times New Roman"/>
                      <w:bCs/>
                      <w:color w:val="auto"/>
                      <w:spacing w:val="0"/>
                      <w:sz w:val="21"/>
                      <w:szCs w:val="21"/>
                      <w:highlight w:val="none"/>
                      <w:vertAlign w:val="baseline"/>
                      <w:lang w:val="en-US" w:eastAsia="zh-CN"/>
                    </w:rPr>
                    <w:t>及运输车辆</w:t>
                  </w:r>
                </w:p>
              </w:tc>
              <w:tc>
                <w:tcPr>
                  <w:tcW w:w="1165" w:type="pct"/>
                  <w:vMerge w:val="restart"/>
                  <w:noWrap w:val="0"/>
                  <w:vAlign w:val="center"/>
                </w:tcPr>
                <w:p w14:paraId="052FE3A2">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施工作业过程中</w:t>
                  </w:r>
                </w:p>
              </w:tc>
              <w:tc>
                <w:tcPr>
                  <w:tcW w:w="888" w:type="pct"/>
                  <w:noWrap w:val="0"/>
                  <w:vAlign w:val="center"/>
                </w:tcPr>
                <w:p w14:paraId="23132438">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bCs/>
                      <w:color w:val="auto"/>
                      <w:spacing w:val="0"/>
                      <w:sz w:val="21"/>
                      <w:szCs w:val="21"/>
                      <w:highlight w:val="none"/>
                      <w:vertAlign w:val="baseline"/>
                      <w:lang w:val="en-US" w:eastAsia="zh-CN"/>
                    </w:rPr>
                    <w:t>等效A声级</w:t>
                  </w:r>
                </w:p>
              </w:tc>
              <w:tc>
                <w:tcPr>
                  <w:tcW w:w="1399" w:type="pct"/>
                  <w:noWrap w:val="0"/>
                  <w:vAlign w:val="center"/>
                </w:tcPr>
                <w:p w14:paraId="4C1B6BFE">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控制施工时间、禁止鸣笛等措施</w:t>
                  </w:r>
                </w:p>
              </w:tc>
            </w:tr>
            <w:tr w14:paraId="77794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6519085E">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noWrap w:val="0"/>
                  <w:vAlign w:val="center"/>
                </w:tcPr>
                <w:p w14:paraId="4406AFC2">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bCs/>
                      <w:color w:val="auto"/>
                      <w:spacing w:val="0"/>
                      <w:sz w:val="21"/>
                      <w:szCs w:val="21"/>
                      <w:highlight w:val="none"/>
                      <w:vertAlign w:val="baseline"/>
                      <w:lang w:val="en-US" w:eastAsia="zh-CN"/>
                    </w:rPr>
                    <w:t>废气</w:t>
                  </w:r>
                </w:p>
              </w:tc>
              <w:tc>
                <w:tcPr>
                  <w:tcW w:w="769" w:type="pct"/>
                  <w:noWrap w:val="0"/>
                  <w:vAlign w:val="center"/>
                </w:tcPr>
                <w:p w14:paraId="4296DB01">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扬尘、焊接烟气</w:t>
                  </w:r>
                </w:p>
              </w:tc>
              <w:tc>
                <w:tcPr>
                  <w:tcW w:w="1165" w:type="pct"/>
                  <w:vMerge w:val="continue"/>
                  <w:noWrap w:val="0"/>
                  <w:vAlign w:val="center"/>
                </w:tcPr>
                <w:p w14:paraId="53F04590">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p>
              </w:tc>
              <w:tc>
                <w:tcPr>
                  <w:tcW w:w="888" w:type="pct"/>
                  <w:noWrap w:val="0"/>
                  <w:vAlign w:val="center"/>
                </w:tcPr>
                <w:p w14:paraId="05B1B20D">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扬尘、焊接烟气</w:t>
                  </w:r>
                </w:p>
              </w:tc>
              <w:tc>
                <w:tcPr>
                  <w:tcW w:w="1399" w:type="pct"/>
                  <w:noWrap w:val="0"/>
                  <w:vAlign w:val="center"/>
                </w:tcPr>
                <w:p w14:paraId="0F033960">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bCs/>
                      <w:color w:val="auto"/>
                      <w:spacing w:val="0"/>
                      <w:sz w:val="21"/>
                      <w:szCs w:val="21"/>
                      <w:highlight w:val="none"/>
                      <w:vertAlign w:val="baseline"/>
                      <w:lang w:val="en-US" w:eastAsia="zh-CN"/>
                    </w:rPr>
                    <w:t>大气环境</w:t>
                  </w:r>
                </w:p>
              </w:tc>
            </w:tr>
            <w:tr w14:paraId="0584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62457FF5">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restart"/>
                  <w:noWrap w:val="0"/>
                  <w:vAlign w:val="center"/>
                </w:tcPr>
                <w:p w14:paraId="10868814">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固废</w:t>
                  </w:r>
                </w:p>
              </w:tc>
              <w:tc>
                <w:tcPr>
                  <w:tcW w:w="769" w:type="pct"/>
                  <w:noWrap w:val="0"/>
                  <w:vAlign w:val="center"/>
                </w:tcPr>
                <w:p w14:paraId="5BFAC31D">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建筑垃圾</w:t>
                  </w:r>
                </w:p>
              </w:tc>
              <w:tc>
                <w:tcPr>
                  <w:tcW w:w="1165" w:type="pct"/>
                  <w:vMerge w:val="continue"/>
                  <w:noWrap w:val="0"/>
                  <w:vAlign w:val="center"/>
                </w:tcPr>
                <w:p w14:paraId="658733D1">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p>
              </w:tc>
              <w:tc>
                <w:tcPr>
                  <w:tcW w:w="888" w:type="pct"/>
                  <w:noWrap w:val="0"/>
                  <w:vAlign w:val="center"/>
                </w:tcPr>
                <w:p w14:paraId="214DF325">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混凝土、焊条、纸板、包装纸等</w:t>
                  </w:r>
                </w:p>
              </w:tc>
              <w:tc>
                <w:tcPr>
                  <w:tcW w:w="1399" w:type="pct"/>
                  <w:noWrap w:val="0"/>
                  <w:vAlign w:val="center"/>
                </w:tcPr>
                <w:p w14:paraId="5E58EF47">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 w:val="0"/>
                      <w:bCs w:val="0"/>
                      <w:color w:val="auto"/>
                      <w:spacing w:val="0"/>
                      <w:sz w:val="21"/>
                      <w:szCs w:val="21"/>
                      <w:highlight w:val="none"/>
                      <w:vertAlign w:val="baseline"/>
                      <w:lang w:val="en-US" w:eastAsia="zh-CN"/>
                    </w:rPr>
                    <w:t>施工单位进行处理</w:t>
                  </w:r>
                </w:p>
              </w:tc>
            </w:tr>
            <w:tr w14:paraId="5366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53E0A25F">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7FB7E45F">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63BF0AF4">
                  <w:pPr>
                    <w:spacing w:line="240" w:lineRule="auto"/>
                    <w:jc w:val="center"/>
                    <w:rPr>
                      <w:rFonts w:hint="eastAsia" w:ascii="Times New Roman" w:hAnsi="Times New Roman" w:eastAsia="宋体" w:cs="Times New Roman"/>
                      <w:b w:val="0"/>
                      <w:bCs w:val="0"/>
                      <w:color w:val="auto"/>
                      <w:spacing w:val="0"/>
                      <w:sz w:val="21"/>
                      <w:szCs w:val="21"/>
                      <w:highlight w:val="none"/>
                      <w:vertAlign w:val="baseline"/>
                      <w:lang w:val="en-US" w:eastAsia="zh-CN"/>
                    </w:rPr>
                  </w:pPr>
                  <w:r>
                    <w:rPr>
                      <w:rFonts w:hint="eastAsia" w:ascii="Times New Roman" w:hAnsi="Times New Roman" w:eastAsia="宋体" w:cs="Times New Roman"/>
                      <w:b w:val="0"/>
                      <w:bCs w:val="0"/>
                      <w:color w:val="auto"/>
                      <w:spacing w:val="0"/>
                      <w:sz w:val="21"/>
                      <w:szCs w:val="21"/>
                      <w:highlight w:val="none"/>
                      <w:vertAlign w:val="baseline"/>
                      <w:lang w:val="en-US" w:eastAsia="zh-CN"/>
                    </w:rPr>
                    <w:t>生活垃圾</w:t>
                  </w:r>
                </w:p>
              </w:tc>
              <w:tc>
                <w:tcPr>
                  <w:tcW w:w="1165" w:type="pct"/>
                  <w:noWrap w:val="0"/>
                  <w:vAlign w:val="center"/>
                </w:tcPr>
                <w:p w14:paraId="66D8500C">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施工人员产生</w:t>
                  </w:r>
                </w:p>
              </w:tc>
              <w:tc>
                <w:tcPr>
                  <w:tcW w:w="888" w:type="pct"/>
                  <w:noWrap w:val="0"/>
                  <w:vAlign w:val="center"/>
                </w:tcPr>
                <w:p w14:paraId="3F932070">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 w:val="0"/>
                      <w:bCs w:val="0"/>
                      <w:color w:val="auto"/>
                      <w:spacing w:val="0"/>
                      <w:sz w:val="21"/>
                      <w:szCs w:val="21"/>
                      <w:highlight w:val="none"/>
                      <w:vertAlign w:val="baseline"/>
                      <w:lang w:val="en-US" w:eastAsia="zh-CN"/>
                    </w:rPr>
                    <w:t>生活垃圾</w:t>
                  </w:r>
                </w:p>
              </w:tc>
              <w:tc>
                <w:tcPr>
                  <w:tcW w:w="1399" w:type="pct"/>
                  <w:noWrap w:val="0"/>
                  <w:vAlign w:val="center"/>
                </w:tcPr>
                <w:p w14:paraId="2A272154">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集中收集后由</w:t>
                  </w:r>
                  <w:r>
                    <w:rPr>
                      <w:rFonts w:hint="default" w:ascii="Times New Roman" w:hAnsi="Times New Roman" w:eastAsia="宋体" w:cs="Times New Roman"/>
                      <w:bCs/>
                      <w:color w:val="auto"/>
                      <w:spacing w:val="0"/>
                      <w:sz w:val="21"/>
                      <w:szCs w:val="21"/>
                      <w:highlight w:val="none"/>
                      <w:vertAlign w:val="baseline"/>
                      <w:lang w:val="en-US" w:eastAsia="zh-CN"/>
                    </w:rPr>
                    <w:t>环卫部门定期清运</w:t>
                  </w:r>
                </w:p>
              </w:tc>
            </w:tr>
            <w:tr w14:paraId="1171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86" w:type="pct"/>
                  <w:vMerge w:val="continue"/>
                  <w:noWrap w:val="0"/>
                  <w:vAlign w:val="center"/>
                </w:tcPr>
                <w:p w14:paraId="3F7BB5CA">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3CDDE45E">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5E8320CF">
                  <w:pPr>
                    <w:spacing w:line="240" w:lineRule="auto"/>
                    <w:jc w:val="center"/>
                    <w:rPr>
                      <w:rFonts w:hint="default" w:ascii="Times New Roman" w:hAnsi="Times New Roman" w:eastAsia="宋体" w:cs="Times New Roman"/>
                      <w:b w:val="0"/>
                      <w:bCs w:val="0"/>
                      <w:color w:val="auto"/>
                      <w:spacing w:val="0"/>
                      <w:sz w:val="21"/>
                      <w:szCs w:val="21"/>
                      <w:highlight w:val="none"/>
                      <w:vertAlign w:val="baseline"/>
                      <w:lang w:val="en-US" w:eastAsia="zh-CN"/>
                    </w:rPr>
                  </w:pPr>
                  <w:r>
                    <w:rPr>
                      <w:rFonts w:hint="eastAsia" w:ascii="Times New Roman" w:hAnsi="Times New Roman" w:eastAsia="宋体" w:cs="Times New Roman"/>
                      <w:b w:val="0"/>
                      <w:bCs w:val="0"/>
                      <w:color w:val="auto"/>
                      <w:spacing w:val="0"/>
                      <w:sz w:val="21"/>
                      <w:szCs w:val="21"/>
                      <w:highlight w:val="none"/>
                      <w:vertAlign w:val="baseline"/>
                      <w:lang w:val="en-US" w:eastAsia="zh-CN"/>
                    </w:rPr>
                    <w:t>施工土方</w:t>
                  </w:r>
                </w:p>
              </w:tc>
              <w:tc>
                <w:tcPr>
                  <w:tcW w:w="1165" w:type="pct"/>
                  <w:noWrap w:val="0"/>
                  <w:vAlign w:val="center"/>
                </w:tcPr>
                <w:p w14:paraId="4EDC3C3A">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bCs/>
                      <w:color w:val="auto"/>
                      <w:spacing w:val="0"/>
                      <w:sz w:val="21"/>
                      <w:szCs w:val="21"/>
                      <w:highlight w:val="none"/>
                      <w:vertAlign w:val="baseline"/>
                      <w:lang w:val="en-US" w:eastAsia="zh-CN"/>
                    </w:rPr>
                    <w:t>基础开挖、管道沟槽开挖</w:t>
                  </w:r>
                </w:p>
              </w:tc>
              <w:tc>
                <w:tcPr>
                  <w:tcW w:w="888" w:type="pct"/>
                  <w:noWrap w:val="0"/>
                  <w:vAlign w:val="center"/>
                </w:tcPr>
                <w:p w14:paraId="786B95CF">
                  <w:pPr>
                    <w:spacing w:line="240" w:lineRule="auto"/>
                    <w:jc w:val="center"/>
                    <w:rPr>
                      <w:rFonts w:hint="default" w:ascii="Times New Roman" w:hAnsi="Times New Roman" w:eastAsia="宋体" w:cs="Times New Roman"/>
                      <w:b w:val="0"/>
                      <w:bCs w:val="0"/>
                      <w:color w:val="auto"/>
                      <w:spacing w:val="0"/>
                      <w:sz w:val="21"/>
                      <w:szCs w:val="21"/>
                      <w:highlight w:val="none"/>
                      <w:vertAlign w:val="baseline"/>
                      <w:lang w:val="en-US" w:eastAsia="zh-CN"/>
                    </w:rPr>
                  </w:pPr>
                  <w:r>
                    <w:rPr>
                      <w:rFonts w:hint="eastAsia" w:ascii="Times New Roman" w:hAnsi="Times New Roman" w:eastAsia="宋体" w:cs="Times New Roman"/>
                      <w:b w:val="0"/>
                      <w:bCs w:val="0"/>
                      <w:color w:val="auto"/>
                      <w:spacing w:val="0"/>
                      <w:sz w:val="21"/>
                      <w:szCs w:val="21"/>
                      <w:highlight w:val="none"/>
                      <w:vertAlign w:val="baseline"/>
                      <w:lang w:val="en-US" w:eastAsia="zh-CN"/>
                    </w:rPr>
                    <w:t>施工土方</w:t>
                  </w:r>
                </w:p>
              </w:tc>
              <w:tc>
                <w:tcPr>
                  <w:tcW w:w="1399" w:type="pct"/>
                  <w:noWrap w:val="0"/>
                  <w:vAlign w:val="center"/>
                </w:tcPr>
                <w:p w14:paraId="484A5717">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 w:val="0"/>
                      <w:bCs/>
                      <w:color w:val="auto"/>
                      <w:spacing w:val="0"/>
                      <w:sz w:val="21"/>
                      <w:szCs w:val="21"/>
                      <w:highlight w:val="none"/>
                      <w:lang w:val="en-US" w:eastAsia="zh-CN"/>
                    </w:rPr>
                    <w:t>全部</w:t>
                  </w:r>
                  <w:r>
                    <w:rPr>
                      <w:rFonts w:hint="default" w:ascii="Times New Roman" w:hAnsi="Times New Roman" w:eastAsia="宋体" w:cs="Times New Roman"/>
                      <w:b w:val="0"/>
                      <w:bCs/>
                      <w:color w:val="auto"/>
                      <w:spacing w:val="0"/>
                      <w:sz w:val="21"/>
                      <w:szCs w:val="21"/>
                      <w:highlight w:val="none"/>
                      <w:lang w:val="en-US" w:eastAsia="zh-CN"/>
                    </w:rPr>
                    <w:t>回填</w:t>
                  </w:r>
                </w:p>
              </w:tc>
            </w:tr>
            <w:tr w14:paraId="60CE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386" w:type="pct"/>
                  <w:vMerge w:val="continue"/>
                  <w:noWrap w:val="0"/>
                  <w:vAlign w:val="center"/>
                </w:tcPr>
                <w:p w14:paraId="07F08F3B">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03CE5478">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723BDB92">
                  <w:pPr>
                    <w:spacing w:line="240" w:lineRule="auto"/>
                    <w:jc w:val="center"/>
                    <w:rPr>
                      <w:rFonts w:hint="default" w:ascii="Times New Roman" w:hAnsi="Times New Roman" w:eastAsia="宋体" w:cs="Times New Roman"/>
                      <w:b w:val="0"/>
                      <w:bCs w:val="0"/>
                      <w:color w:val="auto"/>
                      <w:spacing w:val="0"/>
                      <w:sz w:val="21"/>
                      <w:szCs w:val="21"/>
                      <w:highlight w:val="none"/>
                      <w:vertAlign w:val="baseline"/>
                      <w:lang w:val="en-US" w:eastAsia="zh-CN"/>
                    </w:rPr>
                  </w:pPr>
                  <w:r>
                    <w:rPr>
                      <w:rFonts w:hint="eastAsia" w:ascii="Times New Roman" w:hAnsi="Times New Roman" w:eastAsia="宋体" w:cs="Times New Roman"/>
                      <w:b w:val="0"/>
                      <w:bCs w:val="0"/>
                      <w:color w:val="auto"/>
                      <w:spacing w:val="0"/>
                      <w:sz w:val="21"/>
                      <w:szCs w:val="21"/>
                      <w:highlight w:val="none"/>
                      <w:vertAlign w:val="baseline"/>
                      <w:lang w:val="en-US" w:eastAsia="zh-CN"/>
                    </w:rPr>
                    <w:t>危险废物</w:t>
                  </w:r>
                </w:p>
              </w:tc>
              <w:tc>
                <w:tcPr>
                  <w:tcW w:w="1165" w:type="pct"/>
                  <w:noWrap w:val="0"/>
                  <w:vAlign w:val="center"/>
                </w:tcPr>
                <w:p w14:paraId="34BD9E57">
                  <w:pPr>
                    <w:spacing w:line="240" w:lineRule="auto"/>
                    <w:jc w:val="center"/>
                    <w:rPr>
                      <w:rFonts w:hint="eastAsia"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设备维护、防腐施工、管道涂装</w:t>
                  </w:r>
                </w:p>
              </w:tc>
              <w:tc>
                <w:tcPr>
                  <w:tcW w:w="888" w:type="pct"/>
                  <w:noWrap w:val="0"/>
                  <w:vAlign w:val="center"/>
                </w:tcPr>
                <w:p w14:paraId="289D154D">
                  <w:pPr>
                    <w:spacing w:line="240" w:lineRule="auto"/>
                    <w:jc w:val="center"/>
                    <w:rPr>
                      <w:rFonts w:hint="eastAsia" w:ascii="Times New Roman" w:hAnsi="Times New Roman" w:eastAsia="宋体" w:cs="Times New Roman"/>
                      <w:b w:val="0"/>
                      <w:bCs w:val="0"/>
                      <w:color w:val="auto"/>
                      <w:spacing w:val="0"/>
                      <w:sz w:val="21"/>
                      <w:szCs w:val="21"/>
                      <w:highlight w:val="none"/>
                      <w:vertAlign w:val="baseline"/>
                      <w:lang w:val="en-US" w:eastAsia="zh-CN"/>
                    </w:rPr>
                  </w:pPr>
                  <w:r>
                    <w:rPr>
                      <w:rFonts w:hint="eastAsia" w:ascii="Times New Roman" w:hAnsi="Times New Roman" w:eastAsia="宋体" w:cs="Times New Roman"/>
                      <w:b w:val="0"/>
                      <w:bCs w:val="0"/>
                      <w:color w:val="auto"/>
                      <w:spacing w:val="0"/>
                      <w:sz w:val="21"/>
                      <w:szCs w:val="21"/>
                      <w:highlight w:val="none"/>
                      <w:vertAlign w:val="baseline"/>
                      <w:lang w:val="en-US" w:eastAsia="zh-CN"/>
                    </w:rPr>
                    <w:t>废油漆、废涂料、废胶粘剂、废密封胶、废稀释剂、废机油、废液压油、含油废抹布/手套、化学品废弃包装容器</w:t>
                  </w:r>
                </w:p>
              </w:tc>
              <w:tc>
                <w:tcPr>
                  <w:tcW w:w="1399" w:type="pct"/>
                  <w:noWrap w:val="0"/>
                  <w:vAlign w:val="center"/>
                </w:tcPr>
                <w:p w14:paraId="4575B7FF">
                  <w:pPr>
                    <w:spacing w:line="240" w:lineRule="auto"/>
                    <w:jc w:val="center"/>
                    <w:rPr>
                      <w:rFonts w:hint="eastAsia" w:ascii="Times New Roman" w:hAnsi="Times New Roman" w:eastAsia="宋体" w:cs="Times New Roman"/>
                      <w:b w:val="0"/>
                      <w:bCs/>
                      <w:color w:val="auto"/>
                      <w:spacing w:val="0"/>
                      <w:sz w:val="21"/>
                      <w:szCs w:val="21"/>
                      <w:highlight w:val="none"/>
                      <w:lang w:val="en-US" w:eastAsia="zh-CN"/>
                    </w:rPr>
                  </w:pPr>
                  <w:r>
                    <w:rPr>
                      <w:rFonts w:hint="eastAsia" w:ascii="Times New Roman" w:hAnsi="Times New Roman" w:eastAsia="宋体" w:cs="Times New Roman"/>
                      <w:b w:val="0"/>
                      <w:bCs/>
                      <w:color w:val="auto"/>
                      <w:spacing w:val="0"/>
                      <w:sz w:val="21"/>
                      <w:szCs w:val="21"/>
                      <w:highlight w:val="none"/>
                      <w:lang w:val="en-US" w:eastAsia="zh-CN"/>
                    </w:rPr>
                    <w:t>委托有相应危险废物经营许可证的单位进行处置</w:t>
                  </w:r>
                </w:p>
              </w:tc>
            </w:tr>
            <w:tr w14:paraId="28FB5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restart"/>
                  <w:noWrap w:val="0"/>
                  <w:vAlign w:val="center"/>
                </w:tcPr>
                <w:p w14:paraId="73E695F0">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运营期</w:t>
                  </w:r>
                </w:p>
              </w:tc>
              <w:tc>
                <w:tcPr>
                  <w:tcW w:w="390" w:type="pct"/>
                  <w:vMerge w:val="restart"/>
                  <w:noWrap w:val="0"/>
                  <w:vAlign w:val="center"/>
                </w:tcPr>
                <w:p w14:paraId="1623ED21">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cs="Times New Roman"/>
                      <w:bCs/>
                      <w:color w:val="auto"/>
                      <w:spacing w:val="0"/>
                      <w:sz w:val="21"/>
                      <w:szCs w:val="21"/>
                      <w:highlight w:val="none"/>
                      <w:vertAlign w:val="baseline"/>
                      <w:lang w:val="en-US" w:eastAsia="zh-CN"/>
                    </w:rPr>
                    <w:t>废气</w:t>
                  </w:r>
                </w:p>
              </w:tc>
              <w:tc>
                <w:tcPr>
                  <w:tcW w:w="769" w:type="pct"/>
                  <w:noWrap w:val="0"/>
                  <w:vAlign w:val="center"/>
                </w:tcPr>
                <w:p w14:paraId="464E1F72">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G1</w:t>
                  </w:r>
                </w:p>
              </w:tc>
              <w:tc>
                <w:tcPr>
                  <w:tcW w:w="1165" w:type="pct"/>
                  <w:noWrap w:val="0"/>
                  <w:vAlign w:val="center"/>
                </w:tcPr>
                <w:p w14:paraId="2C336D54">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预处理区</w:t>
                  </w:r>
                </w:p>
              </w:tc>
              <w:tc>
                <w:tcPr>
                  <w:tcW w:w="888" w:type="pct"/>
                  <w:noWrap w:val="0"/>
                  <w:vAlign w:val="center"/>
                </w:tcPr>
                <w:p w14:paraId="733FCB74">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N</w:t>
                  </w:r>
                  <w:r>
                    <w:rPr>
                      <w:rFonts w:hint="default" w:ascii="Times New Roman" w:hAnsi="Times New Roman" w:eastAsia="宋体" w:cs="Times New Roman"/>
                      <w:color w:val="000000"/>
                      <w:spacing w:val="0"/>
                      <w:sz w:val="21"/>
                      <w:szCs w:val="21"/>
                      <w:highlight w:val="none"/>
                      <w:lang w:val="en-US" w:eastAsia="zh-CN"/>
                    </w:rPr>
                    <w:t>H</w:t>
                  </w:r>
                  <w:r>
                    <w:rPr>
                      <w:rFonts w:hint="eastAsia" w:ascii="Times New Roman" w:hAnsi="Times New Roman" w:cs="Times New Roman"/>
                      <w:color w:val="000000"/>
                      <w:spacing w:val="0"/>
                      <w:sz w:val="21"/>
                      <w:szCs w:val="21"/>
                      <w:highlight w:val="none"/>
                      <w:vertAlign w:val="subscript"/>
                      <w:lang w:val="en-US" w:eastAsia="zh-CN"/>
                    </w:rPr>
                    <w:t>3</w:t>
                  </w:r>
                  <w:r>
                    <w:rPr>
                      <w:rFonts w:hint="default" w:ascii="Times New Roman" w:hAnsi="Times New Roman" w:eastAsia="宋体" w:cs="Times New Roman"/>
                      <w:color w:val="000000"/>
                      <w:spacing w:val="0"/>
                      <w:sz w:val="21"/>
                      <w:szCs w:val="21"/>
                      <w:highlight w:val="none"/>
                      <w:lang w:val="en-US" w:eastAsia="zh-CN"/>
                    </w:rPr>
                    <w:t>、H</w:t>
                  </w:r>
                  <w:r>
                    <w:rPr>
                      <w:rFonts w:hint="eastAsia" w:ascii="Times New Roman" w:hAnsi="Times New Roman" w:cs="Times New Roman"/>
                      <w:color w:val="000000"/>
                      <w:spacing w:val="0"/>
                      <w:sz w:val="21"/>
                      <w:szCs w:val="21"/>
                      <w:highlight w:val="none"/>
                      <w:vertAlign w:val="subscript"/>
                      <w:lang w:val="en-US" w:eastAsia="zh-CN"/>
                    </w:rPr>
                    <w:t>2</w:t>
                  </w:r>
                  <w:r>
                    <w:rPr>
                      <w:rFonts w:hint="eastAsia" w:ascii="Times New Roman" w:hAnsi="Times New Roman" w:eastAsia="宋体" w:cs="Times New Roman"/>
                      <w:color w:val="000000"/>
                      <w:spacing w:val="0"/>
                      <w:sz w:val="21"/>
                      <w:szCs w:val="21"/>
                      <w:highlight w:val="none"/>
                      <w:lang w:val="en-US" w:eastAsia="zh-CN"/>
                    </w:rPr>
                    <w:t>S</w:t>
                  </w:r>
                  <w:r>
                    <w:rPr>
                      <w:rFonts w:hint="default" w:ascii="Times New Roman" w:hAnsi="Times New Roman" w:eastAsia="宋体" w:cs="Times New Roman"/>
                      <w:color w:val="000000"/>
                      <w:spacing w:val="0"/>
                      <w:sz w:val="21"/>
                      <w:szCs w:val="21"/>
                      <w:highlight w:val="none"/>
                      <w:lang w:val="en-US" w:eastAsia="zh-CN"/>
                    </w:rPr>
                    <w:t>、臭气浓度</w:t>
                  </w:r>
                </w:p>
              </w:tc>
              <w:tc>
                <w:tcPr>
                  <w:tcW w:w="1399" w:type="pct"/>
                  <w:noWrap w:val="0"/>
                  <w:vAlign w:val="center"/>
                </w:tcPr>
                <w:p w14:paraId="670376FB">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密闭收集后经离子除臭装置处理，通过15m高排气筒（DA001）排放</w:t>
                  </w:r>
                </w:p>
              </w:tc>
            </w:tr>
            <w:tr w14:paraId="7422F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327E972F">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36E6252E">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011CEC68">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G2</w:t>
                  </w:r>
                </w:p>
              </w:tc>
              <w:tc>
                <w:tcPr>
                  <w:tcW w:w="1165" w:type="pct"/>
                  <w:noWrap w:val="0"/>
                  <w:vAlign w:val="center"/>
                </w:tcPr>
                <w:p w14:paraId="035B18FD">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生化处理区</w:t>
                  </w:r>
                </w:p>
              </w:tc>
              <w:tc>
                <w:tcPr>
                  <w:tcW w:w="888" w:type="pct"/>
                  <w:noWrap w:val="0"/>
                  <w:vAlign w:val="center"/>
                </w:tcPr>
                <w:p w14:paraId="42BA6230">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N</w:t>
                  </w:r>
                  <w:r>
                    <w:rPr>
                      <w:rFonts w:hint="default" w:ascii="Times New Roman" w:hAnsi="Times New Roman" w:eastAsia="宋体" w:cs="Times New Roman"/>
                      <w:color w:val="000000"/>
                      <w:spacing w:val="0"/>
                      <w:sz w:val="21"/>
                      <w:szCs w:val="21"/>
                      <w:highlight w:val="none"/>
                      <w:lang w:val="en-US" w:eastAsia="zh-CN"/>
                    </w:rPr>
                    <w:t>H</w:t>
                  </w:r>
                  <w:r>
                    <w:rPr>
                      <w:rFonts w:hint="eastAsia" w:ascii="Times New Roman" w:hAnsi="Times New Roman" w:cs="Times New Roman"/>
                      <w:color w:val="000000"/>
                      <w:spacing w:val="0"/>
                      <w:sz w:val="21"/>
                      <w:szCs w:val="21"/>
                      <w:highlight w:val="none"/>
                      <w:vertAlign w:val="subscript"/>
                      <w:lang w:val="en-US" w:eastAsia="zh-CN"/>
                    </w:rPr>
                    <w:t>3</w:t>
                  </w:r>
                  <w:r>
                    <w:rPr>
                      <w:rFonts w:hint="default" w:ascii="Times New Roman" w:hAnsi="Times New Roman" w:eastAsia="宋体" w:cs="Times New Roman"/>
                      <w:color w:val="000000"/>
                      <w:spacing w:val="0"/>
                      <w:sz w:val="21"/>
                      <w:szCs w:val="21"/>
                      <w:highlight w:val="none"/>
                      <w:lang w:val="en-US" w:eastAsia="zh-CN"/>
                    </w:rPr>
                    <w:t>、H</w:t>
                  </w:r>
                  <w:r>
                    <w:rPr>
                      <w:rFonts w:hint="eastAsia" w:ascii="Times New Roman" w:hAnsi="Times New Roman" w:cs="Times New Roman"/>
                      <w:color w:val="000000"/>
                      <w:spacing w:val="0"/>
                      <w:sz w:val="21"/>
                      <w:szCs w:val="21"/>
                      <w:highlight w:val="none"/>
                      <w:vertAlign w:val="subscript"/>
                      <w:lang w:val="en-US" w:eastAsia="zh-CN"/>
                    </w:rPr>
                    <w:t>2</w:t>
                  </w:r>
                  <w:r>
                    <w:rPr>
                      <w:rFonts w:hint="eastAsia" w:ascii="Times New Roman" w:hAnsi="Times New Roman" w:eastAsia="宋体" w:cs="Times New Roman"/>
                      <w:color w:val="000000"/>
                      <w:spacing w:val="0"/>
                      <w:sz w:val="21"/>
                      <w:szCs w:val="21"/>
                      <w:highlight w:val="none"/>
                      <w:lang w:val="en-US" w:eastAsia="zh-CN"/>
                    </w:rPr>
                    <w:t>S</w:t>
                  </w:r>
                  <w:r>
                    <w:rPr>
                      <w:rFonts w:hint="default" w:ascii="Times New Roman" w:hAnsi="Times New Roman" w:eastAsia="宋体" w:cs="Times New Roman"/>
                      <w:color w:val="000000"/>
                      <w:spacing w:val="0"/>
                      <w:sz w:val="21"/>
                      <w:szCs w:val="21"/>
                      <w:highlight w:val="none"/>
                      <w:lang w:val="en-US" w:eastAsia="zh-CN"/>
                    </w:rPr>
                    <w:t>、臭气浓度</w:t>
                  </w:r>
                </w:p>
              </w:tc>
              <w:tc>
                <w:tcPr>
                  <w:tcW w:w="1399" w:type="pct"/>
                  <w:noWrap w:val="0"/>
                  <w:vAlign w:val="center"/>
                </w:tcPr>
                <w:p w14:paraId="7724FDCA">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密闭收集后经生物除臭装置处理，通过15m高排气筒（DA002）排放</w:t>
                  </w:r>
                </w:p>
              </w:tc>
            </w:tr>
            <w:tr w14:paraId="0ABD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2C4984FF">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52DE2CC6">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6982840C">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G3</w:t>
                  </w:r>
                </w:p>
              </w:tc>
              <w:tc>
                <w:tcPr>
                  <w:tcW w:w="1165" w:type="pct"/>
                  <w:noWrap w:val="0"/>
                  <w:vAlign w:val="center"/>
                </w:tcPr>
                <w:p w14:paraId="12CDF57A">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污泥处理区</w:t>
                  </w:r>
                </w:p>
              </w:tc>
              <w:tc>
                <w:tcPr>
                  <w:tcW w:w="888" w:type="pct"/>
                  <w:noWrap w:val="0"/>
                  <w:vAlign w:val="center"/>
                </w:tcPr>
                <w:p w14:paraId="4C984C42">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N</w:t>
                  </w:r>
                  <w:r>
                    <w:rPr>
                      <w:rFonts w:hint="default" w:ascii="Times New Roman" w:hAnsi="Times New Roman" w:eastAsia="宋体" w:cs="Times New Roman"/>
                      <w:color w:val="000000"/>
                      <w:spacing w:val="0"/>
                      <w:sz w:val="21"/>
                      <w:szCs w:val="21"/>
                      <w:highlight w:val="none"/>
                      <w:lang w:val="en-US" w:eastAsia="zh-CN"/>
                    </w:rPr>
                    <w:t>H</w:t>
                  </w:r>
                  <w:r>
                    <w:rPr>
                      <w:rFonts w:hint="eastAsia" w:ascii="Times New Roman" w:hAnsi="Times New Roman" w:cs="Times New Roman"/>
                      <w:color w:val="000000"/>
                      <w:spacing w:val="0"/>
                      <w:sz w:val="21"/>
                      <w:szCs w:val="21"/>
                      <w:highlight w:val="none"/>
                      <w:vertAlign w:val="subscript"/>
                      <w:lang w:val="en-US" w:eastAsia="zh-CN"/>
                    </w:rPr>
                    <w:t>3</w:t>
                  </w:r>
                  <w:r>
                    <w:rPr>
                      <w:rFonts w:hint="default" w:ascii="Times New Roman" w:hAnsi="Times New Roman" w:eastAsia="宋体" w:cs="Times New Roman"/>
                      <w:color w:val="000000"/>
                      <w:spacing w:val="0"/>
                      <w:sz w:val="21"/>
                      <w:szCs w:val="21"/>
                      <w:highlight w:val="none"/>
                      <w:lang w:val="en-US" w:eastAsia="zh-CN"/>
                    </w:rPr>
                    <w:t>、H</w:t>
                  </w:r>
                  <w:r>
                    <w:rPr>
                      <w:rFonts w:hint="eastAsia" w:ascii="Times New Roman" w:hAnsi="Times New Roman" w:cs="Times New Roman"/>
                      <w:color w:val="000000"/>
                      <w:spacing w:val="0"/>
                      <w:sz w:val="21"/>
                      <w:szCs w:val="21"/>
                      <w:highlight w:val="none"/>
                      <w:vertAlign w:val="subscript"/>
                      <w:lang w:val="en-US" w:eastAsia="zh-CN"/>
                    </w:rPr>
                    <w:t>2</w:t>
                  </w:r>
                  <w:r>
                    <w:rPr>
                      <w:rFonts w:hint="eastAsia" w:ascii="Times New Roman" w:hAnsi="Times New Roman" w:eastAsia="宋体" w:cs="Times New Roman"/>
                      <w:color w:val="000000"/>
                      <w:spacing w:val="0"/>
                      <w:sz w:val="21"/>
                      <w:szCs w:val="21"/>
                      <w:highlight w:val="none"/>
                      <w:lang w:val="en-US" w:eastAsia="zh-CN"/>
                    </w:rPr>
                    <w:t>S</w:t>
                  </w:r>
                  <w:r>
                    <w:rPr>
                      <w:rFonts w:hint="default" w:ascii="Times New Roman" w:hAnsi="Times New Roman" w:eastAsia="宋体" w:cs="Times New Roman"/>
                      <w:color w:val="000000"/>
                      <w:spacing w:val="0"/>
                      <w:sz w:val="21"/>
                      <w:szCs w:val="21"/>
                      <w:highlight w:val="none"/>
                      <w:lang w:val="en-US" w:eastAsia="zh-CN"/>
                    </w:rPr>
                    <w:t>、臭气浓度</w:t>
                  </w:r>
                </w:p>
              </w:tc>
              <w:tc>
                <w:tcPr>
                  <w:tcW w:w="1399" w:type="pct"/>
                  <w:noWrap w:val="0"/>
                  <w:vAlign w:val="center"/>
                </w:tcPr>
                <w:p w14:paraId="32655943">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密闭收集后经生物除臭装置处理，通过15m高排气筒（DA002）排放</w:t>
                  </w:r>
                </w:p>
              </w:tc>
            </w:tr>
            <w:tr w14:paraId="59F4E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450CBBCA">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7331F8FB">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6A96AD6A">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G4</w:t>
                  </w:r>
                </w:p>
              </w:tc>
              <w:tc>
                <w:tcPr>
                  <w:tcW w:w="1165" w:type="pct"/>
                  <w:noWrap w:val="0"/>
                  <w:vAlign w:val="center"/>
                </w:tcPr>
                <w:p w14:paraId="0435A08C">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无组织逸散</w:t>
                  </w:r>
                </w:p>
              </w:tc>
              <w:tc>
                <w:tcPr>
                  <w:tcW w:w="888" w:type="pct"/>
                  <w:noWrap w:val="0"/>
                  <w:vAlign w:val="center"/>
                </w:tcPr>
                <w:p w14:paraId="411C31F1">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N</w:t>
                  </w:r>
                  <w:r>
                    <w:rPr>
                      <w:rFonts w:hint="default" w:ascii="Times New Roman" w:hAnsi="Times New Roman" w:eastAsia="宋体" w:cs="Times New Roman"/>
                      <w:color w:val="000000"/>
                      <w:spacing w:val="0"/>
                      <w:sz w:val="21"/>
                      <w:szCs w:val="21"/>
                      <w:highlight w:val="none"/>
                      <w:lang w:val="en-US" w:eastAsia="zh-CN"/>
                    </w:rPr>
                    <w:t>H</w:t>
                  </w:r>
                  <w:r>
                    <w:rPr>
                      <w:rFonts w:hint="eastAsia" w:ascii="Times New Roman" w:hAnsi="Times New Roman" w:cs="Times New Roman"/>
                      <w:color w:val="000000"/>
                      <w:spacing w:val="0"/>
                      <w:sz w:val="21"/>
                      <w:szCs w:val="21"/>
                      <w:highlight w:val="none"/>
                      <w:vertAlign w:val="subscript"/>
                      <w:lang w:val="en-US" w:eastAsia="zh-CN"/>
                    </w:rPr>
                    <w:t>3</w:t>
                  </w:r>
                  <w:r>
                    <w:rPr>
                      <w:rFonts w:hint="default" w:ascii="Times New Roman" w:hAnsi="Times New Roman" w:eastAsia="宋体" w:cs="Times New Roman"/>
                      <w:color w:val="000000"/>
                      <w:spacing w:val="0"/>
                      <w:sz w:val="21"/>
                      <w:szCs w:val="21"/>
                      <w:highlight w:val="none"/>
                      <w:lang w:val="en-US" w:eastAsia="zh-CN"/>
                    </w:rPr>
                    <w:t>、H</w:t>
                  </w:r>
                  <w:r>
                    <w:rPr>
                      <w:rFonts w:hint="eastAsia" w:ascii="Times New Roman" w:hAnsi="Times New Roman" w:cs="Times New Roman"/>
                      <w:color w:val="000000"/>
                      <w:spacing w:val="0"/>
                      <w:sz w:val="21"/>
                      <w:szCs w:val="21"/>
                      <w:highlight w:val="none"/>
                      <w:vertAlign w:val="subscript"/>
                      <w:lang w:val="en-US" w:eastAsia="zh-CN"/>
                    </w:rPr>
                    <w:t>2</w:t>
                  </w:r>
                  <w:r>
                    <w:rPr>
                      <w:rFonts w:hint="eastAsia" w:ascii="Times New Roman" w:hAnsi="Times New Roman" w:eastAsia="宋体" w:cs="Times New Roman"/>
                      <w:color w:val="000000"/>
                      <w:spacing w:val="0"/>
                      <w:sz w:val="21"/>
                      <w:szCs w:val="21"/>
                      <w:highlight w:val="none"/>
                      <w:lang w:val="en-US" w:eastAsia="zh-CN"/>
                    </w:rPr>
                    <w:t>S</w:t>
                  </w:r>
                  <w:r>
                    <w:rPr>
                      <w:rFonts w:hint="default" w:ascii="Times New Roman" w:hAnsi="Times New Roman" w:eastAsia="宋体" w:cs="Times New Roman"/>
                      <w:color w:val="000000"/>
                      <w:spacing w:val="0"/>
                      <w:sz w:val="21"/>
                      <w:szCs w:val="21"/>
                      <w:highlight w:val="none"/>
                      <w:lang w:val="en-US" w:eastAsia="zh-CN"/>
                    </w:rPr>
                    <w:t>、臭气浓度</w:t>
                  </w:r>
                </w:p>
              </w:tc>
              <w:tc>
                <w:tcPr>
                  <w:tcW w:w="1399" w:type="pct"/>
                  <w:noWrap w:val="0"/>
                  <w:vAlign w:val="center"/>
                </w:tcPr>
                <w:p w14:paraId="4CF8DE05">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加强密闭管理、喷洒除臭剂</w:t>
                  </w:r>
                </w:p>
              </w:tc>
            </w:tr>
            <w:tr w14:paraId="76484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6F453C02">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191430E7">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41FB8D58">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G5</w:t>
                  </w:r>
                </w:p>
              </w:tc>
              <w:tc>
                <w:tcPr>
                  <w:tcW w:w="1165" w:type="pct"/>
                  <w:noWrap w:val="0"/>
                  <w:vAlign w:val="center"/>
                </w:tcPr>
                <w:p w14:paraId="3C646C2A">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加药间</w:t>
                  </w:r>
                </w:p>
              </w:tc>
              <w:tc>
                <w:tcPr>
                  <w:tcW w:w="888" w:type="pct"/>
                  <w:noWrap w:val="0"/>
                  <w:vAlign w:val="center"/>
                </w:tcPr>
                <w:p w14:paraId="1964A69A">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PAC/PAM粉尘</w:t>
                  </w:r>
                </w:p>
              </w:tc>
              <w:tc>
                <w:tcPr>
                  <w:tcW w:w="1399" w:type="pct"/>
                  <w:noWrap w:val="0"/>
                  <w:vAlign w:val="center"/>
                </w:tcPr>
                <w:p w14:paraId="0B966595">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设备密闭、车间通风</w:t>
                  </w:r>
                </w:p>
              </w:tc>
            </w:tr>
            <w:tr w14:paraId="57A88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7B8EDE05">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7939414B">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42BBFB22">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G6</w:t>
                  </w:r>
                </w:p>
              </w:tc>
              <w:tc>
                <w:tcPr>
                  <w:tcW w:w="1165" w:type="pct"/>
                  <w:noWrap w:val="0"/>
                  <w:vAlign w:val="center"/>
                </w:tcPr>
                <w:p w14:paraId="0BF0D7A4">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消毒间</w:t>
                  </w:r>
                </w:p>
              </w:tc>
              <w:tc>
                <w:tcPr>
                  <w:tcW w:w="888" w:type="pct"/>
                  <w:noWrap w:val="0"/>
                  <w:vAlign w:val="center"/>
                </w:tcPr>
                <w:p w14:paraId="1DD96174">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Cl</w:t>
                  </w:r>
                  <w:r>
                    <w:rPr>
                      <w:rFonts w:hint="eastAsia" w:ascii="Times New Roman" w:hAnsi="Times New Roman" w:cs="Times New Roman"/>
                      <w:color w:val="000000"/>
                      <w:spacing w:val="0"/>
                      <w:sz w:val="21"/>
                      <w:szCs w:val="21"/>
                      <w:highlight w:val="none"/>
                      <w:vertAlign w:val="subscript"/>
                      <w:lang w:val="en-US" w:eastAsia="zh-CN"/>
                    </w:rPr>
                    <w:t>2</w:t>
                  </w:r>
                  <w:r>
                    <w:rPr>
                      <w:rFonts w:hint="default" w:ascii="Times New Roman" w:hAnsi="Times New Roman" w:eastAsia="宋体" w:cs="Times New Roman"/>
                      <w:color w:val="000000"/>
                      <w:spacing w:val="0"/>
                      <w:sz w:val="21"/>
                      <w:szCs w:val="21"/>
                      <w:highlight w:val="none"/>
                      <w:lang w:val="en-US" w:eastAsia="zh-CN"/>
                    </w:rPr>
                    <w:t>（微量）</w:t>
                  </w:r>
                </w:p>
              </w:tc>
              <w:tc>
                <w:tcPr>
                  <w:tcW w:w="1399" w:type="pct"/>
                  <w:noWrap w:val="0"/>
                  <w:vAlign w:val="center"/>
                </w:tcPr>
                <w:p w14:paraId="6C39813B">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储罐密封、泄漏报警、碱液吸收</w:t>
                  </w:r>
                </w:p>
              </w:tc>
            </w:tr>
            <w:tr w14:paraId="333F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386" w:type="pct"/>
                  <w:vMerge w:val="continue"/>
                  <w:noWrap w:val="0"/>
                  <w:vAlign w:val="center"/>
                </w:tcPr>
                <w:p w14:paraId="14ACDC48">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restart"/>
                  <w:noWrap w:val="0"/>
                  <w:vAlign w:val="center"/>
                </w:tcPr>
                <w:p w14:paraId="0B6C9169">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废水</w:t>
                  </w:r>
                </w:p>
              </w:tc>
              <w:tc>
                <w:tcPr>
                  <w:tcW w:w="769" w:type="pct"/>
                  <w:vMerge w:val="restart"/>
                  <w:noWrap w:val="0"/>
                  <w:vAlign w:val="center"/>
                </w:tcPr>
                <w:p w14:paraId="2B75FE2C">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W</w:t>
                  </w:r>
                </w:p>
              </w:tc>
              <w:tc>
                <w:tcPr>
                  <w:tcW w:w="1165" w:type="pct"/>
                  <w:noWrap w:val="0"/>
                  <w:vAlign w:val="center"/>
                </w:tcPr>
                <w:p w14:paraId="18B628E0">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spacing w:val="0"/>
                      <w:sz w:val="21"/>
                      <w:szCs w:val="21"/>
                      <w:highlight w:val="none"/>
                      <w:lang w:val="en-US" w:eastAsia="zh-CN"/>
                    </w:rPr>
                  </w:pPr>
                  <w:r>
                    <w:rPr>
                      <w:rFonts w:hint="eastAsia" w:ascii="Times New Roman" w:hAnsi="Times New Roman" w:eastAsia="宋体" w:cs="Times New Roman"/>
                      <w:color w:val="000000"/>
                      <w:spacing w:val="0"/>
                      <w:sz w:val="21"/>
                      <w:szCs w:val="21"/>
                      <w:highlight w:val="none"/>
                      <w:lang w:val="en-US" w:eastAsia="zh-CN"/>
                    </w:rPr>
                    <w:t>员工生活污水</w:t>
                  </w:r>
                </w:p>
              </w:tc>
              <w:tc>
                <w:tcPr>
                  <w:tcW w:w="888" w:type="pct"/>
                  <w:vMerge w:val="restart"/>
                  <w:noWrap w:val="0"/>
                  <w:vAlign w:val="center"/>
                </w:tcPr>
                <w:p w14:paraId="65E94F0D">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CODcr、BOD</w:t>
                  </w:r>
                  <w:r>
                    <w:rPr>
                      <w:rFonts w:hint="eastAsia" w:ascii="Times New Roman" w:hAnsi="Times New Roman" w:cs="Times New Roman"/>
                      <w:color w:val="000000"/>
                      <w:spacing w:val="0"/>
                      <w:sz w:val="21"/>
                      <w:szCs w:val="21"/>
                      <w:highlight w:val="none"/>
                      <w:vertAlign w:val="subscript"/>
                      <w:lang w:val="en-US" w:eastAsia="zh-CN"/>
                    </w:rPr>
                    <w:t>3</w:t>
                  </w:r>
                  <w:r>
                    <w:rPr>
                      <w:rFonts w:hint="default" w:ascii="Times New Roman" w:hAnsi="Times New Roman" w:eastAsia="宋体" w:cs="Times New Roman"/>
                      <w:color w:val="000000"/>
                      <w:spacing w:val="0"/>
                      <w:sz w:val="21"/>
                      <w:szCs w:val="21"/>
                      <w:highlight w:val="none"/>
                      <w:lang w:val="en-US" w:eastAsia="zh-CN"/>
                    </w:rPr>
                    <w:t>、SS、NH</w:t>
                  </w:r>
                  <w:r>
                    <w:rPr>
                      <w:rFonts w:hint="eastAsia" w:ascii="Times New Roman" w:hAnsi="Times New Roman" w:cs="Times New Roman"/>
                      <w:color w:val="000000"/>
                      <w:spacing w:val="0"/>
                      <w:sz w:val="21"/>
                      <w:szCs w:val="21"/>
                      <w:highlight w:val="none"/>
                      <w:vertAlign w:val="subscript"/>
                      <w:lang w:val="en-US" w:eastAsia="zh-CN"/>
                    </w:rPr>
                    <w:t>3</w:t>
                  </w:r>
                  <w:r>
                    <w:rPr>
                      <w:rFonts w:hint="default" w:ascii="Times New Roman" w:hAnsi="Times New Roman" w:eastAsia="宋体" w:cs="Times New Roman"/>
                      <w:color w:val="000000"/>
                      <w:spacing w:val="0"/>
                      <w:sz w:val="21"/>
                      <w:szCs w:val="21"/>
                      <w:highlight w:val="none"/>
                      <w:lang w:val="en-US" w:eastAsia="zh-CN"/>
                    </w:rPr>
                    <w:t>-N、TP、TN</w:t>
                  </w:r>
                </w:p>
              </w:tc>
              <w:tc>
                <w:tcPr>
                  <w:tcW w:w="1399" w:type="pct"/>
                  <w:vMerge w:val="restart"/>
                  <w:noWrap w:val="0"/>
                  <w:vAlign w:val="center"/>
                </w:tcPr>
                <w:p w14:paraId="3F4A9B38">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进入污水处理系统，经处理达到一级A标准后全部回用</w:t>
                  </w:r>
                  <w:r>
                    <w:rPr>
                      <w:rFonts w:hint="eastAsia" w:ascii="Times New Roman" w:hAnsi="Times New Roman" w:eastAsia="宋体" w:cs="Times New Roman"/>
                      <w:color w:val="000000"/>
                      <w:spacing w:val="0"/>
                      <w:sz w:val="21"/>
                      <w:szCs w:val="21"/>
                      <w:highlight w:val="none"/>
                      <w:lang w:val="en-US" w:eastAsia="zh-CN"/>
                    </w:rPr>
                    <w:t>，</w:t>
                  </w:r>
                  <w:r>
                    <w:rPr>
                      <w:rFonts w:hint="default" w:ascii="Times New Roman" w:hAnsi="Times New Roman" w:eastAsia="宋体" w:cs="Times New Roman"/>
                      <w:color w:val="000000"/>
                      <w:spacing w:val="0"/>
                      <w:sz w:val="21"/>
                      <w:szCs w:val="21"/>
                      <w:highlight w:val="none"/>
                      <w:lang w:val="en-US" w:eastAsia="zh-CN"/>
                    </w:rPr>
                    <w:t>不外排</w:t>
                  </w:r>
                </w:p>
              </w:tc>
            </w:tr>
            <w:tr w14:paraId="337B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386" w:type="pct"/>
                  <w:vMerge w:val="continue"/>
                  <w:noWrap w:val="0"/>
                  <w:vAlign w:val="center"/>
                </w:tcPr>
                <w:p w14:paraId="0D5E51B6">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spacing w:val="0"/>
                      <w:sz w:val="21"/>
                      <w:szCs w:val="21"/>
                    </w:rPr>
                  </w:pPr>
                </w:p>
              </w:tc>
              <w:tc>
                <w:tcPr>
                  <w:tcW w:w="390" w:type="pct"/>
                  <w:vMerge w:val="continue"/>
                  <w:noWrap w:val="0"/>
                  <w:vAlign w:val="center"/>
                </w:tcPr>
                <w:p w14:paraId="2D93DCBC">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spacing w:val="0"/>
                      <w:sz w:val="21"/>
                      <w:szCs w:val="21"/>
                    </w:rPr>
                  </w:pPr>
                </w:p>
              </w:tc>
              <w:tc>
                <w:tcPr>
                  <w:tcW w:w="769" w:type="pct"/>
                  <w:vMerge w:val="continue"/>
                  <w:noWrap w:val="0"/>
                  <w:vAlign w:val="center"/>
                </w:tcPr>
                <w:p w14:paraId="100D24E2">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spacing w:val="0"/>
                      <w:sz w:val="21"/>
                      <w:szCs w:val="21"/>
                    </w:rPr>
                  </w:pPr>
                </w:p>
              </w:tc>
              <w:tc>
                <w:tcPr>
                  <w:tcW w:w="1165" w:type="pct"/>
                  <w:noWrap w:val="0"/>
                  <w:vAlign w:val="center"/>
                </w:tcPr>
                <w:p w14:paraId="528D5122">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color w:val="000000"/>
                      <w:spacing w:val="0"/>
                      <w:sz w:val="21"/>
                      <w:szCs w:val="21"/>
                      <w:highlight w:val="none"/>
                      <w:lang w:val="en-US" w:eastAsia="zh-CN"/>
                    </w:rPr>
                  </w:pPr>
                  <w:r>
                    <w:rPr>
                      <w:rFonts w:hint="default" w:ascii="Times New Roman" w:hAnsi="Times New Roman" w:eastAsia="宋体" w:cs="Times New Roman"/>
                      <w:color w:val="000000"/>
                      <w:spacing w:val="0"/>
                      <w:sz w:val="21"/>
                      <w:szCs w:val="21"/>
                      <w:highlight w:val="none"/>
                      <w:lang w:val="en-US" w:eastAsia="zh-CN"/>
                    </w:rPr>
                    <w:t>污泥脱水滤液</w:t>
                  </w:r>
                </w:p>
              </w:tc>
              <w:tc>
                <w:tcPr>
                  <w:tcW w:w="888" w:type="pct"/>
                  <w:vMerge w:val="continue"/>
                  <w:noWrap w:val="0"/>
                  <w:vAlign w:val="center"/>
                </w:tcPr>
                <w:p w14:paraId="5E606DFD">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s="Times New Roman"/>
                      <w:color w:val="000000"/>
                      <w:spacing w:val="0"/>
                      <w:sz w:val="21"/>
                      <w:szCs w:val="21"/>
                      <w:highlight w:val="none"/>
                      <w:lang w:val="en-US" w:eastAsia="zh-CN"/>
                    </w:rPr>
                  </w:pPr>
                </w:p>
              </w:tc>
              <w:tc>
                <w:tcPr>
                  <w:tcW w:w="1399" w:type="pct"/>
                  <w:vMerge w:val="continue"/>
                  <w:noWrap w:val="0"/>
                  <w:vAlign w:val="center"/>
                </w:tcPr>
                <w:p w14:paraId="1908E28A">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s="Times New Roman"/>
                      <w:color w:val="000000"/>
                      <w:spacing w:val="0"/>
                      <w:sz w:val="21"/>
                      <w:szCs w:val="21"/>
                      <w:highlight w:val="none"/>
                      <w:lang w:val="en-US" w:eastAsia="zh-CN"/>
                    </w:rPr>
                  </w:pPr>
                </w:p>
              </w:tc>
            </w:tr>
            <w:tr w14:paraId="70BA2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9" w:hRule="atLeast"/>
                <w:jc w:val="center"/>
              </w:trPr>
              <w:tc>
                <w:tcPr>
                  <w:tcW w:w="386" w:type="pct"/>
                  <w:vMerge w:val="continue"/>
                  <w:noWrap w:val="0"/>
                  <w:vAlign w:val="center"/>
                </w:tcPr>
                <w:p w14:paraId="17CE0485">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s="Times New Roman"/>
                      <w:color w:val="000000"/>
                      <w:spacing w:val="0"/>
                      <w:sz w:val="21"/>
                      <w:szCs w:val="21"/>
                      <w:highlight w:val="none"/>
                      <w:lang w:val="en-US" w:eastAsia="zh-CN"/>
                    </w:rPr>
                  </w:pPr>
                </w:p>
              </w:tc>
              <w:tc>
                <w:tcPr>
                  <w:tcW w:w="390" w:type="pct"/>
                  <w:vMerge w:val="continue"/>
                  <w:noWrap w:val="0"/>
                  <w:vAlign w:val="center"/>
                </w:tcPr>
                <w:p w14:paraId="4656D66E">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s="Times New Roman"/>
                      <w:color w:val="000000"/>
                      <w:spacing w:val="0"/>
                      <w:sz w:val="21"/>
                      <w:szCs w:val="21"/>
                      <w:highlight w:val="none"/>
                      <w:lang w:val="en-US" w:eastAsia="zh-CN"/>
                    </w:rPr>
                  </w:pPr>
                </w:p>
              </w:tc>
              <w:tc>
                <w:tcPr>
                  <w:tcW w:w="769" w:type="pct"/>
                  <w:vMerge w:val="continue"/>
                  <w:noWrap w:val="0"/>
                  <w:vAlign w:val="center"/>
                </w:tcPr>
                <w:p w14:paraId="1FD0C475">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s="Times New Roman"/>
                      <w:color w:val="000000"/>
                      <w:spacing w:val="0"/>
                      <w:sz w:val="21"/>
                      <w:szCs w:val="21"/>
                      <w:highlight w:val="none"/>
                      <w:lang w:val="en-US" w:eastAsia="zh-CN"/>
                    </w:rPr>
                  </w:pPr>
                </w:p>
              </w:tc>
              <w:tc>
                <w:tcPr>
                  <w:tcW w:w="1165" w:type="pct"/>
                  <w:noWrap w:val="0"/>
                  <w:vAlign w:val="center"/>
                </w:tcPr>
                <w:p w14:paraId="1FDB4A80">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color w:val="000000"/>
                      <w:spacing w:val="0"/>
                      <w:sz w:val="21"/>
                      <w:szCs w:val="21"/>
                      <w:highlight w:val="none"/>
                      <w:lang w:val="en-US" w:eastAsia="zh-CN"/>
                    </w:rPr>
                  </w:pPr>
                  <w:r>
                    <w:rPr>
                      <w:rFonts w:hint="default" w:ascii="Times New Roman" w:hAnsi="Times New Roman" w:eastAsia="宋体" w:cs="Times New Roman"/>
                      <w:color w:val="000000"/>
                      <w:spacing w:val="0"/>
                      <w:sz w:val="21"/>
                      <w:szCs w:val="21"/>
                      <w:highlight w:val="none"/>
                      <w:lang w:val="en-US" w:eastAsia="zh-CN"/>
                    </w:rPr>
                    <w:t>设备冲洗水</w:t>
                  </w:r>
                </w:p>
              </w:tc>
              <w:tc>
                <w:tcPr>
                  <w:tcW w:w="888" w:type="pct"/>
                  <w:vMerge w:val="continue"/>
                  <w:noWrap w:val="0"/>
                  <w:vAlign w:val="center"/>
                </w:tcPr>
                <w:p w14:paraId="2A3DF943">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s="Times New Roman"/>
                      <w:color w:val="000000"/>
                      <w:spacing w:val="0"/>
                      <w:sz w:val="21"/>
                      <w:szCs w:val="21"/>
                      <w:highlight w:val="none"/>
                      <w:lang w:val="en-US" w:eastAsia="zh-CN"/>
                    </w:rPr>
                  </w:pPr>
                </w:p>
              </w:tc>
              <w:tc>
                <w:tcPr>
                  <w:tcW w:w="1399" w:type="pct"/>
                  <w:vMerge w:val="continue"/>
                  <w:noWrap w:val="0"/>
                  <w:vAlign w:val="center"/>
                </w:tcPr>
                <w:p w14:paraId="12CAC13F">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s="Times New Roman"/>
                      <w:color w:val="000000"/>
                      <w:spacing w:val="0"/>
                      <w:sz w:val="21"/>
                      <w:szCs w:val="21"/>
                      <w:highlight w:val="none"/>
                      <w:lang w:val="en-US" w:eastAsia="zh-CN"/>
                    </w:rPr>
                  </w:pPr>
                </w:p>
              </w:tc>
            </w:tr>
            <w:tr w14:paraId="306C8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386" w:type="pct"/>
                  <w:vMerge w:val="continue"/>
                  <w:noWrap w:val="0"/>
                  <w:vAlign w:val="center"/>
                </w:tcPr>
                <w:p w14:paraId="0FB040BC">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restart"/>
                  <w:noWrap w:val="0"/>
                  <w:vAlign w:val="center"/>
                </w:tcPr>
                <w:p w14:paraId="14A10B35">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噪声</w:t>
                  </w:r>
                </w:p>
              </w:tc>
              <w:tc>
                <w:tcPr>
                  <w:tcW w:w="769" w:type="pct"/>
                  <w:vMerge w:val="restart"/>
                  <w:noWrap w:val="0"/>
                  <w:vAlign w:val="center"/>
                </w:tcPr>
                <w:p w14:paraId="3ACC7EAA">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N</w:t>
                  </w:r>
                </w:p>
              </w:tc>
              <w:tc>
                <w:tcPr>
                  <w:tcW w:w="1165" w:type="pct"/>
                  <w:noWrap w:val="0"/>
                  <w:vAlign w:val="center"/>
                </w:tcPr>
                <w:p w14:paraId="6A3413F8">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cs="Times New Roman"/>
                      <w:color w:val="000000"/>
                      <w:spacing w:val="0"/>
                      <w:sz w:val="21"/>
                      <w:szCs w:val="21"/>
                      <w:highlight w:val="none"/>
                      <w:lang w:val="en-US" w:eastAsia="zh-CN"/>
                    </w:rPr>
                    <w:t>风机、泵、压滤机</w:t>
                  </w:r>
                </w:p>
              </w:tc>
              <w:tc>
                <w:tcPr>
                  <w:tcW w:w="888" w:type="pct"/>
                  <w:vMerge w:val="restart"/>
                  <w:noWrap w:val="0"/>
                  <w:vAlign w:val="center"/>
                </w:tcPr>
                <w:p w14:paraId="7D7D9DED">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等效连续A声级</w:t>
                  </w:r>
                </w:p>
              </w:tc>
              <w:tc>
                <w:tcPr>
                  <w:tcW w:w="1399" w:type="pct"/>
                  <w:noWrap w:val="0"/>
                  <w:vAlign w:val="center"/>
                </w:tcPr>
                <w:p w14:paraId="6CA14A79">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bCs/>
                      <w:color w:val="auto"/>
                      <w:spacing w:val="0"/>
                      <w:sz w:val="21"/>
                      <w:szCs w:val="21"/>
                      <w:highlight w:val="none"/>
                      <w:vertAlign w:val="baseline"/>
                      <w:lang w:val="en-US" w:eastAsia="zh-CN"/>
                    </w:rPr>
                    <w:t>厂房隔声、基础减振</w:t>
                  </w:r>
                </w:p>
              </w:tc>
            </w:tr>
            <w:tr w14:paraId="76E3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598B29B4">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5A26F381">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769" w:type="pct"/>
                  <w:vMerge w:val="continue"/>
                  <w:noWrap w:val="0"/>
                  <w:vAlign w:val="center"/>
                </w:tcPr>
                <w:p w14:paraId="24379F59">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color w:val="000000"/>
                      <w:spacing w:val="0"/>
                      <w:sz w:val="21"/>
                      <w:szCs w:val="21"/>
                      <w:highlight w:val="none"/>
                      <w:lang w:val="en-US" w:eastAsia="zh-CN"/>
                    </w:rPr>
                  </w:pPr>
                </w:p>
              </w:tc>
              <w:tc>
                <w:tcPr>
                  <w:tcW w:w="1165" w:type="pct"/>
                  <w:noWrap w:val="0"/>
                  <w:vAlign w:val="center"/>
                </w:tcPr>
                <w:p w14:paraId="7260BE7C">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s="Times New Roman"/>
                      <w:color w:val="000000"/>
                      <w:spacing w:val="0"/>
                      <w:sz w:val="21"/>
                      <w:szCs w:val="21"/>
                      <w:highlight w:val="none"/>
                      <w:lang w:val="en-US" w:eastAsia="zh-CN"/>
                    </w:rPr>
                  </w:pPr>
                  <w:r>
                    <w:rPr>
                      <w:rFonts w:hint="eastAsia" w:ascii="Times New Roman" w:hAnsi="Times New Roman" w:cs="Times New Roman"/>
                      <w:color w:val="000000"/>
                      <w:spacing w:val="0"/>
                      <w:sz w:val="21"/>
                      <w:szCs w:val="21"/>
                      <w:highlight w:val="none"/>
                      <w:lang w:val="en-US" w:eastAsia="zh-CN"/>
                    </w:rPr>
                    <w:t>潜水搅拌器、潜污泵</w:t>
                  </w:r>
                </w:p>
              </w:tc>
              <w:tc>
                <w:tcPr>
                  <w:tcW w:w="888" w:type="pct"/>
                  <w:vMerge w:val="continue"/>
                  <w:noWrap w:val="0"/>
                  <w:vAlign w:val="center"/>
                </w:tcPr>
                <w:p w14:paraId="620D8BEA">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spacing w:val="0"/>
                      <w:sz w:val="21"/>
                      <w:szCs w:val="21"/>
                      <w:highlight w:val="none"/>
                      <w:lang w:val="en-US" w:eastAsia="zh-CN"/>
                    </w:rPr>
                  </w:pPr>
                </w:p>
              </w:tc>
              <w:tc>
                <w:tcPr>
                  <w:tcW w:w="1399" w:type="pct"/>
                  <w:noWrap w:val="0"/>
                  <w:vAlign w:val="center"/>
                </w:tcPr>
                <w:p w14:paraId="02B8AC75">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000000"/>
                      <w:spacing w:val="0"/>
                      <w:sz w:val="21"/>
                      <w:szCs w:val="21"/>
                      <w:highlight w:val="none"/>
                      <w:lang w:val="en-US" w:eastAsia="zh-CN"/>
                    </w:rPr>
                  </w:pPr>
                  <w:r>
                    <w:rPr>
                      <w:rFonts w:hint="default" w:ascii="Times New Roman" w:hAnsi="Times New Roman" w:eastAsia="宋体" w:cs="Times New Roman"/>
                      <w:color w:val="000000"/>
                      <w:spacing w:val="0"/>
                      <w:sz w:val="21"/>
                      <w:szCs w:val="21"/>
                      <w:highlight w:val="none"/>
                      <w:lang w:val="en-US" w:eastAsia="zh-CN"/>
                    </w:rPr>
                    <w:t>水下安装</w:t>
                  </w:r>
                </w:p>
              </w:tc>
            </w:tr>
            <w:tr w14:paraId="00A67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6498B789">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restart"/>
                  <w:noWrap w:val="0"/>
                  <w:vAlign w:val="center"/>
                </w:tcPr>
                <w:p w14:paraId="68BE4602">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cs="Times New Roman"/>
                      <w:bCs/>
                      <w:color w:val="auto"/>
                      <w:spacing w:val="0"/>
                      <w:sz w:val="21"/>
                      <w:szCs w:val="21"/>
                      <w:highlight w:val="none"/>
                      <w:vertAlign w:val="baseline"/>
                      <w:lang w:val="en-US" w:eastAsia="zh-CN"/>
                    </w:rPr>
                    <w:t>固废</w:t>
                  </w:r>
                </w:p>
              </w:tc>
              <w:tc>
                <w:tcPr>
                  <w:tcW w:w="769" w:type="pct"/>
                  <w:noWrap w:val="0"/>
                  <w:vAlign w:val="center"/>
                </w:tcPr>
                <w:p w14:paraId="48BC69A9">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S1</w:t>
                  </w:r>
                </w:p>
              </w:tc>
              <w:tc>
                <w:tcPr>
                  <w:tcW w:w="1165" w:type="pct"/>
                  <w:noWrap w:val="0"/>
                  <w:vAlign w:val="center"/>
                </w:tcPr>
                <w:p w14:paraId="6A5BEB49">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粗格栅、细格栅</w:t>
                  </w:r>
                </w:p>
              </w:tc>
              <w:tc>
                <w:tcPr>
                  <w:tcW w:w="888" w:type="pct"/>
                  <w:noWrap w:val="0"/>
                  <w:vAlign w:val="center"/>
                </w:tcPr>
                <w:p w14:paraId="783B2EFF">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栅渣</w:t>
                  </w:r>
                </w:p>
              </w:tc>
              <w:tc>
                <w:tcPr>
                  <w:tcW w:w="1399" w:type="pct"/>
                  <w:noWrap w:val="0"/>
                  <w:vAlign w:val="center"/>
                </w:tcPr>
                <w:p w14:paraId="1BEA5099">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环卫部门清运</w:t>
                  </w:r>
                </w:p>
              </w:tc>
            </w:tr>
            <w:tr w14:paraId="5C0E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0FE98C05">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598EBBB1">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50DDE80E">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S2</w:t>
                  </w:r>
                </w:p>
              </w:tc>
              <w:tc>
                <w:tcPr>
                  <w:tcW w:w="1165" w:type="pct"/>
                  <w:noWrap w:val="0"/>
                  <w:vAlign w:val="center"/>
                </w:tcPr>
                <w:p w14:paraId="711696D4">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旋流沉砂器</w:t>
                  </w:r>
                </w:p>
              </w:tc>
              <w:tc>
                <w:tcPr>
                  <w:tcW w:w="888" w:type="pct"/>
                  <w:noWrap w:val="0"/>
                  <w:vAlign w:val="center"/>
                </w:tcPr>
                <w:p w14:paraId="13A34B74">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沉砂</w:t>
                  </w:r>
                </w:p>
              </w:tc>
              <w:tc>
                <w:tcPr>
                  <w:tcW w:w="1399" w:type="pct"/>
                  <w:noWrap w:val="0"/>
                  <w:vAlign w:val="center"/>
                </w:tcPr>
                <w:p w14:paraId="225651BE">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环卫部门清运</w:t>
                  </w:r>
                </w:p>
              </w:tc>
            </w:tr>
            <w:tr w14:paraId="333A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0CFA7B1D">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658A37A9">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27BE7D51">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S3</w:t>
                  </w:r>
                </w:p>
              </w:tc>
              <w:tc>
                <w:tcPr>
                  <w:tcW w:w="1165" w:type="pct"/>
                  <w:noWrap w:val="0"/>
                  <w:vAlign w:val="center"/>
                </w:tcPr>
                <w:p w14:paraId="5EA7E5C5">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污泥脱水</w:t>
                  </w:r>
                </w:p>
              </w:tc>
              <w:tc>
                <w:tcPr>
                  <w:tcW w:w="888" w:type="pct"/>
                  <w:noWrap w:val="0"/>
                  <w:vAlign w:val="center"/>
                </w:tcPr>
                <w:p w14:paraId="539D6DF0">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脱水污泥</w:t>
                  </w:r>
                </w:p>
              </w:tc>
              <w:tc>
                <w:tcPr>
                  <w:tcW w:w="1399" w:type="pct"/>
                  <w:noWrap w:val="0"/>
                  <w:vAlign w:val="center"/>
                </w:tcPr>
                <w:p w14:paraId="787B8B70">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外运至垃圾填埋场填埋（含水率≤60%）</w:t>
                  </w:r>
                </w:p>
              </w:tc>
            </w:tr>
            <w:tr w14:paraId="103E5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6CF093B5">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445304A2">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0F500075">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S4</w:t>
                  </w:r>
                </w:p>
              </w:tc>
              <w:tc>
                <w:tcPr>
                  <w:tcW w:w="1165" w:type="pct"/>
                  <w:noWrap w:val="0"/>
                  <w:vAlign w:val="center"/>
                </w:tcPr>
                <w:p w14:paraId="5CF0290E">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加药系统</w:t>
                  </w:r>
                </w:p>
              </w:tc>
              <w:tc>
                <w:tcPr>
                  <w:tcW w:w="888" w:type="pct"/>
                  <w:noWrap w:val="0"/>
                  <w:vAlign w:val="center"/>
                </w:tcPr>
                <w:p w14:paraId="47997520">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废包装袋</w:t>
                  </w:r>
                </w:p>
              </w:tc>
              <w:tc>
                <w:tcPr>
                  <w:tcW w:w="1399" w:type="pct"/>
                  <w:noWrap w:val="0"/>
                  <w:vAlign w:val="center"/>
                </w:tcPr>
                <w:p w14:paraId="78992BED">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环卫部门清运</w:t>
                  </w:r>
                </w:p>
              </w:tc>
            </w:tr>
            <w:tr w14:paraId="7598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7AC25D48">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2BAEF3BE">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4F9E1E51">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S5</w:t>
                  </w:r>
                </w:p>
              </w:tc>
              <w:tc>
                <w:tcPr>
                  <w:tcW w:w="1165" w:type="pct"/>
                  <w:noWrap w:val="0"/>
                  <w:vAlign w:val="center"/>
                </w:tcPr>
                <w:p w14:paraId="4B0AD04C">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检测间</w:t>
                  </w:r>
                </w:p>
              </w:tc>
              <w:tc>
                <w:tcPr>
                  <w:tcW w:w="888" w:type="pct"/>
                  <w:noWrap w:val="0"/>
                  <w:vAlign w:val="center"/>
                </w:tcPr>
                <w:p w14:paraId="5630B9B2">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化验废液、废样品</w:t>
                  </w:r>
                </w:p>
              </w:tc>
              <w:tc>
                <w:tcPr>
                  <w:tcW w:w="1399" w:type="pct"/>
                  <w:noWrap w:val="0"/>
                  <w:vAlign w:val="center"/>
                </w:tcPr>
                <w:p w14:paraId="63BF3608">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cs="Times New Roman"/>
                      <w:color w:val="000000"/>
                      <w:spacing w:val="0"/>
                      <w:sz w:val="21"/>
                      <w:szCs w:val="21"/>
                      <w:highlight w:val="none"/>
                      <w:lang w:val="en-US" w:eastAsia="zh-CN"/>
                    </w:rPr>
                    <w:t>危险废物贮存点</w:t>
                  </w:r>
                  <w:r>
                    <w:rPr>
                      <w:rFonts w:hint="default" w:ascii="Times New Roman" w:hAnsi="Times New Roman" w:eastAsia="宋体" w:cs="Times New Roman"/>
                      <w:color w:val="000000"/>
                      <w:spacing w:val="0"/>
                      <w:sz w:val="21"/>
                      <w:szCs w:val="21"/>
                      <w:highlight w:val="none"/>
                      <w:lang w:val="en-US" w:eastAsia="zh-CN"/>
                    </w:rPr>
                    <w:t>暂存，定期交有资质单位处置</w:t>
                  </w:r>
                </w:p>
              </w:tc>
            </w:tr>
            <w:tr w14:paraId="312CD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6" w:type="pct"/>
                  <w:vMerge w:val="continue"/>
                  <w:noWrap w:val="0"/>
                  <w:vAlign w:val="center"/>
                </w:tcPr>
                <w:p w14:paraId="6B88B027">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574D510B">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3AE77406">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S6</w:t>
                  </w:r>
                </w:p>
              </w:tc>
              <w:tc>
                <w:tcPr>
                  <w:tcW w:w="1165" w:type="pct"/>
                  <w:noWrap w:val="0"/>
                  <w:vAlign w:val="center"/>
                </w:tcPr>
                <w:p w14:paraId="3D6EE55E">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eastAsia="宋体" w:cs="Times New Roman"/>
                      <w:color w:val="000000"/>
                      <w:spacing w:val="0"/>
                      <w:sz w:val="21"/>
                      <w:szCs w:val="21"/>
                      <w:highlight w:val="none"/>
                      <w:lang w:val="en-US" w:eastAsia="zh-CN"/>
                    </w:rPr>
                    <w:t>设备维修</w:t>
                  </w:r>
                </w:p>
              </w:tc>
              <w:tc>
                <w:tcPr>
                  <w:tcW w:w="888" w:type="pct"/>
                  <w:noWrap w:val="0"/>
                  <w:vAlign w:val="center"/>
                </w:tcPr>
                <w:p w14:paraId="52C9B082">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废机油、含油抹布</w:t>
                  </w:r>
                </w:p>
              </w:tc>
              <w:tc>
                <w:tcPr>
                  <w:tcW w:w="1399" w:type="pct"/>
                  <w:noWrap w:val="0"/>
                  <w:vAlign w:val="center"/>
                </w:tcPr>
                <w:p w14:paraId="4370B26D">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default" w:ascii="Times New Roman" w:hAnsi="Times New Roman" w:cs="Times New Roman"/>
                      <w:color w:val="000000"/>
                      <w:spacing w:val="0"/>
                      <w:sz w:val="21"/>
                      <w:szCs w:val="21"/>
                      <w:highlight w:val="none"/>
                      <w:lang w:val="en-US" w:eastAsia="zh-CN"/>
                    </w:rPr>
                    <w:t>危险废物贮存点</w:t>
                  </w:r>
                  <w:r>
                    <w:rPr>
                      <w:rFonts w:hint="default" w:ascii="Times New Roman" w:hAnsi="Times New Roman" w:eastAsia="宋体" w:cs="Times New Roman"/>
                      <w:color w:val="000000"/>
                      <w:spacing w:val="0"/>
                      <w:sz w:val="21"/>
                      <w:szCs w:val="21"/>
                      <w:highlight w:val="none"/>
                      <w:lang w:val="en-US" w:eastAsia="zh-CN"/>
                    </w:rPr>
                    <w:t>暂存，定期交有资质单位处置</w:t>
                  </w:r>
                </w:p>
              </w:tc>
            </w:tr>
            <w:tr w14:paraId="757E7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6" w:type="pct"/>
                  <w:vMerge w:val="continue"/>
                  <w:noWrap w:val="0"/>
                  <w:vAlign w:val="center"/>
                </w:tcPr>
                <w:p w14:paraId="01203B70">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390" w:type="pct"/>
                  <w:vMerge w:val="continue"/>
                  <w:noWrap w:val="0"/>
                  <w:vAlign w:val="center"/>
                </w:tcPr>
                <w:p w14:paraId="4F029FD1">
                  <w:pPr>
                    <w:spacing w:line="240" w:lineRule="auto"/>
                    <w:jc w:val="center"/>
                    <w:rPr>
                      <w:rFonts w:hint="default" w:ascii="Times New Roman" w:hAnsi="Times New Roman" w:eastAsia="宋体" w:cs="Times New Roman"/>
                      <w:bCs/>
                      <w:color w:val="auto"/>
                      <w:spacing w:val="0"/>
                      <w:sz w:val="21"/>
                      <w:szCs w:val="21"/>
                      <w:highlight w:val="none"/>
                      <w:vertAlign w:val="baseline"/>
                      <w:lang w:val="en-US" w:eastAsia="zh-CN"/>
                    </w:rPr>
                  </w:pPr>
                </w:p>
              </w:tc>
              <w:tc>
                <w:tcPr>
                  <w:tcW w:w="769" w:type="pct"/>
                  <w:noWrap w:val="0"/>
                  <w:vAlign w:val="center"/>
                </w:tcPr>
                <w:p w14:paraId="1B92722B">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S7</w:t>
                  </w:r>
                </w:p>
              </w:tc>
              <w:tc>
                <w:tcPr>
                  <w:tcW w:w="1165" w:type="pct"/>
                  <w:noWrap w:val="0"/>
                  <w:vAlign w:val="center"/>
                </w:tcPr>
                <w:p w14:paraId="47A57C35">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bCs/>
                      <w:color w:val="auto"/>
                      <w:spacing w:val="0"/>
                      <w:sz w:val="21"/>
                      <w:szCs w:val="21"/>
                      <w:highlight w:val="none"/>
                      <w:vertAlign w:val="baseline"/>
                      <w:lang w:val="en-US" w:eastAsia="zh-CN"/>
                    </w:rPr>
                    <w:t>职工办公、生活</w:t>
                  </w:r>
                </w:p>
              </w:tc>
              <w:tc>
                <w:tcPr>
                  <w:tcW w:w="888" w:type="pct"/>
                  <w:noWrap w:val="0"/>
                  <w:vAlign w:val="center"/>
                </w:tcPr>
                <w:p w14:paraId="4B575E26">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办公、生活垃圾</w:t>
                  </w:r>
                </w:p>
              </w:tc>
              <w:tc>
                <w:tcPr>
                  <w:tcW w:w="1399" w:type="pct"/>
                  <w:noWrap w:val="0"/>
                  <w:vAlign w:val="center"/>
                </w:tcPr>
                <w:p w14:paraId="0CED50AD">
                  <w:pPr>
                    <w:pStyle w:val="22"/>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Cs/>
                      <w:color w:val="auto"/>
                      <w:spacing w:val="0"/>
                      <w:sz w:val="21"/>
                      <w:szCs w:val="21"/>
                      <w:highlight w:val="none"/>
                      <w:vertAlign w:val="baseline"/>
                      <w:lang w:val="en-US" w:eastAsia="zh-CN"/>
                    </w:rPr>
                  </w:pPr>
                  <w:r>
                    <w:rPr>
                      <w:rFonts w:hint="eastAsia" w:ascii="Times New Roman" w:hAnsi="Times New Roman" w:eastAsia="宋体" w:cs="Times New Roman"/>
                      <w:color w:val="000000"/>
                      <w:spacing w:val="0"/>
                      <w:sz w:val="21"/>
                      <w:szCs w:val="21"/>
                      <w:highlight w:val="none"/>
                      <w:lang w:val="en-US" w:eastAsia="zh-CN"/>
                    </w:rPr>
                    <w:t>环卫部门清运</w:t>
                  </w:r>
                </w:p>
              </w:tc>
            </w:tr>
          </w:tbl>
          <w:p w14:paraId="61B41304">
            <w:pPr>
              <w:rPr>
                <w:rFonts w:hint="eastAsia" w:cs="Times New Roman"/>
                <w:color w:val="auto"/>
                <w:kern w:val="0"/>
                <w:sz w:val="24"/>
                <w:szCs w:val="24"/>
                <w:highlight w:val="none"/>
                <w:lang w:val="en-US" w:eastAsia="zh-CN" w:bidi="ar"/>
              </w:rPr>
            </w:pPr>
          </w:p>
          <w:p w14:paraId="5DACB25E">
            <w:pPr>
              <w:rPr>
                <w:rFonts w:hint="eastAsia" w:cs="Times New Roman"/>
                <w:color w:val="auto"/>
                <w:kern w:val="0"/>
                <w:sz w:val="24"/>
                <w:szCs w:val="24"/>
                <w:highlight w:val="none"/>
                <w:lang w:val="en-US" w:eastAsia="zh-CN" w:bidi="ar"/>
              </w:rPr>
            </w:pPr>
          </w:p>
        </w:tc>
      </w:tr>
      <w:tr w14:paraId="3DAE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0" w:hRule="atLeast"/>
        </w:trPr>
        <w:tc>
          <w:tcPr>
            <w:tcW w:w="399" w:type="dxa"/>
            <w:vAlign w:val="center"/>
          </w:tcPr>
          <w:p w14:paraId="65A75D79">
            <w:pPr>
              <w:jc w:val="center"/>
              <w:rPr>
                <w:rFonts w:hint="eastAsia"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rPr>
              <w:t>与项目有关的原有环境污染问题</w:t>
            </w:r>
          </w:p>
        </w:tc>
        <w:tc>
          <w:tcPr>
            <w:tcW w:w="8661" w:type="dxa"/>
          </w:tcPr>
          <w:p w14:paraId="4611DB62">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425" w:leftChars="0" w:hanging="425" w:firstLineChars="0"/>
              <w:jc w:val="left"/>
              <w:textAlignment w:val="auto"/>
              <w:rPr>
                <w:rFonts w:hint="eastAsia" w:ascii="Times New Roman" w:hAnsi="Times New Roman" w:eastAsia="宋体" w:cs="Times New Roman"/>
                <w:b/>
                <w:bCs/>
                <w:color w:val="auto"/>
                <w:sz w:val="24"/>
                <w:highlight w:val="none"/>
                <w:lang w:val="en-US" w:eastAsia="zh-CN"/>
              </w:rPr>
            </w:pPr>
            <w:r>
              <w:rPr>
                <w:rFonts w:hint="eastAsia" w:cs="Times New Roman"/>
                <w:b/>
                <w:bCs/>
                <w:color w:val="auto"/>
                <w:kern w:val="2"/>
                <w:sz w:val="24"/>
                <w:szCs w:val="24"/>
                <w:lang w:val="en-US" w:eastAsia="zh-CN" w:bidi="ar-SA"/>
              </w:rPr>
              <w:t>2.12</w:t>
            </w:r>
            <w:r>
              <w:rPr>
                <w:rFonts w:hint="eastAsia" w:ascii="Times New Roman" w:hAnsi="Times New Roman" w:eastAsia="宋体" w:cs="Times New Roman"/>
                <w:b/>
                <w:bCs/>
                <w:color w:val="auto"/>
                <w:sz w:val="24"/>
                <w:highlight w:val="none"/>
                <w:lang w:val="en-US" w:eastAsia="zh-CN"/>
              </w:rPr>
              <w:t>一期工程概况</w:t>
            </w:r>
          </w:p>
          <w:p w14:paraId="338F7067">
            <w:pPr>
              <w:pStyle w:val="13"/>
              <w:keepNext w:val="0"/>
              <w:keepLines w:val="0"/>
              <w:pageBreakBefore w:val="0"/>
              <w:widowControl w:val="0"/>
              <w:kinsoku/>
              <w:wordWrap/>
              <w:overflowPunct/>
              <w:topLinePunct w:val="0"/>
              <w:autoSpaceDE/>
              <w:autoSpaceDN/>
              <w:bidi w:val="0"/>
              <w:adjustRightInd/>
              <w:snapToGrid/>
              <w:spacing w:line="360" w:lineRule="auto"/>
              <w:ind w:firstLine="456" w:firstLineChars="200"/>
              <w:textAlignment w:val="auto"/>
              <w:rPr>
                <w:rFonts w:hint="eastAsia" w:ascii="Times New Roman" w:hAnsi="Times New Roman" w:eastAsia="宋体" w:cs="Times New Roman"/>
                <w:color w:val="auto"/>
                <w:spacing w:val="-6"/>
                <w:kern w:val="0"/>
                <w:sz w:val="24"/>
                <w:szCs w:val="24"/>
                <w:highlight w:val="none"/>
                <w:lang w:val="en-US" w:eastAsia="zh-CN" w:bidi="ar-SA"/>
              </w:rPr>
            </w:pPr>
            <w:r>
              <w:rPr>
                <w:rFonts w:hint="eastAsia" w:cs="Times New Roman"/>
                <w:color w:val="auto"/>
                <w:spacing w:val="-6"/>
                <w:kern w:val="0"/>
                <w:sz w:val="24"/>
                <w:szCs w:val="24"/>
                <w:highlight w:val="none"/>
                <w:lang w:val="en-US" w:eastAsia="zh-CN" w:bidi="ar-SA"/>
              </w:rPr>
              <w:t>现有</w:t>
            </w:r>
            <w:r>
              <w:rPr>
                <w:rFonts w:hint="eastAsia" w:ascii="Times New Roman" w:hAnsi="Times New Roman" w:eastAsia="宋体" w:cs="Times New Roman"/>
                <w:color w:val="auto"/>
                <w:spacing w:val="-6"/>
                <w:kern w:val="0"/>
                <w:sz w:val="24"/>
                <w:szCs w:val="24"/>
                <w:highlight w:val="none"/>
                <w:lang w:val="en-US" w:eastAsia="zh-CN" w:bidi="ar-SA"/>
              </w:rPr>
              <w:t>生活污水处理厂即为一期工程（以下简称</w:t>
            </w:r>
            <w:r>
              <w:rPr>
                <w:rFonts w:hint="eastAsia" w:cs="Times New Roman"/>
                <w:color w:val="auto"/>
                <w:spacing w:val="-6"/>
                <w:kern w:val="0"/>
                <w:sz w:val="24"/>
                <w:szCs w:val="24"/>
                <w:highlight w:val="none"/>
                <w:lang w:val="en-US" w:eastAsia="zh-CN" w:bidi="ar-SA"/>
              </w:rPr>
              <w:t>“</w:t>
            </w:r>
            <w:r>
              <w:rPr>
                <w:rFonts w:hint="eastAsia" w:ascii="Times New Roman" w:hAnsi="Times New Roman" w:eastAsia="宋体" w:cs="Times New Roman"/>
                <w:color w:val="auto"/>
                <w:spacing w:val="-6"/>
                <w:kern w:val="0"/>
                <w:sz w:val="24"/>
                <w:szCs w:val="24"/>
                <w:highlight w:val="none"/>
                <w:lang w:val="en-US" w:eastAsia="zh-CN" w:bidi="ar-SA"/>
              </w:rPr>
              <w:t>一期工程</w:t>
            </w:r>
            <w:r>
              <w:rPr>
                <w:rFonts w:hint="eastAsia" w:cs="Times New Roman"/>
                <w:color w:val="auto"/>
                <w:spacing w:val="-6"/>
                <w:kern w:val="0"/>
                <w:sz w:val="24"/>
                <w:szCs w:val="24"/>
                <w:highlight w:val="none"/>
                <w:lang w:val="en-US" w:eastAsia="zh-CN" w:bidi="ar-SA"/>
              </w:rPr>
              <w:t>”</w:t>
            </w:r>
            <w:r>
              <w:rPr>
                <w:rFonts w:hint="eastAsia" w:ascii="Times New Roman" w:hAnsi="Times New Roman" w:eastAsia="宋体" w:cs="Times New Roman"/>
                <w:color w:val="auto"/>
                <w:spacing w:val="-6"/>
                <w:kern w:val="0"/>
                <w:sz w:val="24"/>
                <w:szCs w:val="24"/>
                <w:highlight w:val="none"/>
                <w:lang w:val="en-US" w:eastAsia="zh-CN" w:bidi="ar-SA"/>
              </w:rPr>
              <w:t>），位于新疆巴州库尔勒市石油石化产业园昆玉路</w:t>
            </w:r>
            <w:r>
              <w:rPr>
                <w:rFonts w:hint="eastAsia" w:cs="Times New Roman"/>
                <w:spacing w:val="-6"/>
                <w:sz w:val="24"/>
                <w:szCs w:val="24"/>
                <w:lang w:val="en-US" w:eastAsia="zh-CN"/>
              </w:rPr>
              <w:t>东</w:t>
            </w:r>
            <w:r>
              <w:rPr>
                <w:rFonts w:hint="eastAsia" w:ascii="Times New Roman" w:hAnsi="Times New Roman" w:eastAsia="宋体" w:cs="Times New Roman"/>
                <w:spacing w:val="-6"/>
                <w:sz w:val="24"/>
                <w:szCs w:val="24"/>
              </w:rPr>
              <w:t>侧，富强大道南侧。</w:t>
            </w:r>
            <w:r>
              <w:rPr>
                <w:rFonts w:hint="eastAsia" w:ascii="Times New Roman" w:hAnsi="Times New Roman" w:eastAsia="宋体" w:cs="Times New Roman"/>
                <w:color w:val="auto"/>
                <w:spacing w:val="-6"/>
                <w:kern w:val="0"/>
                <w:sz w:val="24"/>
                <w:szCs w:val="24"/>
                <w:highlight w:val="none"/>
                <w:lang w:val="en-US" w:eastAsia="zh-CN" w:bidi="ar-SA"/>
              </w:rPr>
              <w:t>设计处理规模500m</w:t>
            </w:r>
            <w:r>
              <w:rPr>
                <w:rFonts w:hint="eastAsia" w:cs="Times New Roman"/>
                <w:color w:val="auto"/>
                <w:spacing w:val="-6"/>
                <w:kern w:val="0"/>
                <w:sz w:val="24"/>
                <w:szCs w:val="24"/>
                <w:highlight w:val="none"/>
                <w:vertAlign w:val="superscript"/>
                <w:lang w:val="en-US" w:eastAsia="zh-CN" w:bidi="ar-SA"/>
              </w:rPr>
              <w:t>3</w:t>
            </w:r>
            <w:r>
              <w:rPr>
                <w:rFonts w:hint="eastAsia" w:ascii="Times New Roman" w:hAnsi="Times New Roman" w:eastAsia="宋体" w:cs="Times New Roman"/>
                <w:color w:val="auto"/>
                <w:spacing w:val="-6"/>
                <w:kern w:val="0"/>
                <w:sz w:val="24"/>
                <w:szCs w:val="24"/>
                <w:highlight w:val="none"/>
                <w:lang w:val="en-US" w:eastAsia="zh-CN" w:bidi="ar-SA"/>
              </w:rPr>
              <w:t>/d，生化处理采用MBR生物池，出水水质执行《城镇污水处理厂污染物排放标准》（GB18918-2002）及其修改单一级A标准后用于产业小镇镇区绿化，污泥处理采用机械浓缩脱水处置工艺，泥饼外运卫生填埋。污水处理工艺流程见图2</w:t>
            </w:r>
            <w:r>
              <w:rPr>
                <w:rFonts w:hint="eastAsia" w:cs="Times New Roman"/>
                <w:color w:val="auto"/>
                <w:spacing w:val="-6"/>
                <w:kern w:val="0"/>
                <w:sz w:val="24"/>
                <w:szCs w:val="24"/>
                <w:highlight w:val="none"/>
                <w:lang w:val="en-US" w:eastAsia="zh-CN" w:bidi="ar-SA"/>
              </w:rPr>
              <w:t>-4</w:t>
            </w:r>
            <w:r>
              <w:rPr>
                <w:rFonts w:hint="eastAsia" w:ascii="Times New Roman" w:hAnsi="Times New Roman" w:eastAsia="宋体" w:cs="Times New Roman"/>
                <w:color w:val="auto"/>
                <w:spacing w:val="-6"/>
                <w:kern w:val="0"/>
                <w:sz w:val="24"/>
                <w:szCs w:val="24"/>
                <w:highlight w:val="none"/>
                <w:lang w:val="en-US" w:eastAsia="zh-CN" w:bidi="ar-SA"/>
              </w:rPr>
              <w:t>。</w:t>
            </w:r>
          </w:p>
          <w:p w14:paraId="32CB9092">
            <w:pPr>
              <w:jc w:val="center"/>
              <w:rPr>
                <w:rFonts w:hint="eastAsia" w:ascii="Times New Roman" w:hAnsi="Times New Roman" w:eastAsia="宋体" w:cs="Times New Roman"/>
                <w:color w:val="auto"/>
                <w:kern w:val="0"/>
                <w:sz w:val="24"/>
                <w:szCs w:val="24"/>
                <w:highlight w:val="none"/>
                <w:lang w:val="en-US" w:eastAsia="zh-CN" w:bidi="ar"/>
              </w:rPr>
            </w:pPr>
            <w:r>
              <w:rPr>
                <w:rFonts w:hint="eastAsia"/>
                <w:highlight w:val="none"/>
                <w:lang w:val="en-US" w:eastAsia="zh-CN"/>
              </w:rPr>
              <w:drawing>
                <wp:inline distT="0" distB="0" distL="114300" distR="114300">
                  <wp:extent cx="4820285" cy="2427605"/>
                  <wp:effectExtent l="0" t="0" r="18415" b="10795"/>
                  <wp:docPr id="3" name="图片 1" descr="1781627525898_8E8BB8AB-81DA-4d4d-A018-78930C67E8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781627525898_8E8BB8AB-81DA-4d4d-A018-78930C67E8BC"/>
                          <pic:cNvPicPr>
                            <a:picLocks noChangeAspect="1"/>
                          </pic:cNvPicPr>
                        </pic:nvPicPr>
                        <pic:blipFill>
                          <a:blip r:embed="rId16"/>
                          <a:stretch>
                            <a:fillRect/>
                          </a:stretch>
                        </pic:blipFill>
                        <pic:spPr>
                          <a:xfrm>
                            <a:off x="0" y="0"/>
                            <a:ext cx="4820285" cy="2427605"/>
                          </a:xfrm>
                          <a:prstGeom prst="rect">
                            <a:avLst/>
                          </a:prstGeom>
                          <a:noFill/>
                          <a:ln>
                            <a:noFill/>
                          </a:ln>
                        </pic:spPr>
                      </pic:pic>
                    </a:graphicData>
                  </a:graphic>
                </wp:inline>
              </w:drawing>
            </w:r>
          </w:p>
          <w:p w14:paraId="48B666B7">
            <w:pPr>
              <w:pStyle w:val="23"/>
              <w:bidi w:val="0"/>
              <w:rPr>
                <w:rFonts w:hint="default"/>
                <w:lang w:val="en-US" w:eastAsia="zh-CN"/>
              </w:rPr>
            </w:pPr>
            <w:r>
              <w:t xml:space="preserve">图 </w:t>
            </w:r>
            <w:r>
              <w:fldChar w:fldCharType="begin"/>
            </w:r>
            <w:r>
              <w:instrText xml:space="preserve"> STYLEREF 1 \s \* ARABIC </w:instrText>
            </w:r>
            <w:r>
              <w:fldChar w:fldCharType="separate"/>
            </w:r>
            <w:r>
              <w:t>2</w:t>
            </w:r>
            <w:r>
              <w:fldChar w:fldCharType="end"/>
            </w:r>
            <w:r>
              <w:rPr>
                <w:rFonts w:hint="eastAsia"/>
                <w:lang w:val="en-US" w:eastAsia="zh-CN"/>
              </w:rPr>
              <w:t>-4</w:t>
            </w:r>
            <w:r>
              <w:rPr>
                <w:rFonts w:hint="eastAsia"/>
                <w:lang w:eastAsia="zh-CN"/>
              </w:rPr>
              <w:t>一期污水处理厂工艺流程图</w:t>
            </w:r>
          </w:p>
          <w:p w14:paraId="340EB7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jc w:val="left"/>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lang w:val="en-US" w:eastAsia="zh-CN" w:bidi="ar-SA"/>
              </w:rPr>
              <w:t>2.</w:t>
            </w:r>
            <w:r>
              <w:rPr>
                <w:rFonts w:hint="eastAsia" w:cs="Times New Roman"/>
                <w:b/>
                <w:bCs/>
                <w:color w:val="auto"/>
                <w:kern w:val="2"/>
                <w:sz w:val="24"/>
                <w:szCs w:val="24"/>
                <w:lang w:val="en-US" w:eastAsia="zh-CN" w:bidi="ar-SA"/>
              </w:rPr>
              <w:t>13</w:t>
            </w:r>
            <w:r>
              <w:rPr>
                <w:rFonts w:hint="eastAsia" w:ascii="Times New Roman" w:hAnsi="Times New Roman" w:eastAsia="宋体" w:cs="Times New Roman"/>
                <w:b/>
                <w:bCs/>
                <w:color w:val="auto"/>
                <w:kern w:val="2"/>
                <w:sz w:val="24"/>
                <w:szCs w:val="24"/>
                <w:highlight w:val="none"/>
                <w:lang w:val="en-US" w:eastAsia="zh-CN" w:bidi="ar-SA"/>
              </w:rPr>
              <w:t>一期工程环保手续情况</w:t>
            </w:r>
          </w:p>
          <w:p w14:paraId="7F8171F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575" w:leftChars="194" w:hanging="168" w:hangingChars="70"/>
              <w:jc w:val="left"/>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eastAsia" w:cs="Times New Roman"/>
                <w:b w:val="0"/>
                <w:bCs w:val="0"/>
                <w:color w:val="auto"/>
                <w:kern w:val="2"/>
                <w:sz w:val="24"/>
                <w:szCs w:val="24"/>
                <w:lang w:val="en-US" w:eastAsia="zh-CN" w:bidi="ar-SA"/>
              </w:rPr>
              <w:t>1、</w:t>
            </w:r>
            <w:r>
              <w:rPr>
                <w:rFonts w:hint="default" w:ascii="Times New Roman" w:hAnsi="Times New Roman" w:eastAsia="宋体" w:cs="Times New Roman"/>
                <w:b w:val="0"/>
                <w:bCs w:val="0"/>
                <w:color w:val="auto"/>
                <w:kern w:val="2"/>
                <w:sz w:val="24"/>
                <w:szCs w:val="24"/>
                <w:highlight w:val="none"/>
                <w:lang w:val="en-US" w:eastAsia="zh-CN" w:bidi="ar-SA"/>
              </w:rPr>
              <w:t>环评及验收情况</w:t>
            </w:r>
          </w:p>
          <w:p w14:paraId="1D32392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r>
              <w:rPr>
                <w:rFonts w:hint="eastAsia" w:ascii="Times New Roman" w:hAnsi="Times New Roman" w:eastAsia="宋体" w:cs="Times New Roman"/>
                <w:color w:val="auto"/>
                <w:kern w:val="0"/>
                <w:sz w:val="24"/>
                <w:szCs w:val="24"/>
                <w:highlight w:val="none"/>
                <w:lang w:val="en-US" w:eastAsia="zh-CN" w:bidi="ar-SA"/>
              </w:rPr>
              <w:t>一期污水处理厂</w:t>
            </w:r>
            <w:r>
              <w:rPr>
                <w:rFonts w:hint="default" w:ascii="Times New Roman" w:hAnsi="Times New Roman" w:eastAsia="宋体" w:cs="Times New Roman"/>
                <w:color w:val="auto"/>
                <w:kern w:val="0"/>
                <w:sz w:val="24"/>
                <w:szCs w:val="24"/>
                <w:highlight w:val="none"/>
                <w:lang w:val="en-US" w:eastAsia="zh-CN" w:bidi="ar-SA"/>
              </w:rPr>
              <w:t>环评及验收情况见表2</w:t>
            </w:r>
            <w:r>
              <w:rPr>
                <w:rFonts w:hint="eastAsia" w:cs="Times New Roman"/>
                <w:color w:val="auto"/>
                <w:kern w:val="0"/>
                <w:sz w:val="24"/>
                <w:szCs w:val="24"/>
                <w:highlight w:val="none"/>
                <w:lang w:val="en-US" w:eastAsia="zh-CN" w:bidi="ar-SA"/>
              </w:rPr>
              <w:t>-7</w:t>
            </w:r>
            <w:r>
              <w:rPr>
                <w:rFonts w:hint="default" w:ascii="Times New Roman" w:hAnsi="Times New Roman" w:eastAsia="宋体" w:cs="Times New Roman"/>
                <w:color w:val="auto"/>
                <w:kern w:val="0"/>
                <w:sz w:val="24"/>
                <w:szCs w:val="24"/>
                <w:highlight w:val="none"/>
                <w:lang w:val="en-US" w:eastAsia="zh-CN" w:bidi="ar-SA"/>
              </w:rPr>
              <w:t>。</w:t>
            </w:r>
          </w:p>
          <w:p w14:paraId="2AEA3697">
            <w:pPr>
              <w:pStyle w:val="23"/>
              <w:bidi w:val="0"/>
              <w:rPr>
                <w:rFonts w:hint="eastAsia"/>
                <w:lang w:eastAsia="zh-CN"/>
              </w:rPr>
            </w:pPr>
            <w:r>
              <w:t>表</w:t>
            </w:r>
            <w:r>
              <w:fldChar w:fldCharType="begin"/>
            </w:r>
            <w:r>
              <w:instrText xml:space="preserve"> STYLEREF 1 \s \* ARABIC </w:instrText>
            </w:r>
            <w:r>
              <w:fldChar w:fldCharType="separate"/>
            </w:r>
            <w:r>
              <w:t>2</w:t>
            </w:r>
            <w:r>
              <w:fldChar w:fldCharType="end"/>
            </w:r>
            <w:r>
              <w:rPr>
                <w:rFonts w:hint="eastAsia"/>
                <w:lang w:val="en-US" w:eastAsia="zh-CN"/>
              </w:rPr>
              <w:t>-7</w:t>
            </w:r>
            <w:r>
              <w:rPr>
                <w:rFonts w:hint="eastAsia"/>
                <w:lang w:eastAsia="zh-CN"/>
              </w:rPr>
              <w:t>一期污水处理厂环保手续履行情况一览表</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78"/>
              <w:gridCol w:w="2690"/>
              <w:gridCol w:w="2864"/>
            </w:tblGrid>
            <w:tr w14:paraId="5C4A6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6" w:type="pct"/>
                  <w:vMerge w:val="restart"/>
                  <w:tcBorders>
                    <w:top w:val="single" w:color="000000" w:sz="4" w:space="0"/>
                    <w:left w:val="single" w:color="000000" w:sz="4" w:space="0"/>
                    <w:bottom w:val="single" w:color="000000" w:sz="4" w:space="0"/>
                    <w:right w:val="single" w:color="000000" w:sz="4" w:space="0"/>
                    <w:tl2br w:val="nil"/>
                  </w:tcBorders>
                  <w:shd w:val="clear" w:color="auto" w:fill="FFFFFF"/>
                  <w:noWrap w:val="0"/>
                  <w:vAlign w:val="center"/>
                </w:tcPr>
                <w:p w14:paraId="786BDC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kern w:val="0"/>
                      <w:sz w:val="21"/>
                      <w:szCs w:val="21"/>
                      <w:highlight w:val="none"/>
                      <w:vertAlign w:val="baseline"/>
                      <w:lang w:val="en-US" w:eastAsia="zh-CN"/>
                    </w:rPr>
                  </w:pPr>
                  <w:r>
                    <w:rPr>
                      <w:rFonts w:hint="default" w:ascii="Times New Roman" w:hAnsi="Times New Roman" w:eastAsia="宋体" w:cs="Times New Roman"/>
                      <w:b w:val="0"/>
                      <w:bCs w:val="0"/>
                      <w:color w:val="000000"/>
                      <w:sz w:val="21"/>
                      <w:szCs w:val="21"/>
                      <w:highlight w:val="none"/>
                      <w:lang w:val="en-US" w:eastAsia="zh-CN" w:bidi="zh-CN"/>
                    </w:rPr>
                    <w:t>项目名称</w:t>
                  </w:r>
                </w:p>
              </w:tc>
              <w:tc>
                <w:tcPr>
                  <w:tcW w:w="15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7864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kern w:val="0"/>
                      <w:sz w:val="21"/>
                      <w:szCs w:val="21"/>
                      <w:highlight w:val="none"/>
                      <w:vertAlign w:val="baseline"/>
                      <w:lang w:val="en-US" w:eastAsia="zh-CN"/>
                    </w:rPr>
                  </w:pPr>
                  <w:r>
                    <w:rPr>
                      <w:rFonts w:hint="default" w:ascii="Times New Roman" w:hAnsi="Times New Roman" w:eastAsia="宋体" w:cs="Times New Roman"/>
                      <w:b w:val="0"/>
                      <w:bCs w:val="0"/>
                      <w:color w:val="000000"/>
                      <w:sz w:val="21"/>
                      <w:szCs w:val="21"/>
                      <w:highlight w:val="none"/>
                      <w:lang w:val="en-US" w:eastAsia="zh-CN" w:bidi="zh-CN"/>
                    </w:rPr>
                    <w:t>环评文件</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7DE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kern w:val="0"/>
                      <w:sz w:val="21"/>
                      <w:szCs w:val="21"/>
                      <w:highlight w:val="none"/>
                      <w:vertAlign w:val="baseline"/>
                      <w:lang w:val="en-US" w:eastAsia="zh-CN"/>
                    </w:rPr>
                  </w:pPr>
                  <w:r>
                    <w:rPr>
                      <w:rFonts w:hint="default" w:ascii="Times New Roman" w:hAnsi="Times New Roman" w:eastAsia="宋体" w:cs="Times New Roman"/>
                      <w:b w:val="0"/>
                      <w:bCs w:val="0"/>
                      <w:color w:val="000000"/>
                      <w:sz w:val="21"/>
                      <w:szCs w:val="21"/>
                      <w:highlight w:val="none"/>
                      <w:lang w:val="en-US" w:eastAsia="zh-CN" w:bidi="zh-CN"/>
                    </w:rPr>
                    <w:t>验收文件</w:t>
                  </w:r>
                </w:p>
              </w:tc>
            </w:tr>
            <w:tr w14:paraId="2275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AA2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kern w:val="0"/>
                      <w:sz w:val="21"/>
                      <w:szCs w:val="21"/>
                      <w:highlight w:val="none"/>
                      <w:vertAlign w:val="baseline"/>
                      <w:lang w:val="en-US" w:eastAsia="zh-CN"/>
                    </w:rPr>
                  </w:pPr>
                </w:p>
              </w:tc>
              <w:tc>
                <w:tcPr>
                  <w:tcW w:w="15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C263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kern w:val="0"/>
                      <w:sz w:val="21"/>
                      <w:szCs w:val="21"/>
                      <w:highlight w:val="none"/>
                      <w:vertAlign w:val="baseline"/>
                      <w:lang w:val="en-US" w:eastAsia="zh-CN"/>
                    </w:rPr>
                  </w:pPr>
                  <w:r>
                    <w:rPr>
                      <w:rFonts w:hint="default" w:ascii="Times New Roman" w:hAnsi="Times New Roman" w:eastAsia="宋体" w:cs="Times New Roman"/>
                      <w:b w:val="0"/>
                      <w:color w:val="000000"/>
                      <w:sz w:val="21"/>
                      <w:szCs w:val="21"/>
                      <w:highlight w:val="none"/>
                      <w:lang w:val="en-US" w:eastAsia="zh-CN" w:bidi="zh-CN"/>
                    </w:rPr>
                    <w:t>审批部门、文号、审批日期</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11B4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kern w:val="0"/>
                      <w:sz w:val="21"/>
                      <w:szCs w:val="21"/>
                      <w:highlight w:val="none"/>
                      <w:vertAlign w:val="baseline"/>
                      <w:lang w:val="en-US" w:eastAsia="zh-CN"/>
                    </w:rPr>
                  </w:pPr>
                  <w:r>
                    <w:rPr>
                      <w:rFonts w:hint="default" w:ascii="Times New Roman" w:hAnsi="Times New Roman" w:eastAsia="宋体" w:cs="Times New Roman"/>
                      <w:b w:val="0"/>
                      <w:color w:val="000000"/>
                      <w:sz w:val="21"/>
                      <w:szCs w:val="21"/>
                      <w:highlight w:val="none"/>
                      <w:lang w:val="en-US" w:eastAsia="zh-CN" w:bidi="zh-CN"/>
                    </w:rPr>
                    <w:t>验收单位、验收时间</w:t>
                  </w:r>
                </w:p>
              </w:tc>
            </w:tr>
            <w:tr w14:paraId="72D7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6388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kern w:val="0"/>
                      <w:sz w:val="21"/>
                      <w:szCs w:val="21"/>
                      <w:highlight w:val="none"/>
                      <w:vertAlign w:val="baseline"/>
                      <w:lang w:val="en-US" w:eastAsia="zh-CN"/>
                    </w:rPr>
                  </w:pPr>
                  <w:r>
                    <w:rPr>
                      <w:rFonts w:hint="default" w:ascii="Times New Roman" w:hAnsi="Times New Roman" w:eastAsia="宋体" w:cs="Times New Roman"/>
                      <w:b w:val="0"/>
                      <w:bCs w:val="0"/>
                      <w:color w:val="000000"/>
                      <w:kern w:val="0"/>
                      <w:sz w:val="21"/>
                      <w:szCs w:val="21"/>
                      <w:highlight w:val="none"/>
                      <w:vertAlign w:val="baseline"/>
                      <w:lang w:val="en-US" w:eastAsia="zh-CN"/>
                    </w:rPr>
                    <w:t>巴州库尔勒石油石化园产业服务小镇配套基础设施项目</w:t>
                  </w:r>
                  <w:r>
                    <w:rPr>
                      <w:rFonts w:hint="default" w:ascii="Times New Roman" w:hAnsi="Times New Roman" w:cs="Times New Roman"/>
                      <w:b w:val="0"/>
                      <w:bCs w:val="0"/>
                      <w:color w:val="000000"/>
                      <w:kern w:val="0"/>
                      <w:sz w:val="21"/>
                      <w:szCs w:val="21"/>
                      <w:highlight w:val="none"/>
                      <w:vertAlign w:val="baseline"/>
                      <w:lang w:val="en-US" w:eastAsia="zh-CN"/>
                    </w:rPr>
                    <w:t>（</w:t>
                  </w:r>
                  <w:r>
                    <w:rPr>
                      <w:rFonts w:hint="default" w:ascii="Times New Roman" w:hAnsi="Times New Roman" w:eastAsia="宋体" w:cs="Times New Roman"/>
                      <w:b w:val="0"/>
                      <w:bCs w:val="0"/>
                      <w:color w:val="000000"/>
                      <w:kern w:val="0"/>
                      <w:sz w:val="21"/>
                      <w:szCs w:val="21"/>
                      <w:highlight w:val="none"/>
                      <w:vertAlign w:val="baseline"/>
                      <w:lang w:val="en-US" w:eastAsia="zh-CN"/>
                    </w:rPr>
                    <w:t>污水处理站及管网</w:t>
                  </w:r>
                  <w:r>
                    <w:rPr>
                      <w:rFonts w:hint="default" w:ascii="Times New Roman" w:hAnsi="Times New Roman" w:cs="Times New Roman"/>
                      <w:b w:val="0"/>
                      <w:bCs w:val="0"/>
                      <w:color w:val="000000"/>
                      <w:kern w:val="0"/>
                      <w:sz w:val="21"/>
                      <w:szCs w:val="21"/>
                      <w:highlight w:val="none"/>
                      <w:vertAlign w:val="baseline"/>
                      <w:lang w:val="en-US" w:eastAsia="zh-CN"/>
                    </w:rPr>
                    <w:t>）</w:t>
                  </w:r>
                  <w:r>
                    <w:rPr>
                      <w:rFonts w:hint="default" w:ascii="Times New Roman" w:hAnsi="Times New Roman" w:eastAsia="宋体" w:cs="Times New Roman"/>
                      <w:b w:val="0"/>
                      <w:bCs w:val="0"/>
                      <w:color w:val="000000"/>
                      <w:kern w:val="0"/>
                      <w:sz w:val="21"/>
                      <w:szCs w:val="21"/>
                      <w:highlight w:val="none"/>
                      <w:vertAlign w:val="baseline"/>
                      <w:lang w:val="en-US" w:eastAsia="zh-CN"/>
                    </w:rPr>
                    <w:t>环境影响报告表</w:t>
                  </w:r>
                </w:p>
              </w:tc>
              <w:tc>
                <w:tcPr>
                  <w:tcW w:w="15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3E0E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kern w:val="0"/>
                      <w:sz w:val="21"/>
                      <w:szCs w:val="21"/>
                      <w:highlight w:val="none"/>
                      <w:vertAlign w:val="baseline"/>
                      <w:lang w:val="en-US" w:eastAsia="zh-CN"/>
                    </w:rPr>
                  </w:pPr>
                  <w:r>
                    <w:rPr>
                      <w:rFonts w:hint="default" w:ascii="Times New Roman" w:hAnsi="Times New Roman" w:eastAsia="宋体" w:cs="Times New Roman"/>
                      <w:b w:val="0"/>
                      <w:bCs w:val="0"/>
                      <w:color w:val="000000"/>
                      <w:sz w:val="21"/>
                      <w:szCs w:val="21"/>
                      <w:highlight w:val="none"/>
                      <w:lang w:val="en-US" w:eastAsia="zh-CN"/>
                    </w:rPr>
                    <w:t>巴州生态环境</w:t>
                  </w:r>
                  <w:r>
                    <w:rPr>
                      <w:rFonts w:hint="default" w:ascii="Times New Roman" w:hAnsi="Times New Roman" w:eastAsia="宋体" w:cs="Times New Roman"/>
                      <w:b w:val="0"/>
                      <w:bCs w:val="0"/>
                      <w:color w:val="000000"/>
                      <w:sz w:val="21"/>
                      <w:szCs w:val="21"/>
                      <w:highlight w:val="none"/>
                    </w:rPr>
                    <w:t>局</w:t>
                  </w:r>
                </w:p>
                <w:p w14:paraId="748F36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kern w:val="0"/>
                      <w:sz w:val="21"/>
                      <w:szCs w:val="21"/>
                      <w:highlight w:val="none"/>
                      <w:vertAlign w:val="baseline"/>
                      <w:lang w:val="en-US" w:eastAsia="zh-CN"/>
                    </w:rPr>
                  </w:pPr>
                  <w:r>
                    <w:rPr>
                      <w:rFonts w:hint="default" w:ascii="Times New Roman" w:hAnsi="Times New Roman" w:eastAsia="宋体" w:cs="Times New Roman"/>
                      <w:b w:val="0"/>
                      <w:bCs w:val="0"/>
                      <w:color w:val="000000"/>
                      <w:kern w:val="0"/>
                      <w:sz w:val="21"/>
                      <w:szCs w:val="21"/>
                      <w:highlight w:val="none"/>
                      <w:vertAlign w:val="baseline"/>
                      <w:lang w:val="en-US" w:eastAsia="zh-CN"/>
                    </w:rPr>
                    <w:t>巴环评价函[2020]274号</w:t>
                  </w:r>
                </w:p>
                <w:p w14:paraId="2E25A1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kern w:val="0"/>
                      <w:sz w:val="21"/>
                      <w:szCs w:val="21"/>
                      <w:highlight w:val="none"/>
                      <w:vertAlign w:val="baseline"/>
                      <w:lang w:val="en-US" w:eastAsia="zh-CN"/>
                    </w:rPr>
                  </w:pPr>
                  <w:r>
                    <w:rPr>
                      <w:rFonts w:hint="default" w:ascii="Times New Roman" w:hAnsi="Times New Roman" w:eastAsia="宋体" w:cs="Times New Roman"/>
                      <w:b w:val="0"/>
                      <w:bCs w:val="0"/>
                      <w:color w:val="000000"/>
                      <w:kern w:val="0"/>
                      <w:sz w:val="21"/>
                      <w:szCs w:val="21"/>
                      <w:highlight w:val="none"/>
                      <w:vertAlign w:val="baseline"/>
                      <w:lang w:val="en-US" w:eastAsia="zh-CN"/>
                    </w:rPr>
                    <w:t>2020.9.7</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399A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kern w:val="0"/>
                      <w:sz w:val="21"/>
                      <w:szCs w:val="21"/>
                      <w:highlight w:val="none"/>
                      <w:vertAlign w:val="baseline"/>
                      <w:lang w:val="en-US" w:eastAsia="zh-CN"/>
                    </w:rPr>
                  </w:pPr>
                  <w:r>
                    <w:rPr>
                      <w:rFonts w:hint="default" w:ascii="Times New Roman" w:hAnsi="Times New Roman" w:eastAsia="宋体" w:cs="Times New Roman"/>
                      <w:b w:val="0"/>
                      <w:bCs w:val="0"/>
                      <w:color w:val="000000"/>
                      <w:kern w:val="0"/>
                      <w:sz w:val="21"/>
                      <w:szCs w:val="21"/>
                      <w:highlight w:val="none"/>
                      <w:vertAlign w:val="baseline"/>
                      <w:lang w:val="en-US" w:eastAsia="zh-CN"/>
                    </w:rPr>
                    <w:t>巴州永诚环境检测</w:t>
                  </w:r>
                  <w:r>
                    <w:rPr>
                      <w:rFonts w:hint="eastAsia" w:cs="Times New Roman"/>
                      <w:b w:val="0"/>
                      <w:bCs w:val="0"/>
                      <w:color w:val="000000"/>
                      <w:kern w:val="0"/>
                      <w:sz w:val="21"/>
                      <w:szCs w:val="21"/>
                      <w:highlight w:val="none"/>
                      <w:vertAlign w:val="baseline"/>
                      <w:lang w:val="en-US" w:eastAsia="zh-CN"/>
                    </w:rPr>
                    <w:t>技术服务有限公司、2026年8月15日</w:t>
                  </w:r>
                </w:p>
              </w:tc>
            </w:tr>
          </w:tbl>
          <w:p w14:paraId="643DBC41">
            <w:pPr>
              <w:keepNext w:val="0"/>
              <w:keepLines w:val="0"/>
              <w:pageBreakBefore w:val="0"/>
              <w:widowControl w:val="0"/>
              <w:numPr>
                <w:ilvl w:val="1"/>
                <w:numId w:val="0"/>
              </w:numPr>
              <w:kinsoku/>
              <w:wordWrap/>
              <w:overflowPunct/>
              <w:topLinePunct w:val="0"/>
              <w:autoSpaceDE/>
              <w:autoSpaceDN/>
              <w:bidi w:val="0"/>
              <w:adjustRightInd/>
              <w:snapToGrid/>
              <w:spacing w:before="157" w:beforeLines="50" w:line="360" w:lineRule="auto"/>
              <w:ind w:left="575" w:leftChars="194" w:hanging="168" w:hangingChars="70"/>
              <w:jc w:val="left"/>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cs="Times New Roman"/>
                <w:b w:val="0"/>
                <w:bCs w:val="0"/>
                <w:color w:val="auto"/>
                <w:kern w:val="2"/>
                <w:sz w:val="24"/>
                <w:szCs w:val="24"/>
                <w:lang w:val="en-US" w:eastAsia="zh-CN" w:bidi="ar-SA"/>
              </w:rPr>
              <w:t>2、</w:t>
            </w:r>
            <w:r>
              <w:rPr>
                <w:rFonts w:hint="eastAsia" w:ascii="Times New Roman" w:hAnsi="Times New Roman" w:eastAsia="宋体" w:cs="Times New Roman"/>
                <w:b w:val="0"/>
                <w:bCs w:val="0"/>
                <w:color w:val="auto"/>
                <w:kern w:val="2"/>
                <w:sz w:val="24"/>
                <w:szCs w:val="24"/>
                <w:highlight w:val="none"/>
                <w:lang w:val="en-US" w:eastAsia="zh-CN" w:bidi="ar-SA"/>
              </w:rPr>
              <w:t>排污许可情况</w:t>
            </w:r>
          </w:p>
          <w:p w14:paraId="4A4E7A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一期工程运营单位新疆上和恒源水务有限公司（污水厂）申领了简化管理排污许可证（证书编号：91652801MA77NTXW2F002U），有效期限自2025年5月8日至2030年5月7日止。</w:t>
            </w:r>
          </w:p>
          <w:p w14:paraId="54F429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cs="Times New Roman"/>
                <w:b/>
                <w:bCs/>
                <w:color w:val="auto"/>
                <w:kern w:val="2"/>
                <w:sz w:val="24"/>
                <w:szCs w:val="24"/>
                <w:highlight w:val="none"/>
                <w:lang w:val="en-US" w:eastAsia="zh-CN" w:bidi="ar-SA"/>
              </w:rPr>
            </w:pPr>
          </w:p>
          <w:p w14:paraId="608DE8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cs="Times New Roman"/>
                <w:b/>
                <w:bCs/>
                <w:color w:val="auto"/>
                <w:kern w:val="2"/>
                <w:sz w:val="24"/>
                <w:szCs w:val="24"/>
                <w:highlight w:val="none"/>
                <w:lang w:val="en-US" w:eastAsia="zh-CN" w:bidi="ar-SA"/>
              </w:rPr>
            </w:pPr>
          </w:p>
          <w:p w14:paraId="5E985DD1">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425" w:leftChars="0" w:hanging="425" w:firstLineChars="0"/>
              <w:jc w:val="left"/>
              <w:textAlignment w:val="auto"/>
              <w:rPr>
                <w:rFonts w:hint="eastAsia" w:ascii="Times New Roman" w:hAnsi="Times New Roman" w:eastAsia="宋体" w:cs="Times New Roman"/>
                <w:b/>
                <w:bCs/>
                <w:color w:val="auto"/>
                <w:kern w:val="2"/>
                <w:sz w:val="24"/>
                <w:szCs w:val="24"/>
                <w:highlight w:val="none"/>
                <w:lang w:val="en-US" w:eastAsia="zh-CN" w:bidi="ar-SA"/>
              </w:rPr>
            </w:pPr>
            <w:r>
              <w:rPr>
                <w:rFonts w:hint="eastAsia" w:cs="Times New Roman"/>
                <w:b/>
                <w:bCs/>
                <w:color w:val="auto"/>
                <w:kern w:val="2"/>
                <w:sz w:val="24"/>
                <w:szCs w:val="24"/>
                <w:highlight w:val="none"/>
                <w:lang w:val="en-US" w:eastAsia="zh-CN" w:bidi="ar-SA"/>
              </w:rPr>
              <w:t>2.14</w:t>
            </w:r>
            <w:r>
              <w:rPr>
                <w:rFonts w:hint="eastAsia" w:ascii="Times New Roman" w:hAnsi="Times New Roman" w:eastAsia="宋体" w:cs="Times New Roman"/>
                <w:b/>
                <w:bCs/>
                <w:color w:val="auto"/>
                <w:kern w:val="2"/>
                <w:sz w:val="24"/>
                <w:szCs w:val="24"/>
                <w:highlight w:val="none"/>
                <w:lang w:val="en-US" w:eastAsia="zh-CN" w:bidi="ar-SA"/>
              </w:rPr>
              <w:t>一期工程污染物达标排放情况</w:t>
            </w:r>
          </w:p>
          <w:p w14:paraId="0DB926B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本次引用一期竣工环保验收监测（现状）数据（巴州永诚环境检测技术服务有限公司，2026年7月27日～28日），对一期工程废气、废水、噪声排放现状进行分析。</w:t>
            </w:r>
          </w:p>
          <w:p w14:paraId="0240498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6" w:leftChars="202" w:hanging="2" w:hangingChars="1"/>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1、废气</w:t>
            </w:r>
          </w:p>
          <w:p w14:paraId="2B3CDA2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根据一期工程环评报告及其批复，一期工程厂界废气执行《城镇污水处理厂污染物排放标准》（GB18918-2002）及其修改单表4中二级标准（NH</w:t>
            </w:r>
            <w:r>
              <w:rPr>
                <w:rFonts w:hint="eastAsia" w:cs="Times New Roman"/>
                <w:color w:val="auto"/>
                <w:kern w:val="0"/>
                <w:sz w:val="24"/>
                <w:szCs w:val="24"/>
                <w:highlight w:val="none"/>
                <w:vertAlign w:val="subscript"/>
                <w:lang w:val="en-US" w:eastAsia="zh-CN"/>
              </w:rPr>
              <w:t>3</w:t>
            </w:r>
            <w:r>
              <w:rPr>
                <w:rFonts w:hint="eastAsia" w:ascii="Times New Roman" w:hAnsi="Times New Roman" w:eastAsia="宋体" w:cs="Times New Roman"/>
                <w:color w:val="auto"/>
                <w:kern w:val="0"/>
                <w:sz w:val="24"/>
                <w:szCs w:val="24"/>
                <w:highlight w:val="none"/>
                <w:lang w:val="en-US" w:eastAsia="zh-CN"/>
              </w:rPr>
              <w:t>≤1.5mg/m</w:t>
            </w:r>
            <w:r>
              <w:rPr>
                <w:rFonts w:hint="eastAsia" w:ascii="Times New Roman" w:hAnsi="Times New Roman" w:eastAsia="宋体" w:cs="Times New Roman"/>
                <w:color w:val="000000"/>
                <w:spacing w:val="-8"/>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，H</w:t>
            </w:r>
            <w:r>
              <w:rPr>
                <w:rFonts w:hint="default" w:ascii="Times New Roman" w:hAnsi="Times New Roman" w:eastAsia="宋体" w:cs="Times New Roman"/>
                <w:color w:val="auto"/>
                <w:kern w:val="0"/>
                <w:sz w:val="24"/>
                <w:szCs w:val="24"/>
                <w:highlight w:val="none"/>
                <w:vertAlign w:val="subscript"/>
                <w:lang w:val="en-US" w:eastAsia="zh-CN"/>
              </w:rPr>
              <w:t>2</w:t>
            </w:r>
            <w:r>
              <w:rPr>
                <w:rFonts w:hint="eastAsia" w:ascii="Times New Roman" w:hAnsi="Times New Roman" w:eastAsia="宋体" w:cs="Times New Roman"/>
                <w:color w:val="auto"/>
                <w:kern w:val="0"/>
                <w:sz w:val="24"/>
                <w:szCs w:val="24"/>
                <w:highlight w:val="none"/>
                <w:lang w:val="en-US" w:eastAsia="zh-CN"/>
              </w:rPr>
              <w:t>S≤0.06mg/m</w:t>
            </w:r>
            <w:r>
              <w:rPr>
                <w:rFonts w:hint="eastAsia" w:ascii="Times New Roman" w:hAnsi="Times New Roman" w:eastAsia="宋体" w:cs="Times New Roman"/>
                <w:color w:val="000000"/>
                <w:spacing w:val="-8"/>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，臭气浓度≤20（无量纲）</w:t>
            </w:r>
            <w:r>
              <w:rPr>
                <w:rFonts w:hint="eastAsia" w:cs="Times New Roman"/>
                <w:color w:val="auto"/>
                <w:kern w:val="0"/>
                <w:sz w:val="24"/>
                <w:szCs w:val="24"/>
                <w:highlight w:val="none"/>
                <w:lang w:val="en-US" w:eastAsia="zh-CN"/>
              </w:rPr>
              <w:t>，甲烷≤1%</w:t>
            </w:r>
            <w:r>
              <w:rPr>
                <w:rFonts w:hint="eastAsia"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根据运营单位委托巴州永诚环境检测技术服务有限公司于2026年7月27日~28日对一期工程厂界无组织监测数据，</w:t>
            </w:r>
            <w:r>
              <w:rPr>
                <w:rFonts w:hint="eastAsia" w:ascii="Times New Roman" w:hAnsi="Times New Roman" w:eastAsia="宋体" w:cs="Times New Roman"/>
                <w:color w:val="auto"/>
                <w:kern w:val="0"/>
                <w:sz w:val="24"/>
                <w:szCs w:val="24"/>
                <w:highlight w:val="none"/>
                <w:lang w:val="en-US" w:eastAsia="zh-CN"/>
              </w:rPr>
              <w:t>一期工程</w:t>
            </w:r>
            <w:r>
              <w:rPr>
                <w:rFonts w:hint="eastAsia" w:cs="Times New Roman"/>
                <w:color w:val="auto"/>
                <w:kern w:val="0"/>
                <w:sz w:val="24"/>
                <w:szCs w:val="24"/>
                <w:highlight w:val="none"/>
                <w:lang w:val="en-US" w:eastAsia="zh-CN"/>
              </w:rPr>
              <w:t>的无组织达到</w:t>
            </w:r>
            <w:r>
              <w:rPr>
                <w:rFonts w:hint="eastAsia" w:ascii="Times New Roman" w:hAnsi="Times New Roman" w:eastAsia="宋体" w:cs="Times New Roman"/>
                <w:color w:val="auto"/>
                <w:kern w:val="0"/>
                <w:sz w:val="24"/>
                <w:szCs w:val="24"/>
                <w:highlight w:val="none"/>
                <w:lang w:val="en-US" w:eastAsia="zh-CN"/>
              </w:rPr>
              <w:t>《城镇污水处理厂污染物排放标准》（GB18918-2002）及其修改单表4中二级标准（NH</w:t>
            </w:r>
            <w:r>
              <w:rPr>
                <w:rFonts w:hint="eastAsia" w:cs="Times New Roman"/>
                <w:color w:val="auto"/>
                <w:kern w:val="0"/>
                <w:sz w:val="24"/>
                <w:szCs w:val="24"/>
                <w:highlight w:val="none"/>
                <w:vertAlign w:val="subscript"/>
                <w:lang w:val="en-US" w:eastAsia="zh-CN"/>
              </w:rPr>
              <w:t>3</w:t>
            </w:r>
            <w:r>
              <w:rPr>
                <w:rFonts w:hint="eastAsia" w:ascii="Times New Roman" w:hAnsi="Times New Roman" w:eastAsia="宋体" w:cs="Times New Roman"/>
                <w:color w:val="auto"/>
                <w:kern w:val="0"/>
                <w:sz w:val="24"/>
                <w:szCs w:val="24"/>
                <w:highlight w:val="none"/>
                <w:lang w:val="en-US" w:eastAsia="zh-CN"/>
              </w:rPr>
              <w:t>≤1.5mg/m</w:t>
            </w:r>
            <w:r>
              <w:rPr>
                <w:rFonts w:hint="eastAsia" w:ascii="Times New Roman" w:hAnsi="Times New Roman" w:eastAsia="宋体" w:cs="Times New Roman"/>
                <w:color w:val="000000"/>
                <w:spacing w:val="-8"/>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，H</w:t>
            </w:r>
            <w:r>
              <w:rPr>
                <w:rFonts w:hint="default" w:ascii="Times New Roman" w:hAnsi="Times New Roman" w:eastAsia="宋体" w:cs="Times New Roman"/>
                <w:color w:val="auto"/>
                <w:kern w:val="0"/>
                <w:sz w:val="24"/>
                <w:szCs w:val="24"/>
                <w:highlight w:val="none"/>
                <w:vertAlign w:val="subscript"/>
                <w:lang w:val="en-US" w:eastAsia="zh-CN"/>
              </w:rPr>
              <w:t>2</w:t>
            </w:r>
            <w:r>
              <w:rPr>
                <w:rFonts w:hint="eastAsia" w:ascii="Times New Roman" w:hAnsi="Times New Roman" w:eastAsia="宋体" w:cs="Times New Roman"/>
                <w:color w:val="auto"/>
                <w:kern w:val="0"/>
                <w:sz w:val="24"/>
                <w:szCs w:val="24"/>
                <w:highlight w:val="none"/>
                <w:lang w:val="en-US" w:eastAsia="zh-CN"/>
              </w:rPr>
              <w:t>S≤0.06mg/m</w:t>
            </w:r>
            <w:r>
              <w:rPr>
                <w:rFonts w:hint="eastAsia" w:ascii="Times New Roman" w:hAnsi="Times New Roman" w:eastAsia="宋体" w:cs="Times New Roman"/>
                <w:color w:val="000000"/>
                <w:spacing w:val="-8"/>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，臭气浓度≤20（无量纲）</w:t>
            </w:r>
            <w:r>
              <w:rPr>
                <w:rFonts w:hint="eastAsia" w:cs="Times New Roman"/>
                <w:color w:val="auto"/>
                <w:kern w:val="0"/>
                <w:sz w:val="24"/>
                <w:szCs w:val="24"/>
                <w:highlight w:val="none"/>
                <w:lang w:val="en-US" w:eastAsia="zh-CN"/>
              </w:rPr>
              <w:t>，甲烷≤1%</w:t>
            </w:r>
            <w:r>
              <w:rPr>
                <w:rFonts w:hint="eastAsia" w:ascii="Times New Roman" w:hAnsi="Times New Roman" w:eastAsia="宋体" w:cs="Times New Roman"/>
                <w:color w:val="auto"/>
                <w:kern w:val="0"/>
                <w:sz w:val="24"/>
                <w:szCs w:val="24"/>
                <w:highlight w:val="none"/>
                <w:lang w:val="en-US" w:eastAsia="zh-CN"/>
              </w:rPr>
              <w:t>）标准，检测结果见表2-8：</w:t>
            </w:r>
          </w:p>
          <w:p w14:paraId="534130E6">
            <w:pPr>
              <w:pStyle w:val="23"/>
              <w:bidi w:val="0"/>
              <w:rPr>
                <w:rFonts w:hint="eastAsia"/>
                <w:color w:val="FF0000"/>
                <w:lang w:eastAsia="zh-CN"/>
              </w:rPr>
            </w:pPr>
            <w:r>
              <w:t>表</w:t>
            </w:r>
            <w:r>
              <w:fldChar w:fldCharType="begin"/>
            </w:r>
            <w:r>
              <w:instrText xml:space="preserve"> STYLEREF 1 \s \* ARABIC </w:instrText>
            </w:r>
            <w:r>
              <w:fldChar w:fldCharType="separate"/>
            </w:r>
            <w:r>
              <w:t>2</w:t>
            </w:r>
            <w:r>
              <w:fldChar w:fldCharType="end"/>
            </w:r>
            <w:r>
              <w:rPr>
                <w:rFonts w:hint="eastAsia"/>
                <w:lang w:val="en-US" w:eastAsia="zh-CN"/>
              </w:rPr>
              <w:t>-8</w:t>
            </w:r>
            <w:r>
              <w:rPr>
                <w:rFonts w:hint="eastAsia"/>
                <w:lang w:eastAsia="zh-CN"/>
              </w:rPr>
              <w:t>污水处理厂无组织废气检测结果一览表</w:t>
            </w:r>
          </w:p>
          <w:tbl>
            <w:tblPr>
              <w:tblStyle w:val="16"/>
              <w:tblW w:w="8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1110"/>
              <w:gridCol w:w="780"/>
              <w:gridCol w:w="1696"/>
              <w:gridCol w:w="1740"/>
              <w:gridCol w:w="795"/>
              <w:gridCol w:w="720"/>
              <w:gridCol w:w="790"/>
            </w:tblGrid>
            <w:tr w14:paraId="670C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15" w:type="pct"/>
                  <w:vMerge w:val="restart"/>
                  <w:noWrap w:val="0"/>
                  <w:vAlign w:val="center"/>
                </w:tcPr>
                <w:p w14:paraId="1E391C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eastAsia" w:ascii="Times New Roman" w:hAnsi="Times New Roman" w:eastAsia="宋体" w:cs="Times New Roman"/>
                      <w:b/>
                      <w:bCs/>
                      <w:color w:val="auto"/>
                      <w:kern w:val="0"/>
                      <w:sz w:val="21"/>
                      <w:szCs w:val="21"/>
                      <w:highlight w:val="none"/>
                      <w:vertAlign w:val="baseline"/>
                      <w:lang w:val="en-US" w:eastAsia="zh-CN"/>
                    </w:rPr>
                    <w:t>监测点位</w:t>
                  </w:r>
                </w:p>
              </w:tc>
              <w:tc>
                <w:tcPr>
                  <w:tcW w:w="652" w:type="pct"/>
                  <w:vMerge w:val="restart"/>
                  <w:noWrap w:val="0"/>
                  <w:vAlign w:val="center"/>
                </w:tcPr>
                <w:p w14:paraId="27667C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eastAsia" w:ascii="Times New Roman" w:hAnsi="Times New Roman" w:eastAsia="宋体" w:cs="Times New Roman"/>
                      <w:b/>
                      <w:bCs/>
                      <w:color w:val="auto"/>
                      <w:kern w:val="0"/>
                      <w:sz w:val="21"/>
                      <w:szCs w:val="21"/>
                      <w:highlight w:val="none"/>
                      <w:vertAlign w:val="baseline"/>
                      <w:lang w:val="en-US" w:eastAsia="zh-CN"/>
                    </w:rPr>
                    <w:t>检测项目</w:t>
                  </w:r>
                </w:p>
              </w:tc>
              <w:tc>
                <w:tcPr>
                  <w:tcW w:w="458" w:type="pct"/>
                  <w:vMerge w:val="restart"/>
                  <w:noWrap w:val="0"/>
                  <w:vAlign w:val="center"/>
                </w:tcPr>
                <w:p w14:paraId="4F4D57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eastAsia" w:ascii="Times New Roman" w:hAnsi="Times New Roman" w:eastAsia="宋体" w:cs="Times New Roman"/>
                      <w:b/>
                      <w:bCs/>
                      <w:color w:val="auto"/>
                      <w:kern w:val="0"/>
                      <w:sz w:val="21"/>
                      <w:szCs w:val="21"/>
                      <w:highlight w:val="none"/>
                      <w:vertAlign w:val="baseline"/>
                      <w:lang w:val="en-US" w:eastAsia="zh-CN"/>
                    </w:rPr>
                    <w:t>单位</w:t>
                  </w:r>
                </w:p>
              </w:tc>
              <w:tc>
                <w:tcPr>
                  <w:tcW w:w="996" w:type="pct"/>
                  <w:vMerge w:val="restart"/>
                  <w:noWrap w:val="0"/>
                  <w:vAlign w:val="center"/>
                </w:tcPr>
                <w:p w14:paraId="196774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eastAsia" w:cs="Times New Roman"/>
                      <w:b/>
                      <w:bCs/>
                      <w:color w:val="auto"/>
                      <w:kern w:val="0"/>
                      <w:sz w:val="21"/>
                      <w:szCs w:val="21"/>
                      <w:highlight w:val="none"/>
                      <w:vertAlign w:val="baseline"/>
                      <w:lang w:val="en-US" w:eastAsia="zh-CN"/>
                    </w:rPr>
                    <w:t>2026.07.27</w:t>
                  </w:r>
                </w:p>
              </w:tc>
              <w:tc>
                <w:tcPr>
                  <w:tcW w:w="1022" w:type="pct"/>
                  <w:vMerge w:val="restart"/>
                  <w:noWrap w:val="0"/>
                  <w:vAlign w:val="center"/>
                </w:tcPr>
                <w:p w14:paraId="207E15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b/>
                      <w:bCs/>
                      <w:color w:val="auto"/>
                      <w:kern w:val="0"/>
                      <w:sz w:val="21"/>
                      <w:szCs w:val="21"/>
                      <w:highlight w:val="none"/>
                      <w:vertAlign w:val="baseline"/>
                      <w:lang w:val="en-US" w:eastAsia="zh-CN"/>
                    </w:rPr>
                  </w:pPr>
                  <w:r>
                    <w:rPr>
                      <w:rFonts w:hint="eastAsia" w:cs="Times New Roman"/>
                      <w:b/>
                      <w:bCs/>
                      <w:color w:val="auto"/>
                      <w:kern w:val="0"/>
                      <w:sz w:val="21"/>
                      <w:szCs w:val="21"/>
                      <w:highlight w:val="none"/>
                      <w:vertAlign w:val="baseline"/>
                      <w:lang w:val="en-US" w:eastAsia="zh-CN"/>
                    </w:rPr>
                    <w:t>2026.07.28</w:t>
                  </w:r>
                </w:p>
              </w:tc>
              <w:tc>
                <w:tcPr>
                  <w:tcW w:w="467" w:type="pct"/>
                  <w:vMerge w:val="restart"/>
                  <w:noWrap w:val="0"/>
                  <w:vAlign w:val="center"/>
                </w:tcPr>
                <w:p w14:paraId="679143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1"/>
                      <w:highlight w:val="none"/>
                      <w:vertAlign w:val="baseline"/>
                      <w:lang w:val="en-US" w:eastAsia="zh-CN"/>
                    </w:rPr>
                  </w:pPr>
                  <w:r>
                    <w:rPr>
                      <w:rFonts w:hint="eastAsia" w:ascii="Times New Roman" w:hAnsi="Times New Roman" w:eastAsia="宋体" w:cs="Times New Roman"/>
                      <w:b/>
                      <w:bCs/>
                      <w:color w:val="auto"/>
                      <w:kern w:val="0"/>
                      <w:sz w:val="21"/>
                      <w:szCs w:val="21"/>
                      <w:highlight w:val="none"/>
                      <w:vertAlign w:val="baseline"/>
                      <w:lang w:val="en-US" w:eastAsia="zh-CN"/>
                    </w:rPr>
                    <w:t>标准限值</w:t>
                  </w:r>
                </w:p>
              </w:tc>
              <w:tc>
                <w:tcPr>
                  <w:tcW w:w="423" w:type="pct"/>
                  <w:vMerge w:val="restart"/>
                  <w:noWrap w:val="0"/>
                  <w:vAlign w:val="center"/>
                </w:tcPr>
                <w:p w14:paraId="6149A6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eastAsia" w:ascii="Times New Roman" w:hAnsi="Times New Roman" w:eastAsia="宋体" w:cs="Times New Roman"/>
                      <w:b/>
                      <w:bCs/>
                      <w:color w:val="auto"/>
                      <w:kern w:val="0"/>
                      <w:sz w:val="21"/>
                      <w:szCs w:val="21"/>
                      <w:highlight w:val="none"/>
                      <w:vertAlign w:val="baseline"/>
                      <w:lang w:val="en-US" w:eastAsia="zh-CN"/>
                    </w:rPr>
                    <w:t>达标情况</w:t>
                  </w:r>
                </w:p>
              </w:tc>
              <w:tc>
                <w:tcPr>
                  <w:tcW w:w="464" w:type="pct"/>
                  <w:vMerge w:val="restart"/>
                  <w:noWrap w:val="0"/>
                  <w:vAlign w:val="center"/>
                </w:tcPr>
                <w:p w14:paraId="294795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highlight w:val="none"/>
                      <w:vertAlign w:val="baseline"/>
                      <w:lang w:val="en-US" w:eastAsia="zh-CN"/>
                    </w:rPr>
                  </w:pPr>
                  <w:r>
                    <w:rPr>
                      <w:rFonts w:hint="eastAsia" w:ascii="Times New Roman" w:hAnsi="Times New Roman" w:eastAsia="宋体" w:cs="Times New Roman"/>
                      <w:b/>
                      <w:bCs/>
                      <w:color w:val="auto"/>
                      <w:kern w:val="0"/>
                      <w:sz w:val="21"/>
                      <w:szCs w:val="21"/>
                      <w:highlight w:val="none"/>
                      <w:vertAlign w:val="baseline"/>
                      <w:lang w:val="en-US" w:eastAsia="zh-CN"/>
                    </w:rPr>
                    <w:t>执行标准</w:t>
                  </w:r>
                </w:p>
              </w:tc>
            </w:tr>
            <w:tr w14:paraId="293A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15" w:type="pct"/>
                  <w:vMerge w:val="continue"/>
                  <w:noWrap w:val="0"/>
                  <w:vAlign w:val="center"/>
                </w:tcPr>
                <w:p w14:paraId="357E3C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p>
              </w:tc>
              <w:tc>
                <w:tcPr>
                  <w:tcW w:w="652" w:type="pct"/>
                  <w:vMerge w:val="continue"/>
                  <w:noWrap w:val="0"/>
                  <w:vAlign w:val="center"/>
                </w:tcPr>
                <w:p w14:paraId="2386F0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p>
              </w:tc>
              <w:tc>
                <w:tcPr>
                  <w:tcW w:w="458" w:type="pct"/>
                  <w:vMerge w:val="continue"/>
                  <w:noWrap w:val="0"/>
                  <w:vAlign w:val="center"/>
                </w:tcPr>
                <w:p w14:paraId="1C685C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p>
              </w:tc>
              <w:tc>
                <w:tcPr>
                  <w:tcW w:w="996" w:type="pct"/>
                  <w:vMerge w:val="continue"/>
                  <w:noWrap w:val="0"/>
                  <w:vAlign w:val="center"/>
                </w:tcPr>
                <w:p w14:paraId="6FF3F0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p>
              </w:tc>
              <w:tc>
                <w:tcPr>
                  <w:tcW w:w="1022" w:type="pct"/>
                  <w:vMerge w:val="continue"/>
                  <w:noWrap w:val="0"/>
                  <w:vAlign w:val="center"/>
                </w:tcPr>
                <w:p w14:paraId="2090D5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p>
              </w:tc>
              <w:tc>
                <w:tcPr>
                  <w:tcW w:w="467" w:type="pct"/>
                  <w:vMerge w:val="continue"/>
                  <w:noWrap w:val="0"/>
                  <w:vAlign w:val="center"/>
                </w:tcPr>
                <w:p w14:paraId="07421F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p>
              </w:tc>
              <w:tc>
                <w:tcPr>
                  <w:tcW w:w="423" w:type="pct"/>
                  <w:vMerge w:val="continue"/>
                  <w:noWrap w:val="0"/>
                  <w:vAlign w:val="center"/>
                </w:tcPr>
                <w:p w14:paraId="1642C8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p>
              </w:tc>
              <w:tc>
                <w:tcPr>
                  <w:tcW w:w="464" w:type="pct"/>
                  <w:vMerge w:val="continue"/>
                  <w:noWrap w:val="0"/>
                  <w:vAlign w:val="center"/>
                </w:tcPr>
                <w:p w14:paraId="080826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p>
              </w:tc>
            </w:tr>
            <w:tr w14:paraId="2D7E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 w:type="pct"/>
                  <w:vMerge w:val="restart"/>
                  <w:noWrap w:val="0"/>
                  <w:vAlign w:val="center"/>
                </w:tcPr>
                <w:p w14:paraId="23078065">
                  <w:pPr>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cs="Times New Roman"/>
                      <w:snapToGrid w:val="0"/>
                      <w:color w:val="auto"/>
                      <w:sz w:val="21"/>
                      <w:szCs w:val="21"/>
                      <w:highlight w:val="none"/>
                      <w:lang w:val="en-US" w:eastAsia="zh-CN"/>
                    </w:rPr>
                    <w:t>厂界上风向1#</w:t>
                  </w:r>
                </w:p>
              </w:tc>
              <w:tc>
                <w:tcPr>
                  <w:tcW w:w="652" w:type="pct"/>
                  <w:noWrap w:val="0"/>
                  <w:vAlign w:val="center"/>
                </w:tcPr>
                <w:p w14:paraId="6E04DB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rPr>
                    <w:t>H</w:t>
                  </w:r>
                  <w:r>
                    <w:rPr>
                      <w:rFonts w:hint="default" w:ascii="Times New Roman" w:hAnsi="Times New Roman" w:eastAsia="宋体" w:cs="Times New Roman"/>
                      <w:color w:val="auto"/>
                      <w:kern w:val="0"/>
                      <w:sz w:val="21"/>
                      <w:szCs w:val="21"/>
                      <w:highlight w:val="none"/>
                      <w:vertAlign w:val="subscript"/>
                      <w:lang w:val="en-US" w:eastAsia="zh-CN"/>
                    </w:rPr>
                    <w:t>2</w:t>
                  </w:r>
                  <w:r>
                    <w:rPr>
                      <w:rFonts w:hint="default" w:ascii="Times New Roman" w:hAnsi="Times New Roman" w:eastAsia="宋体" w:cs="Times New Roman"/>
                      <w:color w:val="auto"/>
                      <w:kern w:val="0"/>
                      <w:sz w:val="21"/>
                      <w:szCs w:val="21"/>
                      <w:highlight w:val="none"/>
                      <w:lang w:val="en-US" w:eastAsia="zh-CN"/>
                    </w:rPr>
                    <w:t>S</w:t>
                  </w:r>
                </w:p>
              </w:tc>
              <w:tc>
                <w:tcPr>
                  <w:tcW w:w="458" w:type="pct"/>
                  <w:noWrap w:val="0"/>
                  <w:vAlign w:val="center"/>
                </w:tcPr>
                <w:p w14:paraId="335F83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mg/m</w:t>
                  </w:r>
                  <w:r>
                    <w:rPr>
                      <w:rFonts w:hint="eastAsia" w:ascii="Times New Roman" w:hAnsi="Times New Roman" w:eastAsia="宋体" w:cs="Times New Roman"/>
                      <w:color w:val="000000"/>
                      <w:spacing w:val="-8"/>
                      <w:sz w:val="21"/>
                      <w:szCs w:val="21"/>
                      <w:highlight w:val="none"/>
                      <w:vertAlign w:val="superscript"/>
                      <w:lang w:val="en-US" w:eastAsia="zh-CN"/>
                    </w:rPr>
                    <w:t>3</w:t>
                  </w:r>
                </w:p>
              </w:tc>
              <w:tc>
                <w:tcPr>
                  <w:tcW w:w="996" w:type="pct"/>
                  <w:noWrap w:val="0"/>
                  <w:vAlign w:val="center"/>
                </w:tcPr>
                <w:p w14:paraId="1AD2AF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未检出</w:t>
                  </w:r>
                </w:p>
              </w:tc>
              <w:tc>
                <w:tcPr>
                  <w:tcW w:w="1022" w:type="pct"/>
                  <w:noWrap w:val="0"/>
                  <w:vAlign w:val="center"/>
                </w:tcPr>
                <w:p w14:paraId="53570F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未检出</w:t>
                  </w:r>
                </w:p>
              </w:tc>
              <w:tc>
                <w:tcPr>
                  <w:tcW w:w="467" w:type="pct"/>
                  <w:noWrap w:val="0"/>
                  <w:vAlign w:val="center"/>
                </w:tcPr>
                <w:p w14:paraId="08FC64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≤0.06</w:t>
                  </w:r>
                </w:p>
              </w:tc>
              <w:tc>
                <w:tcPr>
                  <w:tcW w:w="423" w:type="pct"/>
                  <w:noWrap w:val="0"/>
                  <w:vAlign w:val="center"/>
                </w:tcPr>
                <w:p w14:paraId="332C5C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达标</w:t>
                  </w:r>
                </w:p>
              </w:tc>
              <w:tc>
                <w:tcPr>
                  <w:tcW w:w="464" w:type="pct"/>
                  <w:vMerge w:val="restart"/>
                  <w:noWrap w:val="0"/>
                  <w:vAlign w:val="center"/>
                </w:tcPr>
                <w:p w14:paraId="6F2EE6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《城镇污水处理厂污染物排放标准》（GB18918-2002）及其修改单表4二级标准</w:t>
                  </w:r>
                </w:p>
              </w:tc>
            </w:tr>
            <w:tr w14:paraId="09C9D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515" w:type="pct"/>
                  <w:vMerge w:val="continue"/>
                  <w:noWrap w:val="0"/>
                  <w:vAlign w:val="center"/>
                </w:tcPr>
                <w:p w14:paraId="121D4DC4">
                  <w:pPr>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vertAlign w:val="baseline"/>
                      <w:lang w:val="en-US" w:eastAsia="zh-CN"/>
                    </w:rPr>
                  </w:pPr>
                </w:p>
              </w:tc>
              <w:tc>
                <w:tcPr>
                  <w:tcW w:w="652" w:type="pct"/>
                  <w:noWrap w:val="0"/>
                  <w:vAlign w:val="center"/>
                </w:tcPr>
                <w:p w14:paraId="7C7057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subscript"/>
                      <w:lang w:val="en-US" w:eastAsia="zh-CN" w:bidi="ar-SA"/>
                    </w:rPr>
                  </w:pPr>
                  <w:r>
                    <w:rPr>
                      <w:rFonts w:hint="default" w:ascii="Times New Roman" w:hAnsi="Times New Roman" w:eastAsia="宋体" w:cs="Times New Roman"/>
                      <w:color w:val="auto"/>
                      <w:kern w:val="0"/>
                      <w:sz w:val="21"/>
                      <w:szCs w:val="21"/>
                      <w:highlight w:val="none"/>
                      <w:lang w:val="en-US" w:eastAsia="zh-CN"/>
                    </w:rPr>
                    <w:t>NH</w:t>
                  </w:r>
                  <w:r>
                    <w:rPr>
                      <w:rFonts w:hint="eastAsia" w:cs="Times New Roman"/>
                      <w:color w:val="auto"/>
                      <w:kern w:val="0"/>
                      <w:sz w:val="21"/>
                      <w:szCs w:val="21"/>
                      <w:highlight w:val="none"/>
                      <w:vertAlign w:val="subscript"/>
                      <w:lang w:val="en-US" w:eastAsia="zh-CN"/>
                    </w:rPr>
                    <w:t>3</w:t>
                  </w:r>
                </w:p>
              </w:tc>
              <w:tc>
                <w:tcPr>
                  <w:tcW w:w="458" w:type="pct"/>
                  <w:noWrap w:val="0"/>
                  <w:vAlign w:val="center"/>
                </w:tcPr>
                <w:p w14:paraId="44E68B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mg/m</w:t>
                  </w:r>
                  <w:r>
                    <w:rPr>
                      <w:rFonts w:hint="eastAsia" w:ascii="Times New Roman" w:hAnsi="Times New Roman" w:eastAsia="宋体" w:cs="Times New Roman"/>
                      <w:color w:val="000000"/>
                      <w:spacing w:val="-8"/>
                      <w:sz w:val="21"/>
                      <w:szCs w:val="21"/>
                      <w:highlight w:val="none"/>
                      <w:vertAlign w:val="superscript"/>
                      <w:lang w:val="en-US" w:eastAsia="zh-CN"/>
                    </w:rPr>
                    <w:t>3</w:t>
                  </w:r>
                </w:p>
              </w:tc>
              <w:tc>
                <w:tcPr>
                  <w:tcW w:w="996" w:type="pct"/>
                  <w:noWrap w:val="0"/>
                  <w:vAlign w:val="center"/>
                </w:tcPr>
                <w:p w14:paraId="6BDCC9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0.177~0.187</w:t>
                  </w:r>
                </w:p>
              </w:tc>
              <w:tc>
                <w:tcPr>
                  <w:tcW w:w="1022" w:type="pct"/>
                  <w:noWrap w:val="0"/>
                  <w:vAlign w:val="center"/>
                </w:tcPr>
                <w:p w14:paraId="358E55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0.208~0.220</w:t>
                  </w:r>
                </w:p>
              </w:tc>
              <w:tc>
                <w:tcPr>
                  <w:tcW w:w="467" w:type="pct"/>
                  <w:noWrap w:val="0"/>
                  <w:vAlign w:val="center"/>
                </w:tcPr>
                <w:p w14:paraId="029D57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≤1.5</w:t>
                  </w:r>
                </w:p>
              </w:tc>
              <w:tc>
                <w:tcPr>
                  <w:tcW w:w="423" w:type="pct"/>
                  <w:noWrap w:val="0"/>
                  <w:vAlign w:val="center"/>
                </w:tcPr>
                <w:p w14:paraId="731DD7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达标</w:t>
                  </w:r>
                </w:p>
              </w:tc>
              <w:tc>
                <w:tcPr>
                  <w:tcW w:w="464" w:type="pct"/>
                  <w:vMerge w:val="continue"/>
                  <w:noWrap w:val="0"/>
                  <w:vAlign w:val="center"/>
                </w:tcPr>
                <w:p w14:paraId="21C2B6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p>
              </w:tc>
            </w:tr>
            <w:tr w14:paraId="19E5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 w:type="pct"/>
                  <w:vMerge w:val="continue"/>
                  <w:noWrap w:val="0"/>
                  <w:vAlign w:val="center"/>
                </w:tcPr>
                <w:p w14:paraId="337CD000">
                  <w:pPr>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vertAlign w:val="baseline"/>
                      <w:lang w:val="en-US" w:eastAsia="zh-CN"/>
                    </w:rPr>
                  </w:pPr>
                </w:p>
              </w:tc>
              <w:tc>
                <w:tcPr>
                  <w:tcW w:w="652" w:type="pct"/>
                  <w:noWrap w:val="0"/>
                  <w:vAlign w:val="center"/>
                </w:tcPr>
                <w:p w14:paraId="0E2DB9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rPr>
                    <w:t>臭气浓度</w:t>
                  </w:r>
                </w:p>
              </w:tc>
              <w:tc>
                <w:tcPr>
                  <w:tcW w:w="458" w:type="pct"/>
                  <w:noWrap w:val="0"/>
                  <w:vAlign w:val="center"/>
                </w:tcPr>
                <w:p w14:paraId="2B9DB7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w:t>
                  </w:r>
                </w:p>
              </w:tc>
              <w:tc>
                <w:tcPr>
                  <w:tcW w:w="996" w:type="pct"/>
                  <w:noWrap w:val="0"/>
                  <w:vAlign w:val="center"/>
                </w:tcPr>
                <w:p w14:paraId="7AC1AC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12~13</w:t>
                  </w:r>
                </w:p>
              </w:tc>
              <w:tc>
                <w:tcPr>
                  <w:tcW w:w="1022" w:type="pct"/>
                  <w:noWrap w:val="0"/>
                  <w:vAlign w:val="center"/>
                </w:tcPr>
                <w:p w14:paraId="0F4D28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12~16</w:t>
                  </w:r>
                </w:p>
              </w:tc>
              <w:tc>
                <w:tcPr>
                  <w:tcW w:w="467" w:type="pct"/>
                  <w:noWrap w:val="0"/>
                  <w:vAlign w:val="center"/>
                </w:tcPr>
                <w:p w14:paraId="0044D7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≤20</w:t>
                  </w:r>
                </w:p>
              </w:tc>
              <w:tc>
                <w:tcPr>
                  <w:tcW w:w="423" w:type="pct"/>
                  <w:noWrap w:val="0"/>
                  <w:vAlign w:val="center"/>
                </w:tcPr>
                <w:p w14:paraId="666C1F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达标</w:t>
                  </w:r>
                </w:p>
              </w:tc>
              <w:tc>
                <w:tcPr>
                  <w:tcW w:w="464" w:type="pct"/>
                  <w:vMerge w:val="continue"/>
                  <w:noWrap w:val="0"/>
                  <w:vAlign w:val="center"/>
                </w:tcPr>
                <w:p w14:paraId="2E3C25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p>
              </w:tc>
            </w:tr>
            <w:tr w14:paraId="1AF33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 w:type="pct"/>
                  <w:vMerge w:val="restart"/>
                  <w:noWrap w:val="0"/>
                  <w:vAlign w:val="center"/>
                </w:tcPr>
                <w:p w14:paraId="4EEFE3A5">
                  <w:pPr>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cs="Times New Roman"/>
                      <w:snapToGrid w:val="0"/>
                      <w:color w:val="auto"/>
                      <w:sz w:val="21"/>
                      <w:szCs w:val="21"/>
                      <w:highlight w:val="none"/>
                      <w:lang w:val="en-US" w:eastAsia="zh-CN"/>
                    </w:rPr>
                    <w:t>厂界下风向</w:t>
                  </w:r>
                  <w:r>
                    <w:rPr>
                      <w:rFonts w:hint="default" w:ascii="Times New Roman" w:hAnsi="Times New Roman" w:cs="Times New Roman"/>
                      <w:snapToGrid w:val="0"/>
                      <w:color w:val="auto"/>
                      <w:sz w:val="21"/>
                      <w:szCs w:val="21"/>
                      <w:highlight w:val="none"/>
                      <w:lang w:val="en-US" w:eastAsia="zh-CN"/>
                    </w:rPr>
                    <w:t>2#</w:t>
                  </w:r>
                </w:p>
              </w:tc>
              <w:tc>
                <w:tcPr>
                  <w:tcW w:w="652" w:type="pct"/>
                  <w:noWrap w:val="0"/>
                  <w:vAlign w:val="center"/>
                </w:tcPr>
                <w:p w14:paraId="0B4C58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rPr>
                    <w:t>H</w:t>
                  </w:r>
                  <w:r>
                    <w:rPr>
                      <w:rFonts w:hint="default" w:ascii="Times New Roman" w:hAnsi="Times New Roman" w:eastAsia="宋体" w:cs="Times New Roman"/>
                      <w:color w:val="auto"/>
                      <w:kern w:val="0"/>
                      <w:sz w:val="21"/>
                      <w:szCs w:val="21"/>
                      <w:highlight w:val="none"/>
                      <w:vertAlign w:val="subscript"/>
                      <w:lang w:val="en-US" w:eastAsia="zh-CN"/>
                    </w:rPr>
                    <w:t>2</w:t>
                  </w:r>
                  <w:r>
                    <w:rPr>
                      <w:rFonts w:hint="default" w:ascii="Times New Roman" w:hAnsi="Times New Roman" w:eastAsia="宋体" w:cs="Times New Roman"/>
                      <w:color w:val="auto"/>
                      <w:kern w:val="0"/>
                      <w:sz w:val="21"/>
                      <w:szCs w:val="21"/>
                      <w:highlight w:val="none"/>
                      <w:lang w:val="en-US" w:eastAsia="zh-CN"/>
                    </w:rPr>
                    <w:t>S</w:t>
                  </w:r>
                </w:p>
              </w:tc>
              <w:tc>
                <w:tcPr>
                  <w:tcW w:w="458" w:type="pct"/>
                  <w:noWrap w:val="0"/>
                  <w:vAlign w:val="center"/>
                </w:tcPr>
                <w:p w14:paraId="232E03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mg/m</w:t>
                  </w:r>
                  <w:r>
                    <w:rPr>
                      <w:rFonts w:hint="eastAsia" w:ascii="Times New Roman" w:hAnsi="Times New Roman" w:eastAsia="宋体" w:cs="Times New Roman"/>
                      <w:color w:val="000000"/>
                      <w:spacing w:val="-8"/>
                      <w:sz w:val="21"/>
                      <w:szCs w:val="21"/>
                      <w:highlight w:val="none"/>
                      <w:vertAlign w:val="superscript"/>
                      <w:lang w:val="en-US" w:eastAsia="zh-CN"/>
                    </w:rPr>
                    <w:t>3</w:t>
                  </w:r>
                </w:p>
              </w:tc>
              <w:tc>
                <w:tcPr>
                  <w:tcW w:w="996" w:type="pct"/>
                  <w:noWrap w:val="0"/>
                  <w:vAlign w:val="center"/>
                </w:tcPr>
                <w:p w14:paraId="371F63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未检出</w:t>
                  </w:r>
                </w:p>
              </w:tc>
              <w:tc>
                <w:tcPr>
                  <w:tcW w:w="1022" w:type="pct"/>
                  <w:noWrap w:val="0"/>
                  <w:vAlign w:val="center"/>
                </w:tcPr>
                <w:p w14:paraId="47BBCF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未检出</w:t>
                  </w:r>
                </w:p>
              </w:tc>
              <w:tc>
                <w:tcPr>
                  <w:tcW w:w="467" w:type="pct"/>
                  <w:noWrap w:val="0"/>
                  <w:vAlign w:val="center"/>
                </w:tcPr>
                <w:p w14:paraId="5B1098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≤0.06</w:t>
                  </w:r>
                </w:p>
              </w:tc>
              <w:tc>
                <w:tcPr>
                  <w:tcW w:w="423" w:type="pct"/>
                  <w:noWrap w:val="0"/>
                  <w:vAlign w:val="center"/>
                </w:tcPr>
                <w:p w14:paraId="004D8F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达标</w:t>
                  </w:r>
                </w:p>
              </w:tc>
              <w:tc>
                <w:tcPr>
                  <w:tcW w:w="464" w:type="pct"/>
                  <w:vMerge w:val="continue"/>
                  <w:noWrap w:val="0"/>
                  <w:vAlign w:val="center"/>
                </w:tcPr>
                <w:p w14:paraId="48D522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p>
              </w:tc>
            </w:tr>
            <w:tr w14:paraId="59AC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 w:type="pct"/>
                  <w:vMerge w:val="continue"/>
                  <w:noWrap w:val="0"/>
                  <w:vAlign w:val="center"/>
                </w:tcPr>
                <w:p w14:paraId="0A1CC4EC">
                  <w:pPr>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652" w:type="pct"/>
                  <w:noWrap w:val="0"/>
                  <w:vAlign w:val="center"/>
                </w:tcPr>
                <w:p w14:paraId="7DCCC6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rPr>
                    <w:t>NH</w:t>
                  </w:r>
                  <w:r>
                    <w:rPr>
                      <w:rFonts w:hint="eastAsia" w:ascii="Times New Roman" w:hAnsi="Times New Roman" w:eastAsia="宋体" w:cs="Times New Roman"/>
                      <w:color w:val="000000"/>
                      <w:spacing w:val="-8"/>
                      <w:sz w:val="21"/>
                      <w:szCs w:val="21"/>
                      <w:highlight w:val="none"/>
                      <w:vertAlign w:val="subscript"/>
                      <w:lang w:val="en-US" w:eastAsia="zh-CN"/>
                    </w:rPr>
                    <w:t>3</w:t>
                  </w:r>
                </w:p>
              </w:tc>
              <w:tc>
                <w:tcPr>
                  <w:tcW w:w="458" w:type="pct"/>
                  <w:noWrap w:val="0"/>
                  <w:vAlign w:val="center"/>
                </w:tcPr>
                <w:p w14:paraId="3E469E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mg/m</w:t>
                  </w:r>
                  <w:r>
                    <w:rPr>
                      <w:rFonts w:hint="eastAsia" w:ascii="Times New Roman" w:hAnsi="Times New Roman" w:eastAsia="宋体" w:cs="Times New Roman"/>
                      <w:color w:val="000000"/>
                      <w:spacing w:val="-8"/>
                      <w:sz w:val="21"/>
                      <w:szCs w:val="21"/>
                      <w:highlight w:val="none"/>
                      <w:vertAlign w:val="superscript"/>
                      <w:lang w:val="en-US" w:eastAsia="zh-CN"/>
                    </w:rPr>
                    <w:t>3</w:t>
                  </w:r>
                </w:p>
              </w:tc>
              <w:tc>
                <w:tcPr>
                  <w:tcW w:w="996" w:type="pct"/>
                  <w:noWrap w:val="0"/>
                  <w:vAlign w:val="center"/>
                </w:tcPr>
                <w:p w14:paraId="46ECB4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0.294~0.301</w:t>
                  </w:r>
                </w:p>
              </w:tc>
              <w:tc>
                <w:tcPr>
                  <w:tcW w:w="1022" w:type="pct"/>
                  <w:noWrap w:val="0"/>
                  <w:vAlign w:val="center"/>
                </w:tcPr>
                <w:p w14:paraId="7428BF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0.270~0.278</w:t>
                  </w:r>
                </w:p>
              </w:tc>
              <w:tc>
                <w:tcPr>
                  <w:tcW w:w="467" w:type="pct"/>
                  <w:noWrap w:val="0"/>
                  <w:vAlign w:val="center"/>
                </w:tcPr>
                <w:p w14:paraId="23AC9F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≤1.5</w:t>
                  </w:r>
                </w:p>
              </w:tc>
              <w:tc>
                <w:tcPr>
                  <w:tcW w:w="423" w:type="pct"/>
                  <w:noWrap w:val="0"/>
                  <w:vAlign w:val="center"/>
                </w:tcPr>
                <w:p w14:paraId="0EAF5F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达标</w:t>
                  </w:r>
                </w:p>
              </w:tc>
              <w:tc>
                <w:tcPr>
                  <w:tcW w:w="464" w:type="pct"/>
                  <w:vMerge w:val="continue"/>
                  <w:noWrap w:val="0"/>
                  <w:vAlign w:val="center"/>
                </w:tcPr>
                <w:p w14:paraId="524A3A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p>
              </w:tc>
            </w:tr>
            <w:tr w14:paraId="3389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 w:type="pct"/>
                  <w:vMerge w:val="continue"/>
                  <w:noWrap w:val="0"/>
                  <w:vAlign w:val="center"/>
                </w:tcPr>
                <w:p w14:paraId="4003C7B2">
                  <w:pPr>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652" w:type="pct"/>
                  <w:noWrap w:val="0"/>
                  <w:vAlign w:val="center"/>
                </w:tcPr>
                <w:p w14:paraId="72CEFA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rPr>
                    <w:t>臭气浓度</w:t>
                  </w:r>
                </w:p>
              </w:tc>
              <w:tc>
                <w:tcPr>
                  <w:tcW w:w="458" w:type="pct"/>
                  <w:noWrap w:val="0"/>
                  <w:vAlign w:val="center"/>
                </w:tcPr>
                <w:p w14:paraId="542A3E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rPr>
                    <w:t>—</w:t>
                  </w:r>
                </w:p>
              </w:tc>
              <w:tc>
                <w:tcPr>
                  <w:tcW w:w="996" w:type="pct"/>
                  <w:noWrap w:val="0"/>
                  <w:vAlign w:val="center"/>
                </w:tcPr>
                <w:p w14:paraId="5A0C98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15~16</w:t>
                  </w:r>
                </w:p>
              </w:tc>
              <w:tc>
                <w:tcPr>
                  <w:tcW w:w="1022" w:type="pct"/>
                  <w:noWrap w:val="0"/>
                  <w:vAlign w:val="center"/>
                </w:tcPr>
                <w:p w14:paraId="466D4D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13~18</w:t>
                  </w:r>
                </w:p>
              </w:tc>
              <w:tc>
                <w:tcPr>
                  <w:tcW w:w="467" w:type="pct"/>
                  <w:noWrap w:val="0"/>
                  <w:vAlign w:val="center"/>
                </w:tcPr>
                <w:p w14:paraId="164B7B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≤20</w:t>
                  </w:r>
                </w:p>
              </w:tc>
              <w:tc>
                <w:tcPr>
                  <w:tcW w:w="423" w:type="pct"/>
                  <w:noWrap w:val="0"/>
                  <w:vAlign w:val="center"/>
                </w:tcPr>
                <w:p w14:paraId="604F30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达标</w:t>
                  </w:r>
                </w:p>
              </w:tc>
              <w:tc>
                <w:tcPr>
                  <w:tcW w:w="464" w:type="pct"/>
                  <w:vMerge w:val="continue"/>
                  <w:noWrap w:val="0"/>
                  <w:vAlign w:val="center"/>
                </w:tcPr>
                <w:p w14:paraId="419D73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p>
              </w:tc>
            </w:tr>
            <w:tr w14:paraId="6912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 w:type="pct"/>
                  <w:vMerge w:val="restart"/>
                  <w:noWrap w:val="0"/>
                  <w:vAlign w:val="center"/>
                </w:tcPr>
                <w:p w14:paraId="2D0DE6C2">
                  <w:pPr>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cs="Times New Roman"/>
                      <w:snapToGrid w:val="0"/>
                      <w:color w:val="auto"/>
                      <w:sz w:val="21"/>
                      <w:szCs w:val="21"/>
                      <w:highlight w:val="none"/>
                      <w:lang w:val="en-US" w:eastAsia="zh-CN"/>
                    </w:rPr>
                    <w:t>厂界下风向</w:t>
                  </w:r>
                  <w:r>
                    <w:rPr>
                      <w:rFonts w:hint="default" w:ascii="Times New Roman" w:hAnsi="Times New Roman" w:cs="Times New Roman"/>
                      <w:color w:val="auto"/>
                      <w:sz w:val="21"/>
                      <w:szCs w:val="21"/>
                      <w:highlight w:val="none"/>
                      <w:lang w:val="en-US" w:eastAsia="zh-CN"/>
                    </w:rPr>
                    <w:t>3#</w:t>
                  </w:r>
                </w:p>
              </w:tc>
              <w:tc>
                <w:tcPr>
                  <w:tcW w:w="652" w:type="pct"/>
                  <w:noWrap w:val="0"/>
                  <w:vAlign w:val="center"/>
                </w:tcPr>
                <w:p w14:paraId="1A5AEB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rPr>
                    <w:t>H</w:t>
                  </w:r>
                  <w:r>
                    <w:rPr>
                      <w:rFonts w:hint="default" w:ascii="Times New Roman" w:hAnsi="Times New Roman" w:eastAsia="宋体" w:cs="Times New Roman"/>
                      <w:color w:val="auto"/>
                      <w:kern w:val="0"/>
                      <w:sz w:val="21"/>
                      <w:szCs w:val="21"/>
                      <w:highlight w:val="none"/>
                      <w:vertAlign w:val="subscript"/>
                      <w:lang w:val="en-US" w:eastAsia="zh-CN"/>
                    </w:rPr>
                    <w:t>2</w:t>
                  </w:r>
                  <w:r>
                    <w:rPr>
                      <w:rFonts w:hint="default" w:ascii="Times New Roman" w:hAnsi="Times New Roman" w:eastAsia="宋体" w:cs="Times New Roman"/>
                      <w:color w:val="auto"/>
                      <w:kern w:val="0"/>
                      <w:sz w:val="21"/>
                      <w:szCs w:val="21"/>
                      <w:highlight w:val="none"/>
                      <w:lang w:val="en-US" w:eastAsia="zh-CN"/>
                    </w:rPr>
                    <w:t>S</w:t>
                  </w:r>
                </w:p>
              </w:tc>
              <w:tc>
                <w:tcPr>
                  <w:tcW w:w="458" w:type="pct"/>
                  <w:noWrap w:val="0"/>
                  <w:vAlign w:val="center"/>
                </w:tcPr>
                <w:p w14:paraId="43478B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mg/m</w:t>
                  </w:r>
                  <w:r>
                    <w:rPr>
                      <w:rFonts w:hint="eastAsia" w:ascii="Times New Roman" w:hAnsi="Times New Roman" w:eastAsia="宋体" w:cs="Times New Roman"/>
                      <w:color w:val="000000"/>
                      <w:spacing w:val="-8"/>
                      <w:sz w:val="21"/>
                      <w:szCs w:val="21"/>
                      <w:highlight w:val="none"/>
                      <w:vertAlign w:val="superscript"/>
                      <w:lang w:val="en-US" w:eastAsia="zh-CN"/>
                    </w:rPr>
                    <w:t>3</w:t>
                  </w:r>
                </w:p>
              </w:tc>
              <w:tc>
                <w:tcPr>
                  <w:tcW w:w="996" w:type="pct"/>
                  <w:noWrap w:val="0"/>
                  <w:vAlign w:val="center"/>
                </w:tcPr>
                <w:p w14:paraId="29AC15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未检出</w:t>
                  </w:r>
                </w:p>
              </w:tc>
              <w:tc>
                <w:tcPr>
                  <w:tcW w:w="1022" w:type="pct"/>
                  <w:noWrap w:val="0"/>
                  <w:vAlign w:val="center"/>
                </w:tcPr>
                <w:p w14:paraId="32E722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未检出</w:t>
                  </w:r>
                </w:p>
              </w:tc>
              <w:tc>
                <w:tcPr>
                  <w:tcW w:w="467" w:type="pct"/>
                  <w:noWrap w:val="0"/>
                  <w:vAlign w:val="center"/>
                </w:tcPr>
                <w:p w14:paraId="32D9C8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≤0.06</w:t>
                  </w:r>
                </w:p>
              </w:tc>
              <w:tc>
                <w:tcPr>
                  <w:tcW w:w="423" w:type="pct"/>
                  <w:noWrap w:val="0"/>
                  <w:vAlign w:val="center"/>
                </w:tcPr>
                <w:p w14:paraId="67D3A0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达标</w:t>
                  </w:r>
                </w:p>
              </w:tc>
              <w:tc>
                <w:tcPr>
                  <w:tcW w:w="464" w:type="pct"/>
                  <w:vMerge w:val="continue"/>
                  <w:noWrap w:val="0"/>
                  <w:vAlign w:val="center"/>
                </w:tcPr>
                <w:p w14:paraId="392505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p>
              </w:tc>
            </w:tr>
            <w:tr w14:paraId="1B92B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 w:type="pct"/>
                  <w:vMerge w:val="continue"/>
                  <w:noWrap w:val="0"/>
                  <w:vAlign w:val="center"/>
                </w:tcPr>
                <w:p w14:paraId="7E795514">
                  <w:pPr>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652" w:type="pct"/>
                  <w:noWrap w:val="0"/>
                  <w:vAlign w:val="center"/>
                </w:tcPr>
                <w:p w14:paraId="7943C4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rPr>
                    <w:t>NH</w:t>
                  </w:r>
                  <w:r>
                    <w:rPr>
                      <w:rFonts w:hint="eastAsia" w:ascii="Times New Roman" w:hAnsi="Times New Roman" w:eastAsia="宋体" w:cs="Times New Roman"/>
                      <w:color w:val="000000"/>
                      <w:spacing w:val="-8"/>
                      <w:sz w:val="21"/>
                      <w:szCs w:val="21"/>
                      <w:highlight w:val="none"/>
                      <w:vertAlign w:val="subscript"/>
                      <w:lang w:val="en-US" w:eastAsia="zh-CN"/>
                    </w:rPr>
                    <w:t>3</w:t>
                  </w:r>
                </w:p>
              </w:tc>
              <w:tc>
                <w:tcPr>
                  <w:tcW w:w="458" w:type="pct"/>
                  <w:noWrap w:val="0"/>
                  <w:vAlign w:val="center"/>
                </w:tcPr>
                <w:p w14:paraId="5CA4F4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mg/m</w:t>
                  </w:r>
                  <w:r>
                    <w:rPr>
                      <w:rFonts w:hint="eastAsia" w:ascii="Times New Roman" w:hAnsi="Times New Roman" w:eastAsia="宋体" w:cs="Times New Roman"/>
                      <w:color w:val="000000"/>
                      <w:spacing w:val="-8"/>
                      <w:sz w:val="21"/>
                      <w:szCs w:val="21"/>
                      <w:highlight w:val="none"/>
                      <w:vertAlign w:val="superscript"/>
                      <w:lang w:val="en-US" w:eastAsia="zh-CN"/>
                    </w:rPr>
                    <w:t>3</w:t>
                  </w:r>
                </w:p>
              </w:tc>
              <w:tc>
                <w:tcPr>
                  <w:tcW w:w="996" w:type="pct"/>
                  <w:noWrap w:val="0"/>
                  <w:vAlign w:val="center"/>
                </w:tcPr>
                <w:p w14:paraId="611FA4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0.394~0.406</w:t>
                  </w:r>
                </w:p>
              </w:tc>
              <w:tc>
                <w:tcPr>
                  <w:tcW w:w="1022" w:type="pct"/>
                  <w:noWrap w:val="0"/>
                  <w:vAlign w:val="center"/>
                </w:tcPr>
                <w:p w14:paraId="3DDECA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0.402~0.414</w:t>
                  </w:r>
                </w:p>
              </w:tc>
              <w:tc>
                <w:tcPr>
                  <w:tcW w:w="467" w:type="pct"/>
                  <w:noWrap w:val="0"/>
                  <w:vAlign w:val="center"/>
                </w:tcPr>
                <w:p w14:paraId="183213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≤1.5</w:t>
                  </w:r>
                </w:p>
              </w:tc>
              <w:tc>
                <w:tcPr>
                  <w:tcW w:w="423" w:type="pct"/>
                  <w:noWrap w:val="0"/>
                  <w:vAlign w:val="center"/>
                </w:tcPr>
                <w:p w14:paraId="3DC745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达标</w:t>
                  </w:r>
                </w:p>
              </w:tc>
              <w:tc>
                <w:tcPr>
                  <w:tcW w:w="464" w:type="pct"/>
                  <w:vMerge w:val="continue"/>
                  <w:noWrap w:val="0"/>
                  <w:vAlign w:val="center"/>
                </w:tcPr>
                <w:p w14:paraId="15646B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p>
              </w:tc>
            </w:tr>
            <w:tr w14:paraId="7293C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 w:type="pct"/>
                  <w:vMerge w:val="continue"/>
                  <w:noWrap w:val="0"/>
                  <w:vAlign w:val="center"/>
                </w:tcPr>
                <w:p w14:paraId="535C00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p>
              </w:tc>
              <w:tc>
                <w:tcPr>
                  <w:tcW w:w="652" w:type="pct"/>
                  <w:noWrap w:val="0"/>
                  <w:vAlign w:val="center"/>
                </w:tcPr>
                <w:p w14:paraId="43E838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rPr>
                    <w:t>臭气浓度</w:t>
                  </w:r>
                </w:p>
              </w:tc>
              <w:tc>
                <w:tcPr>
                  <w:tcW w:w="458" w:type="pct"/>
                  <w:noWrap w:val="0"/>
                  <w:vAlign w:val="center"/>
                </w:tcPr>
                <w:p w14:paraId="3E2D8A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rPr>
                    <w:t>—</w:t>
                  </w:r>
                </w:p>
              </w:tc>
              <w:tc>
                <w:tcPr>
                  <w:tcW w:w="996" w:type="pct"/>
                  <w:noWrap w:val="0"/>
                  <w:vAlign w:val="center"/>
                </w:tcPr>
                <w:p w14:paraId="335CF4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17~18</w:t>
                  </w:r>
                </w:p>
              </w:tc>
              <w:tc>
                <w:tcPr>
                  <w:tcW w:w="1022" w:type="pct"/>
                  <w:noWrap w:val="0"/>
                  <w:vAlign w:val="center"/>
                </w:tcPr>
                <w:p w14:paraId="7BF6F1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16~19</w:t>
                  </w:r>
                </w:p>
              </w:tc>
              <w:tc>
                <w:tcPr>
                  <w:tcW w:w="467" w:type="pct"/>
                  <w:noWrap w:val="0"/>
                  <w:vAlign w:val="center"/>
                </w:tcPr>
                <w:p w14:paraId="6A5161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≤20</w:t>
                  </w:r>
                </w:p>
              </w:tc>
              <w:tc>
                <w:tcPr>
                  <w:tcW w:w="423" w:type="pct"/>
                  <w:noWrap w:val="0"/>
                  <w:vAlign w:val="center"/>
                </w:tcPr>
                <w:p w14:paraId="7658A3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达标</w:t>
                  </w:r>
                </w:p>
              </w:tc>
              <w:tc>
                <w:tcPr>
                  <w:tcW w:w="464" w:type="pct"/>
                  <w:vMerge w:val="continue"/>
                  <w:noWrap w:val="0"/>
                  <w:vAlign w:val="center"/>
                </w:tcPr>
                <w:p w14:paraId="597A9C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p>
              </w:tc>
            </w:tr>
            <w:tr w14:paraId="4C1C8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 w:type="pct"/>
                  <w:vMerge w:val="restart"/>
                  <w:noWrap w:val="0"/>
                  <w:vAlign w:val="center"/>
                </w:tcPr>
                <w:p w14:paraId="7A9C7959">
                  <w:pPr>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cs="Times New Roman"/>
                      <w:snapToGrid w:val="0"/>
                      <w:color w:val="auto"/>
                      <w:sz w:val="21"/>
                      <w:szCs w:val="21"/>
                      <w:highlight w:val="none"/>
                      <w:lang w:val="en-US" w:eastAsia="zh-CN"/>
                    </w:rPr>
                    <w:t>厂界下风向</w:t>
                  </w:r>
                  <w:r>
                    <w:rPr>
                      <w:rFonts w:hint="default" w:ascii="Times New Roman" w:hAnsi="Times New Roman" w:cs="Times New Roman"/>
                      <w:snapToGrid w:val="0"/>
                      <w:color w:val="auto"/>
                      <w:sz w:val="21"/>
                      <w:szCs w:val="21"/>
                      <w:highlight w:val="none"/>
                      <w:lang w:val="en-US" w:eastAsia="zh-CN"/>
                    </w:rPr>
                    <w:t>4#</w:t>
                  </w:r>
                </w:p>
              </w:tc>
              <w:tc>
                <w:tcPr>
                  <w:tcW w:w="652" w:type="pct"/>
                  <w:noWrap w:val="0"/>
                  <w:vAlign w:val="center"/>
                </w:tcPr>
                <w:p w14:paraId="222E91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rPr>
                    <w:t>H₂S</w:t>
                  </w:r>
                </w:p>
              </w:tc>
              <w:tc>
                <w:tcPr>
                  <w:tcW w:w="458" w:type="pct"/>
                  <w:noWrap w:val="0"/>
                  <w:vAlign w:val="center"/>
                </w:tcPr>
                <w:p w14:paraId="562ED7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mg/m</w:t>
                  </w:r>
                  <w:r>
                    <w:rPr>
                      <w:rFonts w:hint="eastAsia" w:ascii="Times New Roman" w:hAnsi="Times New Roman" w:eastAsia="宋体" w:cs="Times New Roman"/>
                      <w:color w:val="000000"/>
                      <w:spacing w:val="-8"/>
                      <w:sz w:val="21"/>
                      <w:szCs w:val="21"/>
                      <w:highlight w:val="none"/>
                      <w:vertAlign w:val="superscript"/>
                      <w:lang w:val="en-US" w:eastAsia="zh-CN"/>
                    </w:rPr>
                    <w:t>3</w:t>
                  </w:r>
                </w:p>
              </w:tc>
              <w:tc>
                <w:tcPr>
                  <w:tcW w:w="996" w:type="pct"/>
                  <w:noWrap w:val="0"/>
                  <w:vAlign w:val="center"/>
                </w:tcPr>
                <w:p w14:paraId="6D2F2A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未检出</w:t>
                  </w:r>
                </w:p>
              </w:tc>
              <w:tc>
                <w:tcPr>
                  <w:tcW w:w="1022" w:type="pct"/>
                  <w:noWrap w:val="0"/>
                  <w:vAlign w:val="center"/>
                </w:tcPr>
                <w:p w14:paraId="2B3531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未检出</w:t>
                  </w:r>
                </w:p>
              </w:tc>
              <w:tc>
                <w:tcPr>
                  <w:tcW w:w="467" w:type="pct"/>
                  <w:noWrap w:val="0"/>
                  <w:vAlign w:val="center"/>
                </w:tcPr>
                <w:p w14:paraId="1DC2C0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≤0.06</w:t>
                  </w:r>
                </w:p>
              </w:tc>
              <w:tc>
                <w:tcPr>
                  <w:tcW w:w="423" w:type="pct"/>
                  <w:noWrap w:val="0"/>
                  <w:vAlign w:val="center"/>
                </w:tcPr>
                <w:p w14:paraId="7D582C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达标</w:t>
                  </w:r>
                </w:p>
              </w:tc>
              <w:tc>
                <w:tcPr>
                  <w:tcW w:w="464" w:type="pct"/>
                  <w:vMerge w:val="continue"/>
                  <w:noWrap w:val="0"/>
                  <w:vAlign w:val="center"/>
                </w:tcPr>
                <w:p w14:paraId="7E0296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p>
              </w:tc>
            </w:tr>
            <w:tr w14:paraId="02192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 w:type="pct"/>
                  <w:vMerge w:val="continue"/>
                  <w:noWrap w:val="0"/>
                  <w:vAlign w:val="center"/>
                </w:tcPr>
                <w:p w14:paraId="5F357E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p>
              </w:tc>
              <w:tc>
                <w:tcPr>
                  <w:tcW w:w="652" w:type="pct"/>
                  <w:noWrap w:val="0"/>
                  <w:vAlign w:val="center"/>
                </w:tcPr>
                <w:p w14:paraId="47A117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rPr>
                    <w:t>NH</w:t>
                  </w:r>
                  <w:r>
                    <w:rPr>
                      <w:rFonts w:hint="eastAsia" w:ascii="Times New Roman" w:hAnsi="Times New Roman" w:eastAsia="宋体" w:cs="Times New Roman"/>
                      <w:color w:val="000000"/>
                      <w:spacing w:val="-8"/>
                      <w:sz w:val="21"/>
                      <w:szCs w:val="21"/>
                      <w:highlight w:val="none"/>
                      <w:vertAlign w:val="subscript"/>
                      <w:lang w:val="en-US" w:eastAsia="zh-CN"/>
                    </w:rPr>
                    <w:t>3</w:t>
                  </w:r>
                </w:p>
              </w:tc>
              <w:tc>
                <w:tcPr>
                  <w:tcW w:w="458" w:type="pct"/>
                  <w:noWrap w:val="0"/>
                  <w:vAlign w:val="center"/>
                </w:tcPr>
                <w:p w14:paraId="39CD4F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mg/m</w:t>
                  </w:r>
                  <w:r>
                    <w:rPr>
                      <w:rFonts w:hint="eastAsia" w:ascii="Times New Roman" w:hAnsi="Times New Roman" w:eastAsia="宋体" w:cs="Times New Roman"/>
                      <w:color w:val="000000"/>
                      <w:spacing w:val="-8"/>
                      <w:sz w:val="21"/>
                      <w:szCs w:val="21"/>
                      <w:highlight w:val="none"/>
                      <w:vertAlign w:val="superscript"/>
                      <w:lang w:val="en-US" w:eastAsia="zh-CN"/>
                    </w:rPr>
                    <w:t>3</w:t>
                  </w:r>
                </w:p>
              </w:tc>
              <w:tc>
                <w:tcPr>
                  <w:tcW w:w="996" w:type="pct"/>
                  <w:noWrap w:val="0"/>
                  <w:vAlign w:val="center"/>
                </w:tcPr>
                <w:p w14:paraId="520972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0.286~0.299</w:t>
                  </w:r>
                </w:p>
              </w:tc>
              <w:tc>
                <w:tcPr>
                  <w:tcW w:w="1022" w:type="pct"/>
                  <w:noWrap w:val="0"/>
                  <w:vAlign w:val="center"/>
                </w:tcPr>
                <w:p w14:paraId="1A1A58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0.266~0.282</w:t>
                  </w:r>
                </w:p>
              </w:tc>
              <w:tc>
                <w:tcPr>
                  <w:tcW w:w="467" w:type="pct"/>
                  <w:noWrap w:val="0"/>
                  <w:vAlign w:val="center"/>
                </w:tcPr>
                <w:p w14:paraId="1DDA06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≤1.5</w:t>
                  </w:r>
                </w:p>
              </w:tc>
              <w:tc>
                <w:tcPr>
                  <w:tcW w:w="423" w:type="pct"/>
                  <w:noWrap w:val="0"/>
                  <w:vAlign w:val="center"/>
                </w:tcPr>
                <w:p w14:paraId="0894C4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达标</w:t>
                  </w:r>
                </w:p>
              </w:tc>
              <w:tc>
                <w:tcPr>
                  <w:tcW w:w="464" w:type="pct"/>
                  <w:vMerge w:val="continue"/>
                  <w:noWrap w:val="0"/>
                  <w:vAlign w:val="center"/>
                </w:tcPr>
                <w:p w14:paraId="0DD52D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p>
              </w:tc>
            </w:tr>
            <w:tr w14:paraId="2F06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 w:type="pct"/>
                  <w:vMerge w:val="continue"/>
                  <w:noWrap w:val="0"/>
                  <w:vAlign w:val="center"/>
                </w:tcPr>
                <w:p w14:paraId="303C02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p>
              </w:tc>
              <w:tc>
                <w:tcPr>
                  <w:tcW w:w="652" w:type="pct"/>
                  <w:noWrap w:val="0"/>
                  <w:vAlign w:val="center"/>
                </w:tcPr>
                <w:p w14:paraId="789641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rPr>
                    <w:t>臭气浓度</w:t>
                  </w:r>
                </w:p>
              </w:tc>
              <w:tc>
                <w:tcPr>
                  <w:tcW w:w="458" w:type="pct"/>
                  <w:noWrap w:val="0"/>
                  <w:vAlign w:val="center"/>
                </w:tcPr>
                <w:p w14:paraId="04A048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rPr>
                    <w:t>—</w:t>
                  </w:r>
                </w:p>
              </w:tc>
              <w:tc>
                <w:tcPr>
                  <w:tcW w:w="996" w:type="pct"/>
                  <w:noWrap w:val="0"/>
                  <w:vAlign w:val="center"/>
                </w:tcPr>
                <w:p w14:paraId="1C470A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18~19</w:t>
                  </w:r>
                </w:p>
              </w:tc>
              <w:tc>
                <w:tcPr>
                  <w:tcW w:w="1022" w:type="pct"/>
                  <w:noWrap w:val="0"/>
                  <w:vAlign w:val="center"/>
                </w:tcPr>
                <w:p w14:paraId="5AA4DE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17~19</w:t>
                  </w:r>
                </w:p>
              </w:tc>
              <w:tc>
                <w:tcPr>
                  <w:tcW w:w="467" w:type="pct"/>
                  <w:noWrap w:val="0"/>
                  <w:vAlign w:val="center"/>
                </w:tcPr>
                <w:p w14:paraId="37488D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≤20</w:t>
                  </w:r>
                </w:p>
              </w:tc>
              <w:tc>
                <w:tcPr>
                  <w:tcW w:w="423" w:type="pct"/>
                  <w:noWrap w:val="0"/>
                  <w:vAlign w:val="center"/>
                </w:tcPr>
                <w:p w14:paraId="1351C2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达标</w:t>
                  </w:r>
                </w:p>
              </w:tc>
              <w:tc>
                <w:tcPr>
                  <w:tcW w:w="464" w:type="pct"/>
                  <w:vMerge w:val="continue"/>
                  <w:noWrap w:val="0"/>
                  <w:vAlign w:val="center"/>
                </w:tcPr>
                <w:p w14:paraId="531FAE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p>
              </w:tc>
            </w:tr>
            <w:tr w14:paraId="633C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 w:type="pct"/>
                  <w:noWrap w:val="0"/>
                  <w:vAlign w:val="center"/>
                </w:tcPr>
                <w:p w14:paraId="7E4AB2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5#</w:t>
                  </w:r>
                </w:p>
              </w:tc>
              <w:tc>
                <w:tcPr>
                  <w:tcW w:w="652" w:type="pct"/>
                  <w:noWrap w:val="0"/>
                  <w:vAlign w:val="center"/>
                </w:tcPr>
                <w:p w14:paraId="20AB0B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甲烷</w:t>
                  </w:r>
                </w:p>
              </w:tc>
              <w:tc>
                <w:tcPr>
                  <w:tcW w:w="458" w:type="pct"/>
                  <w:noWrap w:val="0"/>
                  <w:vAlign w:val="center"/>
                </w:tcPr>
                <w:p w14:paraId="7219E3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体积分数</w:t>
                  </w:r>
                </w:p>
              </w:tc>
              <w:tc>
                <w:tcPr>
                  <w:tcW w:w="996" w:type="pct"/>
                  <w:noWrap w:val="0"/>
                  <w:vAlign w:val="center"/>
                </w:tcPr>
                <w:p w14:paraId="219032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1.078×10</w:t>
                  </w:r>
                  <w:r>
                    <w:rPr>
                      <w:rFonts w:hint="eastAsia" w:ascii="Times New Roman" w:hAnsi="Times New Roman" w:eastAsia="宋体" w:cs="Times New Roman"/>
                      <w:color w:val="auto"/>
                      <w:kern w:val="0"/>
                      <w:sz w:val="21"/>
                      <w:szCs w:val="21"/>
                      <w:highlight w:val="none"/>
                      <w:vertAlign w:val="superscript"/>
                      <w:lang w:val="en-US" w:eastAsia="zh-CN"/>
                    </w:rPr>
                    <w:t>-4</w:t>
                  </w:r>
                  <w:r>
                    <w:rPr>
                      <w:rFonts w:hint="eastAsia" w:ascii="Times New Roman" w:hAnsi="Times New Roman" w:eastAsia="宋体" w:cs="Times New Roman"/>
                      <w:color w:val="auto"/>
                      <w:kern w:val="0"/>
                      <w:sz w:val="21"/>
                      <w:szCs w:val="21"/>
                      <w:highlight w:val="none"/>
                      <w:vertAlign w:val="baseline"/>
                      <w:lang w:val="en-US" w:eastAsia="zh-CN"/>
                    </w:rPr>
                    <w:t>~3.892×10</w:t>
                  </w:r>
                  <w:r>
                    <w:rPr>
                      <w:rFonts w:hint="eastAsia" w:ascii="Times New Roman" w:hAnsi="Times New Roman" w:eastAsia="宋体" w:cs="Times New Roman"/>
                      <w:color w:val="auto"/>
                      <w:kern w:val="0"/>
                      <w:sz w:val="21"/>
                      <w:szCs w:val="21"/>
                      <w:highlight w:val="none"/>
                      <w:vertAlign w:val="superscript"/>
                      <w:lang w:val="en-US" w:eastAsia="zh-CN"/>
                    </w:rPr>
                    <w:t>-4</w:t>
                  </w:r>
                </w:p>
              </w:tc>
              <w:tc>
                <w:tcPr>
                  <w:tcW w:w="1022" w:type="pct"/>
                  <w:noWrap w:val="0"/>
                  <w:vAlign w:val="center"/>
                </w:tcPr>
                <w:p w14:paraId="4BB956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0.854×10</w:t>
                  </w:r>
                  <w:r>
                    <w:rPr>
                      <w:rFonts w:hint="eastAsia" w:ascii="Times New Roman" w:hAnsi="Times New Roman" w:eastAsia="宋体" w:cs="Times New Roman"/>
                      <w:color w:val="auto"/>
                      <w:kern w:val="0"/>
                      <w:sz w:val="21"/>
                      <w:szCs w:val="21"/>
                      <w:highlight w:val="none"/>
                      <w:vertAlign w:val="superscript"/>
                      <w:lang w:val="en-US" w:eastAsia="zh-CN"/>
                    </w:rPr>
                    <w:t>-4</w:t>
                  </w:r>
                  <w:r>
                    <w:rPr>
                      <w:rFonts w:hint="eastAsia" w:ascii="Times New Roman" w:hAnsi="Times New Roman" w:eastAsia="宋体" w:cs="Times New Roman"/>
                      <w:color w:val="auto"/>
                      <w:kern w:val="0"/>
                      <w:sz w:val="21"/>
                      <w:szCs w:val="21"/>
                      <w:highlight w:val="none"/>
                      <w:vertAlign w:val="baseline"/>
                      <w:lang w:val="en-US" w:eastAsia="zh-CN"/>
                    </w:rPr>
                    <w:t>~5.502×10</w:t>
                  </w:r>
                  <w:r>
                    <w:rPr>
                      <w:rFonts w:hint="eastAsia" w:ascii="Times New Roman" w:hAnsi="Times New Roman" w:eastAsia="宋体" w:cs="Times New Roman"/>
                      <w:color w:val="auto"/>
                      <w:kern w:val="0"/>
                      <w:sz w:val="21"/>
                      <w:szCs w:val="21"/>
                      <w:highlight w:val="none"/>
                      <w:vertAlign w:val="superscript"/>
                      <w:lang w:val="en-US" w:eastAsia="zh-CN"/>
                    </w:rPr>
                    <w:t>-4</w:t>
                  </w:r>
                </w:p>
              </w:tc>
              <w:tc>
                <w:tcPr>
                  <w:tcW w:w="467" w:type="pct"/>
                  <w:noWrap w:val="0"/>
                  <w:vAlign w:val="center"/>
                </w:tcPr>
                <w:p w14:paraId="57818D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w:t>
                  </w:r>
                </w:p>
              </w:tc>
              <w:tc>
                <w:tcPr>
                  <w:tcW w:w="423" w:type="pct"/>
                  <w:noWrap w:val="0"/>
                  <w:vAlign w:val="center"/>
                </w:tcPr>
                <w:p w14:paraId="33E788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达标</w:t>
                  </w:r>
                </w:p>
              </w:tc>
              <w:tc>
                <w:tcPr>
                  <w:tcW w:w="464" w:type="pct"/>
                  <w:vMerge w:val="continue"/>
                  <w:noWrap w:val="0"/>
                  <w:vAlign w:val="center"/>
                </w:tcPr>
                <w:p w14:paraId="06BF76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p>
              </w:tc>
            </w:tr>
          </w:tbl>
          <w:p w14:paraId="021145B5">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ind w:left="426" w:leftChars="202" w:hanging="2" w:hangingChars="1"/>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w:t>
            </w:r>
            <w:r>
              <w:rPr>
                <w:rFonts w:hint="eastAsia" w:ascii="Times New Roman" w:hAnsi="Times New Roman" w:eastAsia="宋体" w:cs="Times New Roman"/>
                <w:color w:val="auto"/>
                <w:kern w:val="0"/>
                <w:sz w:val="24"/>
                <w:szCs w:val="24"/>
                <w:highlight w:val="none"/>
                <w:lang w:val="en-US" w:eastAsia="zh-CN"/>
              </w:rPr>
              <w:t>废水</w:t>
            </w:r>
          </w:p>
          <w:p w14:paraId="15C0E6C5">
            <w:pPr>
              <w:pStyle w:val="7"/>
              <w:bidi w:val="0"/>
              <w:rPr>
                <w:rFonts w:hint="default" w:ascii="Times New Roman" w:hAnsi="Times New Roman" w:cs="Times New Roman"/>
                <w:lang w:val="en-US" w:eastAsia="zh-CN"/>
              </w:rPr>
            </w:pPr>
            <w:r>
              <w:rPr>
                <w:rFonts w:hint="eastAsia" w:ascii="Times New Roman" w:hAnsi="Times New Roman" w:cs="Times New Roman"/>
                <w:lang w:val="en-US" w:eastAsia="zh-CN"/>
              </w:rPr>
              <w:t>根据</w:t>
            </w:r>
            <w:r>
              <w:rPr>
                <w:rFonts w:hint="default" w:ascii="Times New Roman" w:hAnsi="Times New Roman" w:cs="Times New Roman"/>
                <w:lang w:val="en-US" w:eastAsia="zh-CN"/>
              </w:rPr>
              <w:t>运营单位委托巴州永诚环境检测技术服务有限公司于2026年7月27日</w:t>
            </w:r>
            <w:r>
              <w:rPr>
                <w:rFonts w:hint="eastAsia" w:ascii="Times New Roman" w:cs="Times New Roman"/>
                <w:lang w:val="en-US" w:eastAsia="zh-CN"/>
              </w:rPr>
              <w:t>-</w:t>
            </w:r>
            <w:r>
              <w:rPr>
                <w:rFonts w:hint="default" w:ascii="Times New Roman" w:hAnsi="Times New Roman" w:cs="Times New Roman"/>
                <w:lang w:val="en-US" w:eastAsia="zh-CN"/>
              </w:rPr>
              <w:t>28日对一期工程废水总排口（DW001）</w:t>
            </w:r>
            <w:r>
              <w:rPr>
                <w:rFonts w:hint="eastAsia" w:ascii="Times New Roman" w:hAnsi="Times New Roman" w:cs="Times New Roman"/>
                <w:lang w:val="en-US" w:eastAsia="zh-CN"/>
              </w:rPr>
              <w:t>监测数据</w:t>
            </w:r>
            <w:r>
              <w:rPr>
                <w:rFonts w:hint="default" w:ascii="Times New Roman" w:hAnsi="Times New Roman" w:cs="Times New Roman"/>
                <w:lang w:val="en-US" w:eastAsia="zh-CN"/>
              </w:rPr>
              <w:t>，</w:t>
            </w:r>
            <w:r>
              <w:rPr>
                <w:rFonts w:hint="eastAsia" w:ascii="Times New Roman" w:hAnsi="Times New Roman" w:cs="Times New Roman"/>
                <w:lang w:val="en-US" w:eastAsia="zh-CN"/>
              </w:rPr>
              <w:t>一期工程出水水质达到</w:t>
            </w:r>
            <w:r>
              <w:rPr>
                <w:rFonts w:hint="default" w:ascii="Times New Roman" w:hAnsi="Times New Roman" w:cs="Times New Roman"/>
                <w:lang w:val="en-US" w:eastAsia="zh-CN"/>
              </w:rPr>
              <w:t>《城镇污水处理厂污染物排放标准》（GB18918-2002）及其修改单一级A标准</w:t>
            </w:r>
            <w:r>
              <w:rPr>
                <w:rFonts w:hint="eastAsia" w:ascii="Times New Roman" w:hAnsi="Times New Roman" w:cs="Times New Roman"/>
                <w:lang w:val="en-US" w:eastAsia="zh-CN"/>
              </w:rPr>
              <w:t>，</w:t>
            </w:r>
            <w:r>
              <w:rPr>
                <w:rFonts w:hint="default" w:ascii="Times New Roman" w:hAnsi="Times New Roman" w:cs="Times New Roman"/>
                <w:lang w:val="en-US" w:eastAsia="zh-CN"/>
              </w:rPr>
              <w:t>检测结果见表2-9</w:t>
            </w:r>
            <w:r>
              <w:rPr>
                <w:rFonts w:hint="eastAsia" w:ascii="Times New Roman" w:hAnsi="Times New Roman" w:cs="Times New Roman"/>
                <w:lang w:val="en-US" w:eastAsia="zh-CN"/>
              </w:rPr>
              <w:t>：</w:t>
            </w:r>
          </w:p>
          <w:p w14:paraId="56D463D1">
            <w:pPr>
              <w:pStyle w:val="23"/>
              <w:bidi w:val="0"/>
              <w:rPr>
                <w:rFonts w:ascii="Times New Roman" w:hAnsi="Times New Roman" w:eastAsia="宋体" w:cs="Times New Roman"/>
              </w:rPr>
            </w:pPr>
            <w:r>
              <w:rPr>
                <w:rFonts w:ascii="Times New Roman" w:hAnsi="Times New Roman" w:eastAsia="宋体" w:cs="Times New Roman"/>
              </w:rPr>
              <w:t xml:space="preserve">表 </w:t>
            </w:r>
            <w:r>
              <w:rPr>
                <w:rFonts w:hint="eastAsia" w:ascii="Times New Roman" w:hAnsi="Times New Roman" w:eastAsia="宋体" w:cs="Times New Roman"/>
                <w:lang w:val="en-US" w:eastAsia="zh-CN"/>
              </w:rPr>
              <w:t>2-9</w:t>
            </w:r>
            <w:r>
              <w:rPr>
                <w:rFonts w:ascii="Times New Roman" w:hAnsi="Times New Roman" w:eastAsia="宋体" w:cs="Times New Roman"/>
              </w:rPr>
              <w:t>一期工程出水水质检测结果一览表</w:t>
            </w:r>
          </w:p>
          <w:tbl>
            <w:tblPr>
              <w:tblStyle w:val="15"/>
              <w:tblW w:w="84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
              <w:gridCol w:w="428"/>
              <w:gridCol w:w="2"/>
              <w:gridCol w:w="909"/>
              <w:gridCol w:w="990"/>
              <w:gridCol w:w="4"/>
              <w:gridCol w:w="878"/>
              <w:gridCol w:w="6"/>
              <w:gridCol w:w="1298"/>
              <w:gridCol w:w="7"/>
              <w:gridCol w:w="1342"/>
              <w:gridCol w:w="8"/>
              <w:gridCol w:w="1147"/>
              <w:gridCol w:w="9"/>
              <w:gridCol w:w="1391"/>
              <w:gridCol w:w="15"/>
            </w:tblGrid>
            <w:tr w14:paraId="19B8F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1" w:hRule="atLeast"/>
                <w:jc w:val="center"/>
              </w:trPr>
              <w:tc>
                <w:tcPr>
                  <w:tcW w:w="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FC927A">
                  <w:pPr>
                    <w:pStyle w:val="25"/>
                    <w:bidi w:val="0"/>
                    <w:jc w:val="center"/>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序号</w:t>
                  </w:r>
                </w:p>
              </w:tc>
              <w:tc>
                <w:tcPr>
                  <w:tcW w:w="11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601EBC">
                  <w:pPr>
                    <w:pStyle w:val="25"/>
                    <w:bidi w:val="0"/>
                    <w:jc w:val="center"/>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检测项目</w:t>
                  </w:r>
                </w:p>
              </w:tc>
              <w:tc>
                <w:tcPr>
                  <w:tcW w:w="5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268191">
                  <w:pPr>
                    <w:pStyle w:val="25"/>
                    <w:bidi w:val="0"/>
                    <w:jc w:val="center"/>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单位</w:t>
                  </w:r>
                </w:p>
              </w:tc>
              <w:tc>
                <w:tcPr>
                  <w:tcW w:w="7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FC6DEF">
                  <w:pPr>
                    <w:pStyle w:val="25"/>
                    <w:bidi w:val="0"/>
                    <w:jc w:val="center"/>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2026.07.27</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A291D">
                  <w:pPr>
                    <w:pStyle w:val="25"/>
                    <w:bidi w:val="0"/>
                    <w:jc w:val="center"/>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2026.07.28</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BA40B">
                  <w:pPr>
                    <w:pStyle w:val="25"/>
                    <w:bidi w:val="0"/>
                    <w:jc w:val="center"/>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标准限值</w:t>
                  </w:r>
                </w:p>
              </w:tc>
              <w:tc>
                <w:tcPr>
                  <w:tcW w:w="8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FD2C45">
                  <w:pPr>
                    <w:pStyle w:val="25"/>
                    <w:bidi w:val="0"/>
                    <w:jc w:val="center"/>
                    <w:rPr>
                      <w:rFonts w:hint="default"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达标情况</w:t>
                  </w:r>
                </w:p>
              </w:tc>
            </w:tr>
            <w:tr w14:paraId="48D7C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F1A7B4">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w:t>
                  </w:r>
                </w:p>
              </w:tc>
              <w:tc>
                <w:tcPr>
                  <w:tcW w:w="11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3D98D4">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pH值</w:t>
                  </w:r>
                </w:p>
              </w:tc>
              <w:tc>
                <w:tcPr>
                  <w:tcW w:w="5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E66516">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无量纲</w:t>
                  </w:r>
                </w:p>
              </w:tc>
              <w:tc>
                <w:tcPr>
                  <w:tcW w:w="7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C8731">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7.3~7.6</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D50CB4">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7.3~7.4</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BC1CD">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6~9</w:t>
                  </w:r>
                </w:p>
              </w:tc>
              <w:tc>
                <w:tcPr>
                  <w:tcW w:w="8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6835A">
                  <w:pPr>
                    <w:pStyle w:val="25"/>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5CCC0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1" w:hRule="atLeast"/>
                <w:jc w:val="center"/>
              </w:trPr>
              <w:tc>
                <w:tcPr>
                  <w:tcW w:w="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0EF91">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2</w:t>
                  </w:r>
                </w:p>
              </w:tc>
              <w:tc>
                <w:tcPr>
                  <w:tcW w:w="11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C3444D">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化学需氧量</w:t>
                  </w:r>
                </w:p>
              </w:tc>
              <w:tc>
                <w:tcPr>
                  <w:tcW w:w="5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95A9D">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mg/L</w:t>
                  </w:r>
                </w:p>
              </w:tc>
              <w:tc>
                <w:tcPr>
                  <w:tcW w:w="7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93D67">
                  <w:pPr>
                    <w:pStyle w:val="25"/>
                    <w:bidi w:val="0"/>
                    <w:jc w:val="center"/>
                    <w:rPr>
                      <w:rFonts w:hint="default" w:ascii="Times New Roman" w:hAnsi="Times New Roman" w:cs="Times New Roman"/>
                      <w:sz w:val="21"/>
                      <w:szCs w:val="21"/>
                      <w:lang w:val="en-US"/>
                    </w:rPr>
                  </w:pPr>
                  <w:r>
                    <w:rPr>
                      <w:rFonts w:hint="default" w:ascii="Times New Roman" w:hAnsi="Times New Roman" w:cs="Times New Roman"/>
                      <w:sz w:val="21"/>
                      <w:szCs w:val="21"/>
                      <w:lang w:val="en-US" w:eastAsia="zh-CN"/>
                    </w:rPr>
                    <w:t>14~1</w:t>
                  </w:r>
                  <w:r>
                    <w:rPr>
                      <w:rFonts w:hint="eastAsia" w:ascii="Times New Roman" w:hAnsi="Times New Roman" w:cs="Times New Roman"/>
                      <w:sz w:val="21"/>
                      <w:szCs w:val="21"/>
                      <w:lang w:val="en-US" w:eastAsia="zh-CN"/>
                    </w:rPr>
                    <w:t>7</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76EABC">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17~20</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F31ED">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≤50</w:t>
                  </w:r>
                </w:p>
              </w:tc>
              <w:tc>
                <w:tcPr>
                  <w:tcW w:w="8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4D28D2">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0B4E7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jc w:val="center"/>
              </w:trPr>
              <w:tc>
                <w:tcPr>
                  <w:tcW w:w="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45AC5">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3</w:t>
                  </w:r>
                </w:p>
              </w:tc>
              <w:tc>
                <w:tcPr>
                  <w:tcW w:w="11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ECAB1E">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五日生化需氧量</w:t>
                  </w:r>
                </w:p>
              </w:tc>
              <w:tc>
                <w:tcPr>
                  <w:tcW w:w="5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46688">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mg/L</w:t>
                  </w:r>
                </w:p>
              </w:tc>
              <w:tc>
                <w:tcPr>
                  <w:tcW w:w="7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E5A0B">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3.1~3.</w:t>
                  </w:r>
                  <w:r>
                    <w:rPr>
                      <w:rFonts w:hint="eastAsia" w:ascii="Times New Roman" w:hAnsi="Times New Roman" w:cs="Times New Roman"/>
                      <w:sz w:val="21"/>
                      <w:szCs w:val="21"/>
                      <w:lang w:val="en-US" w:eastAsia="zh-CN"/>
                    </w:rPr>
                    <w:t>7</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371932">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3.6~4.2</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187BC">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≤10</w:t>
                  </w:r>
                </w:p>
              </w:tc>
              <w:tc>
                <w:tcPr>
                  <w:tcW w:w="8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1D2E8">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36820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1" w:hRule="atLeast"/>
                <w:jc w:val="center"/>
              </w:trPr>
              <w:tc>
                <w:tcPr>
                  <w:tcW w:w="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FFACA4">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4</w:t>
                  </w:r>
                </w:p>
              </w:tc>
              <w:tc>
                <w:tcPr>
                  <w:tcW w:w="11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20D4D2">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悬浮物</w:t>
                  </w:r>
                </w:p>
              </w:tc>
              <w:tc>
                <w:tcPr>
                  <w:tcW w:w="5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3BCB2">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mg/L</w:t>
                  </w:r>
                </w:p>
              </w:tc>
              <w:tc>
                <w:tcPr>
                  <w:tcW w:w="7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AB53D3">
                  <w:pPr>
                    <w:pStyle w:val="25"/>
                    <w:bidi w:val="0"/>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7</w:t>
                  </w:r>
                  <w:r>
                    <w:rPr>
                      <w:rFonts w:hint="default" w:ascii="Times New Roman" w:hAnsi="Times New Roman" w:cs="Times New Roman"/>
                      <w:sz w:val="21"/>
                      <w:szCs w:val="21"/>
                      <w:lang w:val="en-US" w:eastAsia="zh-CN"/>
                    </w:rPr>
                    <w:t>~8</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3BADC">
                  <w:pPr>
                    <w:pStyle w:val="25"/>
                    <w:bidi w:val="0"/>
                    <w:jc w:val="center"/>
                    <w:rPr>
                      <w:rFonts w:hint="default" w:ascii="Times New Roman" w:hAnsi="Times New Roman" w:cs="Times New Roman"/>
                      <w:sz w:val="21"/>
                      <w:szCs w:val="21"/>
                      <w:lang w:val="en-US"/>
                    </w:rPr>
                  </w:pPr>
                  <w:r>
                    <w:rPr>
                      <w:rFonts w:hint="default" w:ascii="Times New Roman" w:hAnsi="Times New Roman" w:cs="Times New Roman"/>
                      <w:sz w:val="21"/>
                      <w:szCs w:val="21"/>
                      <w:lang w:val="en-US" w:eastAsia="zh-CN"/>
                    </w:rPr>
                    <w:t>6~</w:t>
                  </w:r>
                  <w:r>
                    <w:rPr>
                      <w:rFonts w:hint="eastAsia" w:ascii="Times New Roman" w:hAnsi="Times New Roman" w:cs="Times New Roman"/>
                      <w:sz w:val="21"/>
                      <w:szCs w:val="21"/>
                      <w:lang w:val="en-US" w:eastAsia="zh-CN"/>
                    </w:rPr>
                    <w:t>8</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5D54D">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≤10</w:t>
                  </w:r>
                </w:p>
              </w:tc>
              <w:tc>
                <w:tcPr>
                  <w:tcW w:w="8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B75F4">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20321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4" w:hRule="atLeast"/>
                <w:jc w:val="center"/>
              </w:trPr>
              <w:tc>
                <w:tcPr>
                  <w:tcW w:w="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26BFBA">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5</w:t>
                  </w:r>
                </w:p>
              </w:tc>
              <w:tc>
                <w:tcPr>
                  <w:tcW w:w="11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DF0DB9">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氨氮</w:t>
                  </w:r>
                </w:p>
              </w:tc>
              <w:tc>
                <w:tcPr>
                  <w:tcW w:w="5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5F63E">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mg/L</w:t>
                  </w:r>
                </w:p>
              </w:tc>
              <w:tc>
                <w:tcPr>
                  <w:tcW w:w="7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854D6A">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0.464~0.501</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609D87">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0.472~0.525</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27718">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≤5（8）</w:t>
                  </w:r>
                </w:p>
              </w:tc>
              <w:tc>
                <w:tcPr>
                  <w:tcW w:w="8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A64424">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4CC06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C6C7AE">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6</w:t>
                  </w:r>
                </w:p>
              </w:tc>
              <w:tc>
                <w:tcPr>
                  <w:tcW w:w="11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B592FE">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总氮</w:t>
                  </w:r>
                </w:p>
              </w:tc>
              <w:tc>
                <w:tcPr>
                  <w:tcW w:w="5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9F154">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mg/L</w:t>
                  </w:r>
                </w:p>
              </w:tc>
              <w:tc>
                <w:tcPr>
                  <w:tcW w:w="7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35B64">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5.70~5.96</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813BCC">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5.49~5.78</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8D9854">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≤15</w:t>
                  </w:r>
                </w:p>
              </w:tc>
              <w:tc>
                <w:tcPr>
                  <w:tcW w:w="8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ED82B">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14618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 w:hRule="atLeast"/>
                <w:jc w:val="center"/>
              </w:trPr>
              <w:tc>
                <w:tcPr>
                  <w:tcW w:w="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B5DAFF">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7</w:t>
                  </w:r>
                </w:p>
              </w:tc>
              <w:tc>
                <w:tcPr>
                  <w:tcW w:w="11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045BE8">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总磷</w:t>
                  </w:r>
                </w:p>
              </w:tc>
              <w:tc>
                <w:tcPr>
                  <w:tcW w:w="5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0C005">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mg/L</w:t>
                  </w:r>
                </w:p>
              </w:tc>
              <w:tc>
                <w:tcPr>
                  <w:tcW w:w="7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9CE708">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0.1</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4E8E4">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0.07</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E12847">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≤0.5</w:t>
                  </w:r>
                </w:p>
              </w:tc>
              <w:tc>
                <w:tcPr>
                  <w:tcW w:w="8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DE172">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48E4B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 w:hRule="atLeast"/>
                <w:jc w:val="center"/>
              </w:trPr>
              <w:tc>
                <w:tcPr>
                  <w:tcW w:w="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432518">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8</w:t>
                  </w:r>
                </w:p>
              </w:tc>
              <w:tc>
                <w:tcPr>
                  <w:tcW w:w="11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FE675B">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色度</w:t>
                  </w:r>
                </w:p>
              </w:tc>
              <w:tc>
                <w:tcPr>
                  <w:tcW w:w="5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4321D3">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倍</w:t>
                  </w:r>
                </w:p>
              </w:tc>
              <w:tc>
                <w:tcPr>
                  <w:tcW w:w="7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D7690C">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2</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3B3482">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2</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3042B">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≤30</w:t>
                  </w:r>
                </w:p>
              </w:tc>
              <w:tc>
                <w:tcPr>
                  <w:tcW w:w="8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69CE1D">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4A002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5D6F51">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9</w:t>
                  </w:r>
                </w:p>
              </w:tc>
              <w:tc>
                <w:tcPr>
                  <w:tcW w:w="11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92A5B0">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阴离子表面活性剂</w:t>
                  </w:r>
                </w:p>
              </w:tc>
              <w:tc>
                <w:tcPr>
                  <w:tcW w:w="5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BDE04E">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mg/L</w:t>
                  </w:r>
                </w:p>
              </w:tc>
              <w:tc>
                <w:tcPr>
                  <w:tcW w:w="7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D679B">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0.13~0.14</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161E9">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0.08~0.09</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29F93">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≤0.5</w:t>
                  </w:r>
                </w:p>
              </w:tc>
              <w:tc>
                <w:tcPr>
                  <w:tcW w:w="8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530EC">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19C9E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jc w:val="center"/>
              </w:trPr>
              <w:tc>
                <w:tcPr>
                  <w:tcW w:w="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30275B">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10</w:t>
                  </w:r>
                </w:p>
              </w:tc>
              <w:tc>
                <w:tcPr>
                  <w:tcW w:w="11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3B3F04">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石油类</w:t>
                  </w:r>
                </w:p>
              </w:tc>
              <w:tc>
                <w:tcPr>
                  <w:tcW w:w="5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82E481">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mg/L</w:t>
                  </w:r>
                </w:p>
              </w:tc>
              <w:tc>
                <w:tcPr>
                  <w:tcW w:w="7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CFE43F">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0.06~0.08</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E6808">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0.06~0.08</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77D71">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w:t>
                  </w:r>
                </w:p>
              </w:tc>
              <w:tc>
                <w:tcPr>
                  <w:tcW w:w="8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79F39">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109F9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66AD2C">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11</w:t>
                  </w:r>
                </w:p>
              </w:tc>
              <w:tc>
                <w:tcPr>
                  <w:tcW w:w="11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6A006A">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动植物油</w:t>
                  </w:r>
                </w:p>
              </w:tc>
              <w:tc>
                <w:tcPr>
                  <w:tcW w:w="5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2F15EB">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mg/L</w:t>
                  </w:r>
                </w:p>
              </w:tc>
              <w:tc>
                <w:tcPr>
                  <w:tcW w:w="7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1812B2">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w:t>
                  </w:r>
                  <w:r>
                    <w:rPr>
                      <w:rFonts w:hint="eastAsia" w:ascii="Times New Roman" w:hAnsi="Times New Roman" w:cs="Times New Roman"/>
                      <w:sz w:val="21"/>
                      <w:szCs w:val="21"/>
                      <w:lang w:val="en-US" w:eastAsia="zh-CN"/>
                    </w:rPr>
                    <w:t>08</w:t>
                  </w:r>
                  <w:r>
                    <w:rPr>
                      <w:rFonts w:hint="default" w:ascii="Times New Roman" w:hAnsi="Times New Roman" w:cs="Times New Roman"/>
                      <w:sz w:val="21"/>
                      <w:szCs w:val="21"/>
                      <w:lang w:val="en-US" w:eastAsia="zh-CN"/>
                    </w:rPr>
                    <w:t>~0.11</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8AC86">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0.07</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7CB33A">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w:t>
                  </w:r>
                </w:p>
              </w:tc>
              <w:tc>
                <w:tcPr>
                  <w:tcW w:w="8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F7403">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5C535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E03DAF">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12</w:t>
                  </w:r>
                </w:p>
              </w:tc>
              <w:tc>
                <w:tcPr>
                  <w:tcW w:w="11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237B51">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粪大肠菌群</w:t>
                  </w:r>
                </w:p>
              </w:tc>
              <w:tc>
                <w:tcPr>
                  <w:tcW w:w="5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F3D39">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MPN/L</w:t>
                  </w:r>
                </w:p>
              </w:tc>
              <w:tc>
                <w:tcPr>
                  <w:tcW w:w="7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0B7A23">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20L</w:t>
                  </w:r>
                </w:p>
              </w:tc>
              <w:tc>
                <w:tcPr>
                  <w:tcW w:w="8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280BE">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20L</w:t>
                  </w:r>
                </w:p>
              </w:tc>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D04CFD">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≤1000</w:t>
                  </w:r>
                </w:p>
              </w:tc>
              <w:tc>
                <w:tcPr>
                  <w:tcW w:w="8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2A82C3">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57073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1" w:type="pct"/>
                <w:wAfter w:w="2" w:type="pct"/>
                <w:trHeight w:val="274" w:hRule="atLeast"/>
                <w:jc w:val="center"/>
              </w:trPr>
              <w:tc>
                <w:tcPr>
                  <w:tcW w:w="25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33C9C9C">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13</w:t>
                  </w:r>
                </w:p>
              </w:tc>
              <w:tc>
                <w:tcPr>
                  <w:tcW w:w="1127" w:type="pct"/>
                  <w:gridSpan w:val="3"/>
                  <w:tcBorders>
                    <w:top w:val="single" w:color="000000" w:sz="8" w:space="0"/>
                    <w:left w:val="nil"/>
                    <w:bottom w:val="single" w:color="000000" w:sz="8" w:space="0"/>
                    <w:right w:val="single" w:color="000000" w:sz="8" w:space="0"/>
                  </w:tcBorders>
                  <w:shd w:val="clear" w:color="auto" w:fill="auto"/>
                  <w:vAlign w:val="center"/>
                </w:tcPr>
                <w:p w14:paraId="5172512B">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总汞</w:t>
                  </w:r>
                </w:p>
              </w:tc>
              <w:tc>
                <w:tcPr>
                  <w:tcW w:w="523" w:type="pct"/>
                  <w:gridSpan w:val="2"/>
                  <w:tcBorders>
                    <w:top w:val="single" w:color="000000" w:sz="8" w:space="0"/>
                    <w:left w:val="nil"/>
                    <w:bottom w:val="single" w:color="000000" w:sz="8" w:space="0"/>
                    <w:right w:val="single" w:color="000000" w:sz="8" w:space="0"/>
                  </w:tcBorders>
                  <w:shd w:val="clear" w:color="auto" w:fill="auto"/>
                  <w:vAlign w:val="center"/>
                </w:tcPr>
                <w:p w14:paraId="0D10B53D">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μg/L</w:t>
                  </w:r>
                </w:p>
              </w:tc>
              <w:tc>
                <w:tcPr>
                  <w:tcW w:w="773" w:type="pct"/>
                  <w:gridSpan w:val="2"/>
                  <w:tcBorders>
                    <w:top w:val="single" w:color="000000" w:sz="8" w:space="0"/>
                    <w:left w:val="nil"/>
                    <w:bottom w:val="single" w:color="000000" w:sz="8" w:space="0"/>
                    <w:right w:val="single" w:color="000000" w:sz="8" w:space="0"/>
                  </w:tcBorders>
                  <w:shd w:val="clear" w:color="auto" w:fill="auto"/>
                  <w:vAlign w:val="center"/>
                </w:tcPr>
                <w:p w14:paraId="594E237B">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0.3</w:t>
                  </w:r>
                  <w:r>
                    <w:rPr>
                      <w:rFonts w:hint="eastAsia" w:ascii="Times New Roman" w:hAnsi="Times New Roman" w:cs="Times New Roman"/>
                      <w:sz w:val="21"/>
                      <w:szCs w:val="21"/>
                      <w:lang w:val="en-US" w:eastAsia="zh-CN"/>
                    </w:rPr>
                    <w:t>0</w:t>
                  </w:r>
                  <w:r>
                    <w:rPr>
                      <w:rFonts w:hint="default" w:ascii="Times New Roman" w:hAnsi="Times New Roman" w:cs="Times New Roman"/>
                      <w:sz w:val="21"/>
                      <w:szCs w:val="21"/>
                      <w:lang w:val="en-US" w:eastAsia="zh-CN"/>
                    </w:rPr>
                    <w:t>~0.3</w:t>
                  </w:r>
                  <w:r>
                    <w:rPr>
                      <w:rFonts w:hint="eastAsia" w:ascii="Times New Roman" w:hAnsi="Times New Roman" w:cs="Times New Roman"/>
                      <w:sz w:val="21"/>
                      <w:szCs w:val="21"/>
                      <w:lang w:val="en-US" w:eastAsia="zh-CN"/>
                    </w:rPr>
                    <w:t>7</w:t>
                  </w:r>
                </w:p>
              </w:tc>
              <w:tc>
                <w:tcPr>
                  <w:tcW w:w="800" w:type="pct"/>
                  <w:gridSpan w:val="2"/>
                  <w:tcBorders>
                    <w:top w:val="single" w:color="000000" w:sz="8" w:space="0"/>
                    <w:left w:val="nil"/>
                    <w:bottom w:val="single" w:color="000000" w:sz="8" w:space="0"/>
                    <w:right w:val="single" w:color="000000" w:sz="8" w:space="0"/>
                  </w:tcBorders>
                  <w:shd w:val="clear" w:color="auto" w:fill="auto"/>
                  <w:vAlign w:val="center"/>
                </w:tcPr>
                <w:p w14:paraId="47C6F9B3">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0.30~0.35</w:t>
                  </w:r>
                </w:p>
              </w:tc>
              <w:tc>
                <w:tcPr>
                  <w:tcW w:w="685" w:type="pct"/>
                  <w:gridSpan w:val="2"/>
                  <w:tcBorders>
                    <w:top w:val="single" w:color="000000" w:sz="8" w:space="0"/>
                    <w:left w:val="nil"/>
                    <w:bottom w:val="single" w:color="000000" w:sz="8" w:space="0"/>
                    <w:right w:val="single" w:color="000000" w:sz="8" w:space="0"/>
                  </w:tcBorders>
                  <w:shd w:val="clear" w:color="auto" w:fill="auto"/>
                  <w:vAlign w:val="center"/>
                </w:tcPr>
                <w:p w14:paraId="55EE1BA8">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w:t>
                  </w:r>
                </w:p>
              </w:tc>
              <w:tc>
                <w:tcPr>
                  <w:tcW w:w="830" w:type="pct"/>
                  <w:gridSpan w:val="2"/>
                  <w:tcBorders>
                    <w:top w:val="single" w:color="000000" w:sz="8" w:space="0"/>
                    <w:left w:val="nil"/>
                    <w:bottom w:val="single" w:color="000000" w:sz="8" w:space="0"/>
                    <w:right w:val="single" w:color="000000" w:sz="8" w:space="0"/>
                  </w:tcBorders>
                  <w:shd w:val="clear" w:color="auto" w:fill="auto"/>
                  <w:vAlign w:val="center"/>
                </w:tcPr>
                <w:p w14:paraId="2E5A5CA5">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04623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 w:type="pct"/>
                <w:wAfter w:w="2" w:type="pct"/>
                <w:trHeight w:val="327" w:hRule="atLeast"/>
                <w:jc w:val="center"/>
              </w:trPr>
              <w:tc>
                <w:tcPr>
                  <w:tcW w:w="254" w:type="pct"/>
                  <w:tcBorders>
                    <w:top w:val="nil"/>
                    <w:left w:val="single" w:color="000000" w:sz="8" w:space="0"/>
                    <w:bottom w:val="single" w:color="000000" w:sz="8" w:space="0"/>
                    <w:right w:val="single" w:color="000000" w:sz="8" w:space="0"/>
                  </w:tcBorders>
                  <w:shd w:val="clear" w:color="auto" w:fill="auto"/>
                  <w:vAlign w:val="center"/>
                </w:tcPr>
                <w:p w14:paraId="1A234CC7">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14</w:t>
                  </w:r>
                </w:p>
              </w:tc>
              <w:tc>
                <w:tcPr>
                  <w:tcW w:w="1127" w:type="pct"/>
                  <w:gridSpan w:val="3"/>
                  <w:tcBorders>
                    <w:top w:val="nil"/>
                    <w:left w:val="nil"/>
                    <w:bottom w:val="single" w:color="000000" w:sz="8" w:space="0"/>
                    <w:right w:val="single" w:color="000000" w:sz="8" w:space="0"/>
                  </w:tcBorders>
                  <w:shd w:val="clear" w:color="auto" w:fill="auto"/>
                  <w:vAlign w:val="center"/>
                </w:tcPr>
                <w:p w14:paraId="17460B12">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总砷</w:t>
                  </w:r>
                </w:p>
              </w:tc>
              <w:tc>
                <w:tcPr>
                  <w:tcW w:w="523" w:type="pct"/>
                  <w:gridSpan w:val="2"/>
                  <w:tcBorders>
                    <w:top w:val="nil"/>
                    <w:left w:val="nil"/>
                    <w:bottom w:val="single" w:color="000000" w:sz="8" w:space="0"/>
                    <w:right w:val="single" w:color="000000" w:sz="8" w:space="0"/>
                  </w:tcBorders>
                  <w:shd w:val="clear" w:color="auto" w:fill="auto"/>
                  <w:vAlign w:val="center"/>
                </w:tcPr>
                <w:p w14:paraId="0F940A7C">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μg/L</w:t>
                  </w:r>
                </w:p>
              </w:tc>
              <w:tc>
                <w:tcPr>
                  <w:tcW w:w="773" w:type="pct"/>
                  <w:gridSpan w:val="2"/>
                  <w:tcBorders>
                    <w:top w:val="nil"/>
                    <w:left w:val="nil"/>
                    <w:bottom w:val="single" w:color="000000" w:sz="8" w:space="0"/>
                    <w:right w:val="single" w:color="000000" w:sz="8" w:space="0"/>
                  </w:tcBorders>
                  <w:shd w:val="clear" w:color="auto" w:fill="auto"/>
                  <w:vAlign w:val="center"/>
                </w:tcPr>
                <w:p w14:paraId="7BBA19EC">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0.3L</w:t>
                  </w:r>
                </w:p>
              </w:tc>
              <w:tc>
                <w:tcPr>
                  <w:tcW w:w="800" w:type="pct"/>
                  <w:gridSpan w:val="2"/>
                  <w:tcBorders>
                    <w:top w:val="nil"/>
                    <w:left w:val="nil"/>
                    <w:bottom w:val="single" w:color="000000" w:sz="8" w:space="0"/>
                    <w:right w:val="single" w:color="000000" w:sz="8" w:space="0"/>
                  </w:tcBorders>
                  <w:shd w:val="clear" w:color="auto" w:fill="auto"/>
                  <w:vAlign w:val="center"/>
                </w:tcPr>
                <w:p w14:paraId="58863DF7">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0.3L</w:t>
                  </w:r>
                </w:p>
              </w:tc>
              <w:tc>
                <w:tcPr>
                  <w:tcW w:w="685" w:type="pct"/>
                  <w:gridSpan w:val="2"/>
                  <w:tcBorders>
                    <w:top w:val="nil"/>
                    <w:left w:val="nil"/>
                    <w:bottom w:val="single" w:color="000000" w:sz="8" w:space="0"/>
                    <w:right w:val="single" w:color="000000" w:sz="8" w:space="0"/>
                  </w:tcBorders>
                  <w:shd w:val="clear" w:color="auto" w:fill="auto"/>
                  <w:vAlign w:val="center"/>
                </w:tcPr>
                <w:p w14:paraId="04CE8C88">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≤100</w:t>
                  </w:r>
                </w:p>
              </w:tc>
              <w:tc>
                <w:tcPr>
                  <w:tcW w:w="830" w:type="pct"/>
                  <w:gridSpan w:val="2"/>
                  <w:tcBorders>
                    <w:top w:val="nil"/>
                    <w:left w:val="nil"/>
                    <w:bottom w:val="single" w:color="000000" w:sz="8" w:space="0"/>
                    <w:right w:val="single" w:color="000000" w:sz="8" w:space="0"/>
                  </w:tcBorders>
                  <w:shd w:val="clear" w:color="auto" w:fill="auto"/>
                  <w:vAlign w:val="center"/>
                </w:tcPr>
                <w:p w14:paraId="3BAD5B9A">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6582D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 w:type="pct"/>
                <w:wAfter w:w="2" w:type="pct"/>
                <w:trHeight w:val="327" w:hRule="atLeast"/>
                <w:jc w:val="center"/>
              </w:trPr>
              <w:tc>
                <w:tcPr>
                  <w:tcW w:w="254" w:type="pct"/>
                  <w:tcBorders>
                    <w:top w:val="nil"/>
                    <w:left w:val="single" w:color="000000" w:sz="8" w:space="0"/>
                    <w:bottom w:val="single" w:color="000000" w:sz="8" w:space="0"/>
                    <w:right w:val="single" w:color="000000" w:sz="8" w:space="0"/>
                  </w:tcBorders>
                  <w:shd w:val="clear" w:color="auto" w:fill="auto"/>
                  <w:vAlign w:val="center"/>
                </w:tcPr>
                <w:p w14:paraId="1FE78AA8">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15</w:t>
                  </w:r>
                </w:p>
              </w:tc>
              <w:tc>
                <w:tcPr>
                  <w:tcW w:w="1127" w:type="pct"/>
                  <w:gridSpan w:val="3"/>
                  <w:tcBorders>
                    <w:top w:val="nil"/>
                    <w:left w:val="nil"/>
                    <w:bottom w:val="single" w:color="000000" w:sz="8" w:space="0"/>
                    <w:right w:val="single" w:color="000000" w:sz="8" w:space="0"/>
                  </w:tcBorders>
                  <w:shd w:val="clear" w:color="auto" w:fill="auto"/>
                  <w:vAlign w:val="center"/>
                </w:tcPr>
                <w:p w14:paraId="186021B9">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总铅</w:t>
                  </w:r>
                </w:p>
              </w:tc>
              <w:tc>
                <w:tcPr>
                  <w:tcW w:w="523" w:type="pct"/>
                  <w:gridSpan w:val="2"/>
                  <w:tcBorders>
                    <w:top w:val="nil"/>
                    <w:left w:val="nil"/>
                    <w:bottom w:val="single" w:color="000000" w:sz="8" w:space="0"/>
                    <w:right w:val="single" w:color="000000" w:sz="8" w:space="0"/>
                  </w:tcBorders>
                  <w:shd w:val="clear" w:color="auto" w:fill="auto"/>
                  <w:vAlign w:val="center"/>
                </w:tcPr>
                <w:p w14:paraId="66D5E98B">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μg/L</w:t>
                  </w:r>
                </w:p>
              </w:tc>
              <w:tc>
                <w:tcPr>
                  <w:tcW w:w="773" w:type="pct"/>
                  <w:gridSpan w:val="2"/>
                  <w:tcBorders>
                    <w:top w:val="nil"/>
                    <w:left w:val="nil"/>
                    <w:bottom w:val="single" w:color="000000" w:sz="8" w:space="0"/>
                    <w:right w:val="single" w:color="000000" w:sz="8" w:space="0"/>
                  </w:tcBorders>
                  <w:shd w:val="clear" w:color="auto" w:fill="auto"/>
                  <w:vAlign w:val="center"/>
                </w:tcPr>
                <w:p w14:paraId="3C5A2A03">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10L</w:t>
                  </w:r>
                </w:p>
              </w:tc>
              <w:tc>
                <w:tcPr>
                  <w:tcW w:w="800" w:type="pct"/>
                  <w:gridSpan w:val="2"/>
                  <w:tcBorders>
                    <w:top w:val="nil"/>
                    <w:left w:val="nil"/>
                    <w:bottom w:val="single" w:color="000000" w:sz="8" w:space="0"/>
                    <w:right w:val="single" w:color="000000" w:sz="8" w:space="0"/>
                  </w:tcBorders>
                  <w:shd w:val="clear" w:color="auto" w:fill="auto"/>
                  <w:vAlign w:val="center"/>
                </w:tcPr>
                <w:p w14:paraId="7447BE5E">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10L</w:t>
                  </w:r>
                </w:p>
              </w:tc>
              <w:tc>
                <w:tcPr>
                  <w:tcW w:w="685" w:type="pct"/>
                  <w:gridSpan w:val="2"/>
                  <w:tcBorders>
                    <w:top w:val="nil"/>
                    <w:left w:val="nil"/>
                    <w:bottom w:val="single" w:color="000000" w:sz="8" w:space="0"/>
                    <w:right w:val="single" w:color="000000" w:sz="8" w:space="0"/>
                  </w:tcBorders>
                  <w:shd w:val="clear" w:color="auto" w:fill="auto"/>
                  <w:vAlign w:val="center"/>
                </w:tcPr>
                <w:p w14:paraId="5E80792C">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≤100</w:t>
                  </w:r>
                </w:p>
              </w:tc>
              <w:tc>
                <w:tcPr>
                  <w:tcW w:w="830" w:type="pct"/>
                  <w:gridSpan w:val="2"/>
                  <w:tcBorders>
                    <w:top w:val="nil"/>
                    <w:left w:val="nil"/>
                    <w:bottom w:val="single" w:color="000000" w:sz="8" w:space="0"/>
                    <w:right w:val="single" w:color="000000" w:sz="8" w:space="0"/>
                  </w:tcBorders>
                  <w:shd w:val="clear" w:color="auto" w:fill="auto"/>
                  <w:vAlign w:val="center"/>
                </w:tcPr>
                <w:p w14:paraId="7DF5F080">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5E1E9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 w:type="pct"/>
                <w:wAfter w:w="2" w:type="pct"/>
                <w:trHeight w:val="206" w:hRule="atLeast"/>
                <w:jc w:val="center"/>
              </w:trPr>
              <w:tc>
                <w:tcPr>
                  <w:tcW w:w="254" w:type="pct"/>
                  <w:tcBorders>
                    <w:top w:val="nil"/>
                    <w:left w:val="single" w:color="000000" w:sz="8" w:space="0"/>
                    <w:bottom w:val="single" w:color="000000" w:sz="8" w:space="0"/>
                    <w:right w:val="single" w:color="000000" w:sz="8" w:space="0"/>
                  </w:tcBorders>
                  <w:shd w:val="clear" w:color="auto" w:fill="auto"/>
                  <w:vAlign w:val="center"/>
                </w:tcPr>
                <w:p w14:paraId="54802D23">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16</w:t>
                  </w:r>
                </w:p>
              </w:tc>
              <w:tc>
                <w:tcPr>
                  <w:tcW w:w="1127" w:type="pct"/>
                  <w:gridSpan w:val="3"/>
                  <w:tcBorders>
                    <w:top w:val="nil"/>
                    <w:left w:val="nil"/>
                    <w:bottom w:val="single" w:color="000000" w:sz="8" w:space="0"/>
                    <w:right w:val="single" w:color="000000" w:sz="8" w:space="0"/>
                  </w:tcBorders>
                  <w:shd w:val="clear" w:color="auto" w:fill="auto"/>
                  <w:vAlign w:val="center"/>
                </w:tcPr>
                <w:p w14:paraId="2AE97672">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总镉</w:t>
                  </w:r>
                </w:p>
              </w:tc>
              <w:tc>
                <w:tcPr>
                  <w:tcW w:w="523" w:type="pct"/>
                  <w:gridSpan w:val="2"/>
                  <w:tcBorders>
                    <w:top w:val="nil"/>
                    <w:left w:val="nil"/>
                    <w:bottom w:val="single" w:color="000000" w:sz="8" w:space="0"/>
                    <w:right w:val="single" w:color="000000" w:sz="8" w:space="0"/>
                  </w:tcBorders>
                  <w:shd w:val="clear" w:color="auto" w:fill="auto"/>
                  <w:vAlign w:val="center"/>
                </w:tcPr>
                <w:p w14:paraId="4AFBAAD8">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μg/L</w:t>
                  </w:r>
                </w:p>
              </w:tc>
              <w:tc>
                <w:tcPr>
                  <w:tcW w:w="773" w:type="pct"/>
                  <w:gridSpan w:val="2"/>
                  <w:tcBorders>
                    <w:top w:val="nil"/>
                    <w:left w:val="nil"/>
                    <w:bottom w:val="single" w:color="000000" w:sz="8" w:space="0"/>
                    <w:right w:val="single" w:color="000000" w:sz="8" w:space="0"/>
                  </w:tcBorders>
                  <w:shd w:val="clear" w:color="auto" w:fill="auto"/>
                  <w:vAlign w:val="center"/>
                </w:tcPr>
                <w:p w14:paraId="209B5C0C">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w:t>
                  </w:r>
                </w:p>
              </w:tc>
              <w:tc>
                <w:tcPr>
                  <w:tcW w:w="800" w:type="pct"/>
                  <w:gridSpan w:val="2"/>
                  <w:tcBorders>
                    <w:top w:val="nil"/>
                    <w:left w:val="nil"/>
                    <w:bottom w:val="single" w:color="000000" w:sz="8" w:space="0"/>
                    <w:right w:val="single" w:color="000000" w:sz="8" w:space="0"/>
                  </w:tcBorders>
                  <w:shd w:val="clear" w:color="auto" w:fill="auto"/>
                  <w:vAlign w:val="center"/>
                </w:tcPr>
                <w:p w14:paraId="186E05F2">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w:t>
                  </w:r>
                </w:p>
              </w:tc>
              <w:tc>
                <w:tcPr>
                  <w:tcW w:w="685" w:type="pct"/>
                  <w:gridSpan w:val="2"/>
                  <w:tcBorders>
                    <w:top w:val="nil"/>
                    <w:left w:val="nil"/>
                    <w:bottom w:val="single" w:color="000000" w:sz="8" w:space="0"/>
                    <w:right w:val="single" w:color="000000" w:sz="8" w:space="0"/>
                  </w:tcBorders>
                  <w:shd w:val="clear" w:color="auto" w:fill="auto"/>
                  <w:vAlign w:val="center"/>
                </w:tcPr>
                <w:p w14:paraId="2FE0CDB4">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≤10</w:t>
                  </w:r>
                </w:p>
              </w:tc>
              <w:tc>
                <w:tcPr>
                  <w:tcW w:w="830" w:type="pct"/>
                  <w:gridSpan w:val="2"/>
                  <w:tcBorders>
                    <w:top w:val="nil"/>
                    <w:left w:val="nil"/>
                    <w:bottom w:val="single" w:color="000000" w:sz="8" w:space="0"/>
                    <w:right w:val="single" w:color="000000" w:sz="8" w:space="0"/>
                  </w:tcBorders>
                  <w:shd w:val="clear" w:color="auto" w:fill="auto"/>
                  <w:vAlign w:val="center"/>
                </w:tcPr>
                <w:p w14:paraId="1D21CBD9">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2628D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1" w:type="pct"/>
                <w:wAfter w:w="2" w:type="pct"/>
                <w:trHeight w:val="327" w:hRule="atLeast"/>
                <w:jc w:val="center"/>
              </w:trPr>
              <w:tc>
                <w:tcPr>
                  <w:tcW w:w="254" w:type="pct"/>
                  <w:tcBorders>
                    <w:top w:val="nil"/>
                    <w:left w:val="single" w:color="000000" w:sz="8" w:space="0"/>
                    <w:bottom w:val="single" w:color="000000" w:sz="8" w:space="0"/>
                    <w:right w:val="single" w:color="000000" w:sz="8" w:space="0"/>
                  </w:tcBorders>
                  <w:shd w:val="clear" w:color="auto" w:fill="auto"/>
                  <w:vAlign w:val="center"/>
                </w:tcPr>
                <w:p w14:paraId="0CDB18C2">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17</w:t>
                  </w:r>
                </w:p>
              </w:tc>
              <w:tc>
                <w:tcPr>
                  <w:tcW w:w="1127" w:type="pct"/>
                  <w:gridSpan w:val="3"/>
                  <w:tcBorders>
                    <w:top w:val="nil"/>
                    <w:left w:val="nil"/>
                    <w:bottom w:val="single" w:color="000000" w:sz="8" w:space="0"/>
                    <w:right w:val="single" w:color="000000" w:sz="8" w:space="0"/>
                  </w:tcBorders>
                  <w:shd w:val="clear" w:color="auto" w:fill="auto"/>
                  <w:vAlign w:val="center"/>
                </w:tcPr>
                <w:p w14:paraId="344F4AFD">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六价铬</w:t>
                  </w:r>
                </w:p>
              </w:tc>
              <w:tc>
                <w:tcPr>
                  <w:tcW w:w="523" w:type="pct"/>
                  <w:gridSpan w:val="2"/>
                  <w:tcBorders>
                    <w:top w:val="nil"/>
                    <w:left w:val="nil"/>
                    <w:bottom w:val="single" w:color="000000" w:sz="8" w:space="0"/>
                    <w:right w:val="single" w:color="000000" w:sz="8" w:space="0"/>
                  </w:tcBorders>
                  <w:shd w:val="clear" w:color="auto" w:fill="auto"/>
                  <w:vAlign w:val="center"/>
                </w:tcPr>
                <w:p w14:paraId="4B9B22D4">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mg/L</w:t>
                  </w:r>
                </w:p>
              </w:tc>
              <w:tc>
                <w:tcPr>
                  <w:tcW w:w="773" w:type="pct"/>
                  <w:gridSpan w:val="2"/>
                  <w:tcBorders>
                    <w:top w:val="nil"/>
                    <w:left w:val="nil"/>
                    <w:bottom w:val="single" w:color="000000" w:sz="8" w:space="0"/>
                    <w:right w:val="single" w:color="000000" w:sz="8" w:space="0"/>
                  </w:tcBorders>
                  <w:shd w:val="clear" w:color="auto" w:fill="auto"/>
                  <w:vAlign w:val="center"/>
                </w:tcPr>
                <w:p w14:paraId="16772F14">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0.004L</w:t>
                  </w:r>
                </w:p>
              </w:tc>
              <w:tc>
                <w:tcPr>
                  <w:tcW w:w="800" w:type="pct"/>
                  <w:gridSpan w:val="2"/>
                  <w:tcBorders>
                    <w:top w:val="nil"/>
                    <w:left w:val="nil"/>
                    <w:bottom w:val="single" w:color="000000" w:sz="8" w:space="0"/>
                    <w:right w:val="single" w:color="000000" w:sz="8" w:space="0"/>
                  </w:tcBorders>
                  <w:shd w:val="clear" w:color="auto" w:fill="auto"/>
                  <w:vAlign w:val="center"/>
                </w:tcPr>
                <w:p w14:paraId="6FC86532">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0.004L</w:t>
                  </w:r>
                </w:p>
              </w:tc>
              <w:tc>
                <w:tcPr>
                  <w:tcW w:w="685" w:type="pct"/>
                  <w:gridSpan w:val="2"/>
                  <w:tcBorders>
                    <w:top w:val="nil"/>
                    <w:left w:val="nil"/>
                    <w:bottom w:val="single" w:color="000000" w:sz="8" w:space="0"/>
                    <w:right w:val="single" w:color="000000" w:sz="8" w:space="0"/>
                  </w:tcBorders>
                  <w:shd w:val="clear" w:color="auto" w:fill="auto"/>
                  <w:vAlign w:val="center"/>
                </w:tcPr>
                <w:p w14:paraId="00126D7E">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≤0.05</w:t>
                  </w:r>
                </w:p>
              </w:tc>
              <w:tc>
                <w:tcPr>
                  <w:tcW w:w="830" w:type="pct"/>
                  <w:gridSpan w:val="2"/>
                  <w:tcBorders>
                    <w:top w:val="nil"/>
                    <w:left w:val="nil"/>
                    <w:bottom w:val="single" w:color="000000" w:sz="8" w:space="0"/>
                    <w:right w:val="single" w:color="000000" w:sz="8" w:space="0"/>
                  </w:tcBorders>
                  <w:shd w:val="clear" w:color="auto" w:fill="auto"/>
                  <w:vAlign w:val="center"/>
                </w:tcPr>
                <w:p w14:paraId="24BC9267">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2E1A4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 w:type="pct"/>
                <w:wAfter w:w="2" w:type="pct"/>
                <w:trHeight w:val="327" w:hRule="atLeast"/>
                <w:jc w:val="center"/>
              </w:trPr>
              <w:tc>
                <w:tcPr>
                  <w:tcW w:w="254" w:type="pct"/>
                  <w:tcBorders>
                    <w:top w:val="nil"/>
                    <w:left w:val="single" w:color="000000" w:sz="8" w:space="0"/>
                    <w:bottom w:val="single" w:color="000000" w:sz="8" w:space="0"/>
                    <w:right w:val="single" w:color="000000" w:sz="8" w:space="0"/>
                  </w:tcBorders>
                  <w:shd w:val="clear" w:color="auto" w:fill="auto"/>
                  <w:vAlign w:val="center"/>
                </w:tcPr>
                <w:p w14:paraId="0383BBD5">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18</w:t>
                  </w:r>
                </w:p>
              </w:tc>
              <w:tc>
                <w:tcPr>
                  <w:tcW w:w="1127" w:type="pct"/>
                  <w:gridSpan w:val="3"/>
                  <w:tcBorders>
                    <w:top w:val="nil"/>
                    <w:left w:val="nil"/>
                    <w:bottom w:val="single" w:color="000000" w:sz="8" w:space="0"/>
                    <w:right w:val="single" w:color="000000" w:sz="8" w:space="0"/>
                  </w:tcBorders>
                  <w:shd w:val="clear" w:color="auto" w:fill="auto"/>
                  <w:vAlign w:val="center"/>
                </w:tcPr>
                <w:p w14:paraId="4377B6B9">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总铬</w:t>
                  </w:r>
                </w:p>
              </w:tc>
              <w:tc>
                <w:tcPr>
                  <w:tcW w:w="523" w:type="pct"/>
                  <w:gridSpan w:val="2"/>
                  <w:tcBorders>
                    <w:top w:val="nil"/>
                    <w:left w:val="nil"/>
                    <w:bottom w:val="single" w:color="000000" w:sz="8" w:space="0"/>
                    <w:right w:val="single" w:color="000000" w:sz="8" w:space="0"/>
                  </w:tcBorders>
                  <w:shd w:val="clear" w:color="auto" w:fill="auto"/>
                  <w:vAlign w:val="center"/>
                </w:tcPr>
                <w:p w14:paraId="5AA887B8">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mg/L</w:t>
                  </w:r>
                </w:p>
              </w:tc>
              <w:tc>
                <w:tcPr>
                  <w:tcW w:w="773" w:type="pct"/>
                  <w:gridSpan w:val="2"/>
                  <w:tcBorders>
                    <w:top w:val="nil"/>
                    <w:left w:val="nil"/>
                    <w:bottom w:val="single" w:color="000000" w:sz="8" w:space="0"/>
                    <w:right w:val="single" w:color="000000" w:sz="8" w:space="0"/>
                  </w:tcBorders>
                  <w:shd w:val="clear" w:color="auto" w:fill="auto"/>
                  <w:vAlign w:val="center"/>
                </w:tcPr>
                <w:p w14:paraId="1C72D14F">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0.004L</w:t>
                  </w:r>
                </w:p>
              </w:tc>
              <w:tc>
                <w:tcPr>
                  <w:tcW w:w="800" w:type="pct"/>
                  <w:gridSpan w:val="2"/>
                  <w:tcBorders>
                    <w:top w:val="nil"/>
                    <w:left w:val="nil"/>
                    <w:bottom w:val="single" w:color="000000" w:sz="8" w:space="0"/>
                    <w:right w:val="single" w:color="000000" w:sz="8" w:space="0"/>
                  </w:tcBorders>
                  <w:shd w:val="clear" w:color="auto" w:fill="auto"/>
                  <w:vAlign w:val="center"/>
                </w:tcPr>
                <w:p w14:paraId="02A7E75A">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0.004L</w:t>
                  </w:r>
                </w:p>
              </w:tc>
              <w:tc>
                <w:tcPr>
                  <w:tcW w:w="685" w:type="pct"/>
                  <w:gridSpan w:val="2"/>
                  <w:tcBorders>
                    <w:top w:val="nil"/>
                    <w:left w:val="nil"/>
                    <w:bottom w:val="single" w:color="000000" w:sz="8" w:space="0"/>
                    <w:right w:val="single" w:color="000000" w:sz="8" w:space="0"/>
                  </w:tcBorders>
                  <w:shd w:val="clear" w:color="auto" w:fill="auto"/>
                  <w:vAlign w:val="center"/>
                </w:tcPr>
                <w:p w14:paraId="4CD673D3">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p>
              </w:tc>
              <w:tc>
                <w:tcPr>
                  <w:tcW w:w="830" w:type="pct"/>
                  <w:gridSpan w:val="2"/>
                  <w:tcBorders>
                    <w:top w:val="nil"/>
                    <w:left w:val="nil"/>
                    <w:bottom w:val="single" w:color="000000" w:sz="8" w:space="0"/>
                    <w:right w:val="single" w:color="000000" w:sz="8" w:space="0"/>
                  </w:tcBorders>
                  <w:shd w:val="clear" w:color="auto" w:fill="auto"/>
                  <w:vAlign w:val="center"/>
                </w:tcPr>
                <w:p w14:paraId="5FC3618F">
                  <w:pPr>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29952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 w:type="pct"/>
                <w:wAfter w:w="2" w:type="pct"/>
                <w:trHeight w:val="201" w:hRule="atLeast"/>
                <w:jc w:val="center"/>
              </w:trPr>
              <w:tc>
                <w:tcPr>
                  <w:tcW w:w="254" w:type="pct"/>
                  <w:tcBorders>
                    <w:top w:val="nil"/>
                    <w:left w:val="single" w:color="000000" w:sz="8" w:space="0"/>
                    <w:bottom w:val="single" w:color="000000" w:sz="8" w:space="0"/>
                    <w:right w:val="single" w:color="000000" w:sz="8" w:space="0"/>
                  </w:tcBorders>
                  <w:shd w:val="clear" w:color="auto" w:fill="auto"/>
                  <w:vAlign w:val="center"/>
                </w:tcPr>
                <w:p w14:paraId="7790983D">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19</w:t>
                  </w:r>
                </w:p>
              </w:tc>
              <w:tc>
                <w:tcPr>
                  <w:tcW w:w="540" w:type="pct"/>
                  <w:gridSpan w:val="2"/>
                  <w:vMerge w:val="restart"/>
                  <w:tcBorders>
                    <w:top w:val="nil"/>
                    <w:left w:val="nil"/>
                    <w:right w:val="single" w:color="auto" w:sz="4" w:space="0"/>
                  </w:tcBorders>
                  <w:shd w:val="clear" w:color="auto" w:fill="auto"/>
                  <w:vAlign w:val="center"/>
                </w:tcPr>
                <w:p w14:paraId="77BEE3A7">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烷基汞</w:t>
                  </w:r>
                </w:p>
              </w:tc>
              <w:tc>
                <w:tcPr>
                  <w:tcW w:w="587" w:type="pct"/>
                  <w:tcBorders>
                    <w:top w:val="nil"/>
                    <w:left w:val="single" w:color="auto" w:sz="4" w:space="0"/>
                    <w:bottom w:val="single" w:color="000000" w:sz="8" w:space="0"/>
                    <w:right w:val="single" w:color="000000" w:sz="8" w:space="0"/>
                  </w:tcBorders>
                  <w:shd w:val="clear" w:color="auto" w:fill="auto"/>
                  <w:vAlign w:val="center"/>
                </w:tcPr>
                <w:p w14:paraId="373D729B">
                  <w:pPr>
                    <w:pStyle w:val="25"/>
                    <w:bidi w:val="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甲基汞</w:t>
                  </w:r>
                </w:p>
              </w:tc>
              <w:tc>
                <w:tcPr>
                  <w:tcW w:w="523" w:type="pct"/>
                  <w:gridSpan w:val="2"/>
                  <w:tcBorders>
                    <w:top w:val="nil"/>
                    <w:left w:val="nil"/>
                    <w:bottom w:val="single" w:color="000000" w:sz="8" w:space="0"/>
                    <w:right w:val="single" w:color="000000" w:sz="8" w:space="0"/>
                  </w:tcBorders>
                  <w:shd w:val="clear" w:color="auto" w:fill="auto"/>
                  <w:vAlign w:val="center"/>
                </w:tcPr>
                <w:p w14:paraId="22D11583">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ng/L</w:t>
                  </w:r>
                </w:p>
              </w:tc>
              <w:tc>
                <w:tcPr>
                  <w:tcW w:w="773" w:type="pct"/>
                  <w:gridSpan w:val="2"/>
                  <w:tcBorders>
                    <w:top w:val="nil"/>
                    <w:left w:val="nil"/>
                    <w:bottom w:val="single" w:color="000000" w:sz="8" w:space="0"/>
                    <w:right w:val="single" w:color="000000" w:sz="8" w:space="0"/>
                  </w:tcBorders>
                  <w:shd w:val="clear" w:color="auto" w:fill="auto"/>
                  <w:vAlign w:val="center"/>
                </w:tcPr>
                <w:p w14:paraId="5175AB52">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10L</w:t>
                  </w:r>
                </w:p>
              </w:tc>
              <w:tc>
                <w:tcPr>
                  <w:tcW w:w="800" w:type="pct"/>
                  <w:gridSpan w:val="2"/>
                  <w:tcBorders>
                    <w:top w:val="nil"/>
                    <w:left w:val="nil"/>
                    <w:bottom w:val="single" w:color="000000" w:sz="8" w:space="0"/>
                    <w:right w:val="single" w:color="000000" w:sz="8" w:space="0"/>
                  </w:tcBorders>
                  <w:shd w:val="clear" w:color="auto" w:fill="auto"/>
                  <w:vAlign w:val="center"/>
                </w:tcPr>
                <w:p w14:paraId="3E34800A">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10L</w:t>
                  </w:r>
                </w:p>
              </w:tc>
              <w:tc>
                <w:tcPr>
                  <w:tcW w:w="685" w:type="pct"/>
                  <w:gridSpan w:val="2"/>
                  <w:tcBorders>
                    <w:top w:val="nil"/>
                    <w:left w:val="nil"/>
                    <w:bottom w:val="single" w:color="000000" w:sz="8" w:space="0"/>
                    <w:right w:val="single" w:color="000000" w:sz="8" w:space="0"/>
                  </w:tcBorders>
                  <w:shd w:val="clear" w:color="auto" w:fill="auto"/>
                  <w:vAlign w:val="center"/>
                </w:tcPr>
                <w:p w14:paraId="780556CF">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不得检出</w:t>
                  </w:r>
                </w:p>
              </w:tc>
              <w:tc>
                <w:tcPr>
                  <w:tcW w:w="830" w:type="pct"/>
                  <w:gridSpan w:val="2"/>
                  <w:tcBorders>
                    <w:top w:val="nil"/>
                    <w:left w:val="nil"/>
                    <w:bottom w:val="single" w:color="000000" w:sz="8" w:space="0"/>
                    <w:right w:val="single" w:color="000000" w:sz="8" w:space="0"/>
                  </w:tcBorders>
                  <w:shd w:val="clear" w:color="auto" w:fill="auto"/>
                  <w:vAlign w:val="center"/>
                </w:tcPr>
                <w:p w14:paraId="0DC53B34">
                  <w:pPr>
                    <w:pStyle w:val="25"/>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r w14:paraId="33F56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 w:type="pct"/>
                <w:wAfter w:w="2" w:type="pct"/>
                <w:trHeight w:val="476" w:hRule="atLeast"/>
                <w:jc w:val="center"/>
              </w:trPr>
              <w:tc>
                <w:tcPr>
                  <w:tcW w:w="254" w:type="pct"/>
                  <w:tcBorders>
                    <w:top w:val="nil"/>
                    <w:left w:val="single" w:color="000000" w:sz="8" w:space="0"/>
                    <w:bottom w:val="single" w:color="000000" w:sz="8" w:space="0"/>
                    <w:right w:val="single" w:color="000000" w:sz="8" w:space="0"/>
                  </w:tcBorders>
                  <w:shd w:val="clear" w:color="auto" w:fill="auto"/>
                  <w:vAlign w:val="center"/>
                </w:tcPr>
                <w:p w14:paraId="35365512">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20</w:t>
                  </w:r>
                </w:p>
              </w:tc>
              <w:tc>
                <w:tcPr>
                  <w:tcW w:w="540" w:type="pct"/>
                  <w:gridSpan w:val="2"/>
                  <w:vMerge w:val="continue"/>
                  <w:tcBorders>
                    <w:left w:val="nil"/>
                    <w:bottom w:val="single" w:color="000000" w:sz="8" w:space="0"/>
                    <w:right w:val="single" w:color="auto" w:sz="4" w:space="0"/>
                  </w:tcBorders>
                  <w:shd w:val="clear" w:color="auto" w:fill="auto"/>
                  <w:vAlign w:val="center"/>
                </w:tcPr>
                <w:p w14:paraId="7868371E">
                  <w:pPr>
                    <w:pStyle w:val="25"/>
                    <w:bidi w:val="0"/>
                    <w:jc w:val="center"/>
                    <w:rPr>
                      <w:rFonts w:hint="default" w:ascii="Times New Roman" w:hAnsi="Times New Roman" w:cs="Times New Roman"/>
                      <w:sz w:val="21"/>
                      <w:szCs w:val="21"/>
                    </w:rPr>
                  </w:pPr>
                </w:p>
              </w:tc>
              <w:tc>
                <w:tcPr>
                  <w:tcW w:w="587" w:type="pct"/>
                  <w:tcBorders>
                    <w:top w:val="nil"/>
                    <w:left w:val="single" w:color="auto" w:sz="4" w:space="0"/>
                    <w:bottom w:val="single" w:color="000000" w:sz="8" w:space="0"/>
                    <w:right w:val="single" w:color="000000" w:sz="8" w:space="0"/>
                  </w:tcBorders>
                  <w:shd w:val="clear" w:color="auto" w:fill="auto"/>
                  <w:vAlign w:val="center"/>
                </w:tcPr>
                <w:p w14:paraId="7AFE576A">
                  <w:pPr>
                    <w:pStyle w:val="25"/>
                    <w:bidi w:val="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乙基汞</w:t>
                  </w:r>
                </w:p>
              </w:tc>
              <w:tc>
                <w:tcPr>
                  <w:tcW w:w="523" w:type="pct"/>
                  <w:gridSpan w:val="2"/>
                  <w:tcBorders>
                    <w:top w:val="nil"/>
                    <w:left w:val="nil"/>
                    <w:bottom w:val="single" w:color="000000" w:sz="8" w:space="0"/>
                    <w:right w:val="single" w:color="000000" w:sz="8" w:space="0"/>
                  </w:tcBorders>
                  <w:shd w:val="clear" w:color="auto" w:fill="auto"/>
                  <w:vAlign w:val="center"/>
                </w:tcPr>
                <w:p w14:paraId="5003BD86">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ng/L</w:t>
                  </w:r>
                </w:p>
              </w:tc>
              <w:tc>
                <w:tcPr>
                  <w:tcW w:w="773" w:type="pct"/>
                  <w:gridSpan w:val="2"/>
                  <w:tcBorders>
                    <w:top w:val="nil"/>
                    <w:left w:val="nil"/>
                    <w:bottom w:val="single" w:color="000000" w:sz="8" w:space="0"/>
                    <w:right w:val="single" w:color="000000" w:sz="8" w:space="0"/>
                  </w:tcBorders>
                  <w:shd w:val="clear" w:color="auto" w:fill="auto"/>
                  <w:vAlign w:val="center"/>
                </w:tcPr>
                <w:p w14:paraId="2D7D991B">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20L</w:t>
                  </w:r>
                </w:p>
              </w:tc>
              <w:tc>
                <w:tcPr>
                  <w:tcW w:w="800" w:type="pct"/>
                  <w:gridSpan w:val="2"/>
                  <w:tcBorders>
                    <w:top w:val="nil"/>
                    <w:left w:val="nil"/>
                    <w:bottom w:val="single" w:color="000000" w:sz="8" w:space="0"/>
                    <w:right w:val="single" w:color="000000" w:sz="8" w:space="0"/>
                  </w:tcBorders>
                  <w:shd w:val="clear" w:color="auto" w:fill="auto"/>
                  <w:vAlign w:val="center"/>
                </w:tcPr>
                <w:p w14:paraId="539D97CB">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20L</w:t>
                  </w:r>
                </w:p>
              </w:tc>
              <w:tc>
                <w:tcPr>
                  <w:tcW w:w="685" w:type="pct"/>
                  <w:gridSpan w:val="2"/>
                  <w:tcBorders>
                    <w:top w:val="nil"/>
                    <w:left w:val="nil"/>
                    <w:bottom w:val="single" w:color="000000" w:sz="8" w:space="0"/>
                    <w:right w:val="single" w:color="000000" w:sz="8" w:space="0"/>
                  </w:tcBorders>
                  <w:shd w:val="clear" w:color="auto" w:fill="auto"/>
                  <w:vAlign w:val="center"/>
                </w:tcPr>
                <w:p w14:paraId="19BEB6B9">
                  <w:pPr>
                    <w:pStyle w:val="25"/>
                    <w:bidi w:val="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不得检出</w:t>
                  </w:r>
                </w:p>
              </w:tc>
              <w:tc>
                <w:tcPr>
                  <w:tcW w:w="830" w:type="pct"/>
                  <w:gridSpan w:val="2"/>
                  <w:tcBorders>
                    <w:top w:val="nil"/>
                    <w:left w:val="nil"/>
                    <w:bottom w:val="single" w:color="000000" w:sz="8" w:space="0"/>
                    <w:right w:val="single" w:color="000000" w:sz="8" w:space="0"/>
                  </w:tcBorders>
                  <w:shd w:val="clear" w:color="auto" w:fill="auto"/>
                  <w:vAlign w:val="center"/>
                </w:tcPr>
                <w:p w14:paraId="06DF607C">
                  <w:pPr>
                    <w:pStyle w:val="25"/>
                    <w:bidi w:val="0"/>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达标</w:t>
                  </w:r>
                </w:p>
              </w:tc>
            </w:tr>
          </w:tbl>
          <w:p w14:paraId="58143F3A">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ind w:left="241" w:leftChars="115" w:firstLine="237" w:firstLineChars="99"/>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3、噪声</w:t>
            </w:r>
          </w:p>
          <w:p w14:paraId="34FE1D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根据</w:t>
            </w:r>
            <w:r>
              <w:rPr>
                <w:rFonts w:hint="default" w:ascii="Times New Roman" w:hAnsi="Times New Roman" w:eastAsia="宋体" w:cs="Times New Roman"/>
                <w:color w:val="auto"/>
                <w:kern w:val="0"/>
                <w:sz w:val="24"/>
                <w:szCs w:val="24"/>
                <w:highlight w:val="none"/>
                <w:lang w:val="en-US" w:eastAsia="zh-CN"/>
              </w:rPr>
              <w:t>运营单位委托巴州永诚环境检测技术服务有限公司于2026年7月27日~28日对一期</w:t>
            </w:r>
            <w:r>
              <w:rPr>
                <w:rFonts w:hint="eastAsia" w:ascii="Times New Roman" w:hAnsi="Times New Roman" w:eastAsia="宋体" w:cs="Times New Roman"/>
                <w:color w:val="auto"/>
                <w:kern w:val="0"/>
                <w:sz w:val="24"/>
                <w:szCs w:val="24"/>
                <w:highlight w:val="none"/>
                <w:lang w:val="en-US" w:eastAsia="zh-CN"/>
              </w:rPr>
              <w:t>噪声监测数据</w:t>
            </w:r>
            <w:r>
              <w:rPr>
                <w:rFonts w:hint="default" w:ascii="Times New Roman" w:hAnsi="Times New Roman" w:eastAsia="宋体"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一期工程的噪声达到《工业企业厂界环境噪声排放标准》（GB12348-2008）3类标准（昼间≤65dB</w:t>
            </w:r>
            <w:r>
              <w:rPr>
                <w:rFonts w:hint="eastAsia"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A</w:t>
            </w:r>
            <w:r>
              <w:rPr>
                <w:rFonts w:hint="eastAsia"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，夜间≤55dB</w:t>
            </w:r>
            <w:r>
              <w:rPr>
                <w:rFonts w:hint="eastAsia"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A</w:t>
            </w:r>
            <w:r>
              <w:rPr>
                <w:rFonts w:hint="eastAsia"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）标准，</w:t>
            </w:r>
            <w:r>
              <w:rPr>
                <w:rFonts w:hint="default" w:ascii="Times New Roman" w:hAnsi="Times New Roman" w:eastAsia="宋体" w:cs="Times New Roman"/>
                <w:color w:val="auto"/>
                <w:kern w:val="0"/>
                <w:sz w:val="24"/>
                <w:szCs w:val="24"/>
                <w:highlight w:val="none"/>
                <w:lang w:val="en-US" w:eastAsia="zh-CN"/>
              </w:rPr>
              <w:t>检测结果见表2-</w:t>
            </w:r>
            <w:r>
              <w:rPr>
                <w:rFonts w:hint="eastAsia" w:ascii="Times New Roman" w:hAnsi="Times New Roman" w:eastAsia="宋体" w:cs="Times New Roman"/>
                <w:color w:val="auto"/>
                <w:kern w:val="0"/>
                <w:sz w:val="24"/>
                <w:szCs w:val="24"/>
                <w:highlight w:val="none"/>
                <w:lang w:val="en-US" w:eastAsia="zh-CN"/>
              </w:rPr>
              <w:t>10：</w:t>
            </w:r>
          </w:p>
          <w:p w14:paraId="0EC58E7C">
            <w:pPr>
              <w:pStyle w:val="23"/>
              <w:bidi w:val="0"/>
              <w:rPr>
                <w:rFonts w:hint="eastAsia"/>
                <w:lang w:val="en-US" w:eastAsia="zh-CN"/>
              </w:rPr>
            </w:pPr>
            <w:r>
              <w:rPr>
                <w:rFonts w:hint="default"/>
              </w:rPr>
              <w:t>表2</w:t>
            </w:r>
            <w:r>
              <w:rPr>
                <w:rFonts w:hint="eastAsia"/>
                <w:lang w:val="en-US" w:eastAsia="zh-CN"/>
              </w:rPr>
              <w:t>-10 一期工程噪声检测结果一览表</w:t>
            </w:r>
          </w:p>
          <w:tbl>
            <w:tblPr>
              <w:tblStyle w:val="1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669"/>
              <w:gridCol w:w="705"/>
              <w:gridCol w:w="675"/>
              <w:gridCol w:w="660"/>
              <w:gridCol w:w="645"/>
              <w:gridCol w:w="900"/>
              <w:gridCol w:w="705"/>
              <w:gridCol w:w="645"/>
              <w:gridCol w:w="1104"/>
            </w:tblGrid>
            <w:tr w14:paraId="32DB4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8" w:type="pct"/>
                  <w:vMerge w:val="restart"/>
                  <w:noWrap w:val="0"/>
                  <w:vAlign w:val="center"/>
                </w:tcPr>
                <w:p w14:paraId="1ED0A9EC">
                  <w:pPr>
                    <w:pStyle w:val="25"/>
                    <w:bidi w:val="0"/>
                    <w:jc w:val="center"/>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测点编号</w:t>
                  </w:r>
                </w:p>
              </w:tc>
              <w:tc>
                <w:tcPr>
                  <w:tcW w:w="989" w:type="pct"/>
                  <w:vMerge w:val="restart"/>
                  <w:noWrap w:val="0"/>
                  <w:vAlign w:val="center"/>
                </w:tcPr>
                <w:p w14:paraId="2911B448">
                  <w:pPr>
                    <w:pStyle w:val="25"/>
                    <w:bidi w:val="0"/>
                    <w:jc w:val="center"/>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监测点位名称</w:t>
                  </w:r>
                </w:p>
              </w:tc>
              <w:tc>
                <w:tcPr>
                  <w:tcW w:w="818" w:type="pct"/>
                  <w:gridSpan w:val="2"/>
                  <w:noWrap w:val="0"/>
                  <w:vAlign w:val="center"/>
                </w:tcPr>
                <w:p w14:paraId="1F1E6EE9">
                  <w:pPr>
                    <w:pStyle w:val="25"/>
                    <w:bidi w:val="0"/>
                    <w:jc w:val="center"/>
                    <w:rPr>
                      <w:rFonts w:hint="eastAsia"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2026.07.27</w:t>
                  </w:r>
                </w:p>
              </w:tc>
              <w:tc>
                <w:tcPr>
                  <w:tcW w:w="774" w:type="pct"/>
                  <w:gridSpan w:val="2"/>
                  <w:noWrap w:val="0"/>
                  <w:vAlign w:val="center"/>
                </w:tcPr>
                <w:p w14:paraId="4958ACE3">
                  <w:pPr>
                    <w:pStyle w:val="25"/>
                    <w:bidi w:val="0"/>
                    <w:jc w:val="center"/>
                    <w:rPr>
                      <w:rFonts w:hint="eastAsia"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2026.07.28</w:t>
                  </w:r>
                </w:p>
              </w:tc>
              <w:tc>
                <w:tcPr>
                  <w:tcW w:w="533" w:type="pct"/>
                  <w:vMerge w:val="restart"/>
                  <w:noWrap w:val="0"/>
                  <w:vAlign w:val="center"/>
                </w:tcPr>
                <w:p w14:paraId="56510FEB">
                  <w:pPr>
                    <w:pStyle w:val="25"/>
                    <w:bidi w:val="0"/>
                    <w:jc w:val="center"/>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单位</w:t>
                  </w:r>
                </w:p>
              </w:tc>
              <w:tc>
                <w:tcPr>
                  <w:tcW w:w="800" w:type="pct"/>
                  <w:gridSpan w:val="2"/>
                  <w:noWrap w:val="0"/>
                  <w:vAlign w:val="center"/>
                </w:tcPr>
                <w:p w14:paraId="25B7D0C7">
                  <w:pPr>
                    <w:pStyle w:val="25"/>
                    <w:bidi w:val="0"/>
                    <w:jc w:val="center"/>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标准限值</w:t>
                  </w:r>
                </w:p>
              </w:tc>
              <w:tc>
                <w:tcPr>
                  <w:tcW w:w="654" w:type="pct"/>
                  <w:noWrap w:val="0"/>
                  <w:vAlign w:val="center"/>
                </w:tcPr>
                <w:p w14:paraId="0E9CE29A">
                  <w:pPr>
                    <w:pStyle w:val="25"/>
                    <w:bidi w:val="0"/>
                    <w:jc w:val="center"/>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达标情况</w:t>
                  </w:r>
                </w:p>
              </w:tc>
            </w:tr>
            <w:tr w14:paraId="26397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428" w:type="pct"/>
                  <w:vMerge w:val="continue"/>
                  <w:noWrap w:val="0"/>
                  <w:vAlign w:val="center"/>
                </w:tcPr>
                <w:p w14:paraId="436B0108">
                  <w:pPr>
                    <w:pStyle w:val="25"/>
                    <w:bidi w:val="0"/>
                    <w:jc w:val="center"/>
                    <w:rPr>
                      <w:rFonts w:hint="eastAsia" w:ascii="Times New Roman" w:hAnsi="Times New Roman" w:eastAsia="宋体" w:cs="Times New Roman"/>
                      <w:b/>
                      <w:bCs/>
                      <w:sz w:val="21"/>
                      <w:szCs w:val="21"/>
                      <w:lang w:val="en-US" w:eastAsia="zh-CN"/>
                    </w:rPr>
                  </w:pPr>
                </w:p>
              </w:tc>
              <w:tc>
                <w:tcPr>
                  <w:tcW w:w="989" w:type="pct"/>
                  <w:vMerge w:val="continue"/>
                  <w:noWrap w:val="0"/>
                  <w:vAlign w:val="center"/>
                </w:tcPr>
                <w:p w14:paraId="2D4626CD">
                  <w:pPr>
                    <w:pStyle w:val="25"/>
                    <w:bidi w:val="0"/>
                    <w:jc w:val="center"/>
                    <w:rPr>
                      <w:rFonts w:hint="eastAsia" w:ascii="Times New Roman" w:hAnsi="Times New Roman" w:eastAsia="宋体" w:cs="Times New Roman"/>
                      <w:b/>
                      <w:bCs/>
                      <w:sz w:val="21"/>
                      <w:szCs w:val="21"/>
                      <w:lang w:val="en-US" w:eastAsia="zh-CN"/>
                    </w:rPr>
                  </w:pPr>
                </w:p>
              </w:tc>
              <w:tc>
                <w:tcPr>
                  <w:tcW w:w="418" w:type="pct"/>
                  <w:noWrap w:val="0"/>
                  <w:vAlign w:val="center"/>
                </w:tcPr>
                <w:p w14:paraId="423E520F">
                  <w:pPr>
                    <w:pStyle w:val="25"/>
                    <w:bidi w:val="0"/>
                    <w:jc w:val="center"/>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昼间</w:t>
                  </w:r>
                </w:p>
              </w:tc>
              <w:tc>
                <w:tcPr>
                  <w:tcW w:w="400" w:type="pct"/>
                  <w:noWrap w:val="0"/>
                  <w:vAlign w:val="center"/>
                </w:tcPr>
                <w:p w14:paraId="0C7FC571">
                  <w:pPr>
                    <w:pStyle w:val="25"/>
                    <w:bidi w:val="0"/>
                    <w:jc w:val="center"/>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夜间</w:t>
                  </w:r>
                </w:p>
              </w:tc>
              <w:tc>
                <w:tcPr>
                  <w:tcW w:w="391" w:type="pct"/>
                  <w:noWrap w:val="0"/>
                  <w:vAlign w:val="center"/>
                </w:tcPr>
                <w:p w14:paraId="7DFFE51D">
                  <w:pPr>
                    <w:pStyle w:val="25"/>
                    <w:bidi w:val="0"/>
                    <w:jc w:val="center"/>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昼间</w:t>
                  </w:r>
                </w:p>
              </w:tc>
              <w:tc>
                <w:tcPr>
                  <w:tcW w:w="382" w:type="pct"/>
                  <w:noWrap w:val="0"/>
                  <w:vAlign w:val="center"/>
                </w:tcPr>
                <w:p w14:paraId="40BC9403">
                  <w:pPr>
                    <w:pStyle w:val="25"/>
                    <w:bidi w:val="0"/>
                    <w:jc w:val="center"/>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夜间</w:t>
                  </w:r>
                </w:p>
              </w:tc>
              <w:tc>
                <w:tcPr>
                  <w:tcW w:w="533" w:type="pct"/>
                  <w:vMerge w:val="continue"/>
                  <w:noWrap w:val="0"/>
                  <w:vAlign w:val="center"/>
                </w:tcPr>
                <w:p w14:paraId="4245DCBE">
                  <w:pPr>
                    <w:pStyle w:val="25"/>
                    <w:bidi w:val="0"/>
                    <w:jc w:val="center"/>
                    <w:rPr>
                      <w:rFonts w:hint="default" w:ascii="Times New Roman" w:hAnsi="Times New Roman" w:eastAsia="宋体" w:cs="Times New Roman"/>
                      <w:b/>
                      <w:bCs/>
                      <w:sz w:val="21"/>
                      <w:szCs w:val="21"/>
                      <w:lang w:val="en-US" w:eastAsia="zh-CN"/>
                    </w:rPr>
                  </w:pPr>
                </w:p>
              </w:tc>
              <w:tc>
                <w:tcPr>
                  <w:tcW w:w="418" w:type="pct"/>
                  <w:noWrap w:val="0"/>
                  <w:vAlign w:val="center"/>
                </w:tcPr>
                <w:p w14:paraId="111BD7DB">
                  <w:pPr>
                    <w:pStyle w:val="25"/>
                    <w:bidi w:val="0"/>
                    <w:jc w:val="center"/>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昼间</w:t>
                  </w:r>
                </w:p>
              </w:tc>
              <w:tc>
                <w:tcPr>
                  <w:tcW w:w="382" w:type="pct"/>
                  <w:noWrap w:val="0"/>
                  <w:vAlign w:val="center"/>
                </w:tcPr>
                <w:p w14:paraId="7A85CF09">
                  <w:pPr>
                    <w:pStyle w:val="25"/>
                    <w:bidi w:val="0"/>
                    <w:jc w:val="center"/>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夜间</w:t>
                  </w:r>
                </w:p>
              </w:tc>
              <w:tc>
                <w:tcPr>
                  <w:tcW w:w="654" w:type="pct"/>
                  <w:noWrap w:val="0"/>
                  <w:vAlign w:val="center"/>
                </w:tcPr>
                <w:p w14:paraId="20341FF6">
                  <w:pPr>
                    <w:pStyle w:val="25"/>
                    <w:bidi w:val="0"/>
                    <w:jc w:val="center"/>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达标</w:t>
                  </w:r>
                </w:p>
              </w:tc>
            </w:tr>
            <w:tr w14:paraId="268E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428" w:type="pct"/>
                  <w:noWrap w:val="0"/>
                  <w:vAlign w:val="center"/>
                </w:tcPr>
                <w:p w14:paraId="5CBC4413">
                  <w:pPr>
                    <w:pStyle w:val="25"/>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w:t>
                  </w:r>
                </w:p>
              </w:tc>
              <w:tc>
                <w:tcPr>
                  <w:tcW w:w="989" w:type="pct"/>
                  <w:noWrap w:val="0"/>
                  <w:vAlign w:val="center"/>
                </w:tcPr>
                <w:p w14:paraId="50FE0803">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厂界东侧外1m</w:t>
                  </w:r>
                </w:p>
              </w:tc>
              <w:tc>
                <w:tcPr>
                  <w:tcW w:w="418" w:type="pct"/>
                  <w:noWrap w:val="0"/>
                  <w:vAlign w:val="center"/>
                </w:tcPr>
                <w:p w14:paraId="3056603B">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45</w:t>
                  </w:r>
                </w:p>
              </w:tc>
              <w:tc>
                <w:tcPr>
                  <w:tcW w:w="400" w:type="pct"/>
                  <w:noWrap w:val="0"/>
                  <w:vAlign w:val="center"/>
                </w:tcPr>
                <w:p w14:paraId="5BEF773A">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44.6</w:t>
                  </w:r>
                </w:p>
              </w:tc>
              <w:tc>
                <w:tcPr>
                  <w:tcW w:w="391" w:type="pct"/>
                  <w:noWrap w:val="0"/>
                  <w:vAlign w:val="center"/>
                </w:tcPr>
                <w:p w14:paraId="5B5A1848">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51.6</w:t>
                  </w:r>
                </w:p>
              </w:tc>
              <w:tc>
                <w:tcPr>
                  <w:tcW w:w="382" w:type="pct"/>
                  <w:noWrap w:val="0"/>
                  <w:vAlign w:val="center"/>
                </w:tcPr>
                <w:p w14:paraId="5078DD8D">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48.3</w:t>
                  </w:r>
                </w:p>
              </w:tc>
              <w:tc>
                <w:tcPr>
                  <w:tcW w:w="533" w:type="pct"/>
                  <w:noWrap w:val="0"/>
                  <w:vAlign w:val="center"/>
                </w:tcPr>
                <w:p w14:paraId="3C2090C1">
                  <w:pPr>
                    <w:pStyle w:val="25"/>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dB（A）</w:t>
                  </w:r>
                </w:p>
              </w:tc>
              <w:tc>
                <w:tcPr>
                  <w:tcW w:w="418" w:type="pct"/>
                  <w:noWrap w:val="0"/>
                  <w:vAlign w:val="center"/>
                </w:tcPr>
                <w:p w14:paraId="7671CE83">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65</w:t>
                  </w:r>
                </w:p>
              </w:tc>
              <w:tc>
                <w:tcPr>
                  <w:tcW w:w="382" w:type="pct"/>
                  <w:noWrap w:val="0"/>
                  <w:vAlign w:val="center"/>
                </w:tcPr>
                <w:p w14:paraId="3848354B">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55</w:t>
                  </w:r>
                </w:p>
              </w:tc>
              <w:tc>
                <w:tcPr>
                  <w:tcW w:w="654" w:type="pct"/>
                  <w:noWrap w:val="0"/>
                  <w:vAlign w:val="center"/>
                </w:tcPr>
                <w:p w14:paraId="7CA6B6C8">
                  <w:pPr>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达标</w:t>
                  </w:r>
                </w:p>
              </w:tc>
            </w:tr>
            <w:tr w14:paraId="5BBCC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8" w:type="pct"/>
                  <w:noWrap w:val="0"/>
                  <w:vAlign w:val="center"/>
                </w:tcPr>
                <w:p w14:paraId="49D27447">
                  <w:pPr>
                    <w:pStyle w:val="25"/>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w:t>
                  </w:r>
                </w:p>
              </w:tc>
              <w:tc>
                <w:tcPr>
                  <w:tcW w:w="989" w:type="pct"/>
                  <w:noWrap w:val="0"/>
                  <w:vAlign w:val="center"/>
                </w:tcPr>
                <w:p w14:paraId="4FECC2CC">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厂界南侧外1m</w:t>
                  </w:r>
                </w:p>
              </w:tc>
              <w:tc>
                <w:tcPr>
                  <w:tcW w:w="418" w:type="pct"/>
                  <w:noWrap w:val="0"/>
                  <w:vAlign w:val="center"/>
                </w:tcPr>
                <w:p w14:paraId="055128E8">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43.5</w:t>
                  </w:r>
                </w:p>
              </w:tc>
              <w:tc>
                <w:tcPr>
                  <w:tcW w:w="400" w:type="pct"/>
                  <w:noWrap w:val="0"/>
                  <w:vAlign w:val="center"/>
                </w:tcPr>
                <w:p w14:paraId="1C688B46">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41.7</w:t>
                  </w:r>
                </w:p>
              </w:tc>
              <w:tc>
                <w:tcPr>
                  <w:tcW w:w="391" w:type="pct"/>
                  <w:noWrap w:val="0"/>
                  <w:vAlign w:val="center"/>
                </w:tcPr>
                <w:p w14:paraId="3CCEE528">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42.3</w:t>
                  </w:r>
                </w:p>
              </w:tc>
              <w:tc>
                <w:tcPr>
                  <w:tcW w:w="382" w:type="pct"/>
                  <w:noWrap w:val="0"/>
                  <w:vAlign w:val="center"/>
                </w:tcPr>
                <w:p w14:paraId="07ED7A40">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40.4</w:t>
                  </w:r>
                </w:p>
              </w:tc>
              <w:tc>
                <w:tcPr>
                  <w:tcW w:w="533" w:type="pct"/>
                  <w:noWrap w:val="0"/>
                  <w:vAlign w:val="center"/>
                </w:tcPr>
                <w:p w14:paraId="1CD5970D">
                  <w:pPr>
                    <w:pStyle w:val="25"/>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dB（A）</w:t>
                  </w:r>
                </w:p>
              </w:tc>
              <w:tc>
                <w:tcPr>
                  <w:tcW w:w="418" w:type="pct"/>
                  <w:noWrap w:val="0"/>
                  <w:vAlign w:val="center"/>
                </w:tcPr>
                <w:p w14:paraId="57646AF1">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65</w:t>
                  </w:r>
                </w:p>
              </w:tc>
              <w:tc>
                <w:tcPr>
                  <w:tcW w:w="382" w:type="pct"/>
                  <w:noWrap w:val="0"/>
                  <w:vAlign w:val="center"/>
                </w:tcPr>
                <w:p w14:paraId="57E419DF">
                  <w:pPr>
                    <w:pStyle w:val="25"/>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55</w:t>
                  </w:r>
                </w:p>
              </w:tc>
              <w:tc>
                <w:tcPr>
                  <w:tcW w:w="654" w:type="pct"/>
                  <w:noWrap w:val="0"/>
                  <w:vAlign w:val="center"/>
                </w:tcPr>
                <w:p w14:paraId="3713CB59">
                  <w:pPr>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达标</w:t>
                  </w:r>
                </w:p>
              </w:tc>
            </w:tr>
            <w:tr w14:paraId="61CE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8" w:type="pct"/>
                  <w:noWrap w:val="0"/>
                  <w:vAlign w:val="center"/>
                </w:tcPr>
                <w:p w14:paraId="18307F60">
                  <w:pPr>
                    <w:pStyle w:val="25"/>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w:t>
                  </w:r>
                </w:p>
              </w:tc>
              <w:tc>
                <w:tcPr>
                  <w:tcW w:w="989" w:type="pct"/>
                  <w:noWrap w:val="0"/>
                  <w:vAlign w:val="center"/>
                </w:tcPr>
                <w:p w14:paraId="7E1909EE">
                  <w:pPr>
                    <w:pStyle w:val="25"/>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厂界西侧外1m</w:t>
                  </w:r>
                </w:p>
              </w:tc>
              <w:tc>
                <w:tcPr>
                  <w:tcW w:w="418" w:type="pct"/>
                  <w:noWrap w:val="0"/>
                  <w:vAlign w:val="center"/>
                </w:tcPr>
                <w:p w14:paraId="38500163">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42.9</w:t>
                  </w:r>
                </w:p>
              </w:tc>
              <w:tc>
                <w:tcPr>
                  <w:tcW w:w="400" w:type="pct"/>
                  <w:noWrap w:val="0"/>
                  <w:vAlign w:val="center"/>
                </w:tcPr>
                <w:p w14:paraId="14E21C58">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40.5</w:t>
                  </w:r>
                </w:p>
              </w:tc>
              <w:tc>
                <w:tcPr>
                  <w:tcW w:w="391" w:type="pct"/>
                  <w:noWrap w:val="0"/>
                  <w:vAlign w:val="center"/>
                </w:tcPr>
                <w:p w14:paraId="3D9EEC26">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43.3</w:t>
                  </w:r>
                </w:p>
              </w:tc>
              <w:tc>
                <w:tcPr>
                  <w:tcW w:w="382" w:type="pct"/>
                  <w:noWrap w:val="0"/>
                  <w:vAlign w:val="center"/>
                </w:tcPr>
                <w:p w14:paraId="4CC87CB8">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41.1</w:t>
                  </w:r>
                </w:p>
              </w:tc>
              <w:tc>
                <w:tcPr>
                  <w:tcW w:w="533" w:type="pct"/>
                  <w:noWrap w:val="0"/>
                  <w:vAlign w:val="center"/>
                </w:tcPr>
                <w:p w14:paraId="41DFE8F2">
                  <w:pPr>
                    <w:pStyle w:val="25"/>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dB（A）</w:t>
                  </w:r>
                </w:p>
              </w:tc>
              <w:tc>
                <w:tcPr>
                  <w:tcW w:w="418" w:type="pct"/>
                  <w:noWrap w:val="0"/>
                  <w:vAlign w:val="center"/>
                </w:tcPr>
                <w:p w14:paraId="3B1BE61D">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65</w:t>
                  </w:r>
                </w:p>
              </w:tc>
              <w:tc>
                <w:tcPr>
                  <w:tcW w:w="382" w:type="pct"/>
                  <w:noWrap w:val="0"/>
                  <w:vAlign w:val="center"/>
                </w:tcPr>
                <w:p w14:paraId="5A45EFA3">
                  <w:pPr>
                    <w:pStyle w:val="25"/>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55</w:t>
                  </w:r>
                </w:p>
              </w:tc>
              <w:tc>
                <w:tcPr>
                  <w:tcW w:w="654" w:type="pct"/>
                  <w:noWrap w:val="0"/>
                  <w:vAlign w:val="center"/>
                </w:tcPr>
                <w:p w14:paraId="435CDFF3">
                  <w:pPr>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达标</w:t>
                  </w:r>
                </w:p>
              </w:tc>
            </w:tr>
            <w:tr w14:paraId="70062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8" w:type="pct"/>
                  <w:noWrap w:val="0"/>
                  <w:vAlign w:val="center"/>
                </w:tcPr>
                <w:p w14:paraId="187A7E45">
                  <w:pPr>
                    <w:pStyle w:val="25"/>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w:t>
                  </w:r>
                </w:p>
              </w:tc>
              <w:tc>
                <w:tcPr>
                  <w:tcW w:w="989" w:type="pct"/>
                  <w:noWrap w:val="0"/>
                  <w:vAlign w:val="center"/>
                </w:tcPr>
                <w:p w14:paraId="48B7C38F">
                  <w:pPr>
                    <w:pStyle w:val="25"/>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厂界北侧外1m</w:t>
                  </w:r>
                </w:p>
              </w:tc>
              <w:tc>
                <w:tcPr>
                  <w:tcW w:w="418" w:type="pct"/>
                  <w:noWrap w:val="0"/>
                  <w:vAlign w:val="center"/>
                </w:tcPr>
                <w:p w14:paraId="0349B26E">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43.5</w:t>
                  </w:r>
                </w:p>
              </w:tc>
              <w:tc>
                <w:tcPr>
                  <w:tcW w:w="400" w:type="pct"/>
                  <w:noWrap w:val="0"/>
                  <w:vAlign w:val="center"/>
                </w:tcPr>
                <w:p w14:paraId="2F5405FE">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42.6</w:t>
                  </w:r>
                </w:p>
              </w:tc>
              <w:tc>
                <w:tcPr>
                  <w:tcW w:w="391" w:type="pct"/>
                  <w:noWrap w:val="0"/>
                  <w:vAlign w:val="center"/>
                </w:tcPr>
                <w:p w14:paraId="3EB58578">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42.9</w:t>
                  </w:r>
                </w:p>
              </w:tc>
              <w:tc>
                <w:tcPr>
                  <w:tcW w:w="382" w:type="pct"/>
                  <w:noWrap w:val="0"/>
                  <w:vAlign w:val="center"/>
                </w:tcPr>
                <w:p w14:paraId="269CC5E7">
                  <w:pPr>
                    <w:pStyle w:val="25"/>
                    <w:bidi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40.2</w:t>
                  </w:r>
                </w:p>
              </w:tc>
              <w:tc>
                <w:tcPr>
                  <w:tcW w:w="533" w:type="pct"/>
                  <w:noWrap w:val="0"/>
                  <w:vAlign w:val="center"/>
                </w:tcPr>
                <w:p w14:paraId="66F534CE">
                  <w:pPr>
                    <w:pStyle w:val="25"/>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dB（A）</w:t>
                  </w:r>
                </w:p>
              </w:tc>
              <w:tc>
                <w:tcPr>
                  <w:tcW w:w="418" w:type="pct"/>
                  <w:noWrap w:val="0"/>
                  <w:vAlign w:val="center"/>
                </w:tcPr>
                <w:p w14:paraId="712DD90B">
                  <w:pPr>
                    <w:pStyle w:val="25"/>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65</w:t>
                  </w:r>
                </w:p>
              </w:tc>
              <w:tc>
                <w:tcPr>
                  <w:tcW w:w="382" w:type="pct"/>
                  <w:noWrap w:val="0"/>
                  <w:vAlign w:val="center"/>
                </w:tcPr>
                <w:p w14:paraId="56075576">
                  <w:pPr>
                    <w:pStyle w:val="25"/>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55</w:t>
                  </w:r>
                </w:p>
              </w:tc>
              <w:tc>
                <w:tcPr>
                  <w:tcW w:w="654" w:type="pct"/>
                  <w:noWrap w:val="0"/>
                  <w:vAlign w:val="center"/>
                </w:tcPr>
                <w:p w14:paraId="248039A2">
                  <w:pPr>
                    <w:bidi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达标</w:t>
                  </w:r>
                </w:p>
              </w:tc>
            </w:tr>
          </w:tbl>
          <w:p w14:paraId="70122A83">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ind w:left="426" w:leftChars="202" w:hanging="2" w:hangingChars="1"/>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4、固废</w:t>
            </w:r>
          </w:p>
          <w:p w14:paraId="00FFC0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一期工程产生的</w:t>
            </w:r>
            <w:r>
              <w:rPr>
                <w:rFonts w:hint="eastAsia" w:ascii="Times New Roman" w:hAnsi="Times New Roman" w:eastAsia="宋体" w:cs="Times New Roman"/>
                <w:color w:val="auto"/>
                <w:kern w:val="0"/>
                <w:sz w:val="24"/>
                <w:szCs w:val="24"/>
                <w:highlight w:val="none"/>
                <w:lang w:val="en-US" w:eastAsia="zh-CN"/>
              </w:rPr>
              <w:t>固体废物主要为污泥脱水间产生的泥饼、格栅栅渣及生活垃圾，均运至当地垃圾填埋场填埋。</w:t>
            </w:r>
          </w:p>
          <w:p w14:paraId="701B95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ascii="Times New Roman" w:hAnsi="Times New Roman" w:eastAsia="宋体" w:cs="Times New Roman"/>
                <w:b/>
                <w:bCs/>
                <w:color w:val="auto"/>
                <w:kern w:val="2"/>
                <w:sz w:val="24"/>
                <w:szCs w:val="24"/>
                <w:highlight w:val="none"/>
                <w:lang w:val="en-US" w:eastAsia="zh-CN" w:bidi="ar-SA"/>
              </w:rPr>
            </w:pPr>
            <w:r>
              <w:rPr>
                <w:rFonts w:hint="eastAsia" w:cs="Times New Roman"/>
                <w:b/>
                <w:bCs/>
                <w:color w:val="auto"/>
                <w:kern w:val="2"/>
                <w:sz w:val="24"/>
                <w:szCs w:val="24"/>
                <w:lang w:val="en-US" w:eastAsia="zh-CN" w:bidi="ar-SA"/>
              </w:rPr>
              <w:t>2.15</w:t>
            </w:r>
            <w:r>
              <w:rPr>
                <w:rFonts w:hint="eastAsia" w:ascii="Times New Roman" w:hAnsi="Times New Roman" w:eastAsia="宋体" w:cs="Times New Roman"/>
                <w:b/>
                <w:bCs/>
                <w:color w:val="auto"/>
                <w:kern w:val="2"/>
                <w:sz w:val="24"/>
                <w:szCs w:val="24"/>
                <w:highlight w:val="none"/>
                <w:lang w:val="en-US" w:eastAsia="zh-CN" w:bidi="ar-SA"/>
              </w:rPr>
              <w:t>一期工程存在的主要环境问题及整改措施</w:t>
            </w:r>
          </w:p>
          <w:p w14:paraId="50F9637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6" w:leftChars="202" w:hanging="2" w:hangingChars="1"/>
              <w:textAlignment w:val="auto"/>
              <w:rPr>
                <w:rFonts w:hint="eastAsia" w:ascii="宋体" w:hAnsi="宋体" w:eastAsia="宋体" w:cs="宋体"/>
                <w:sz w:val="24"/>
                <w:szCs w:val="24"/>
                <w:lang w:val="en-US" w:eastAsia="zh-CN"/>
              </w:rPr>
            </w:pPr>
            <w:r>
              <w:rPr>
                <w:rFonts w:hint="eastAsia" w:cs="Times New Roman"/>
                <w:color w:val="auto"/>
                <w:kern w:val="0"/>
                <w:sz w:val="24"/>
                <w:szCs w:val="24"/>
                <w:lang w:val="en-US" w:eastAsia="zh-CN" w:bidi="ar-SA"/>
              </w:rPr>
              <w:t>1、</w:t>
            </w:r>
            <w:r>
              <w:rPr>
                <w:rFonts w:hint="eastAsia" w:ascii="Times New Roman" w:hAnsi="Times New Roman" w:eastAsia="宋体" w:cs="Times New Roman"/>
                <w:color w:val="auto"/>
                <w:kern w:val="0"/>
                <w:sz w:val="24"/>
                <w:szCs w:val="24"/>
                <w:highlight w:val="none"/>
                <w:lang w:val="en-US" w:eastAsia="zh-CN"/>
              </w:rPr>
              <w:t>存在的环</w:t>
            </w:r>
            <w:r>
              <w:rPr>
                <w:rFonts w:hint="eastAsia" w:ascii="宋体" w:hAnsi="宋体" w:eastAsia="宋体" w:cs="宋体"/>
                <w:sz w:val="24"/>
                <w:szCs w:val="24"/>
                <w:lang w:val="en-US" w:eastAsia="zh-CN"/>
              </w:rPr>
              <w:t>境问题</w:t>
            </w:r>
          </w:p>
          <w:p w14:paraId="69F071E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一期工程前期受产业小镇入住率制约，长期处于低负荷运行工况，完整的长期连续运行数据积累不足，污染源监测数据库尚不完善。</w:t>
            </w:r>
          </w:p>
          <w:p w14:paraId="4D79F50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6" w:leftChars="202" w:hanging="2" w:hangingChars="1"/>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lang w:val="en-US" w:eastAsia="zh-CN" w:bidi="ar-SA"/>
              </w:rPr>
              <w:t>2、</w:t>
            </w:r>
            <w:r>
              <w:rPr>
                <w:rFonts w:hint="eastAsia" w:ascii="Times New Roman" w:hAnsi="Times New Roman" w:eastAsia="宋体" w:cs="Times New Roman"/>
                <w:color w:val="auto"/>
                <w:kern w:val="0"/>
                <w:sz w:val="24"/>
                <w:szCs w:val="24"/>
                <w:highlight w:val="none"/>
                <w:lang w:val="en-US" w:eastAsia="zh-CN"/>
              </w:rPr>
              <w:t>整改措施及</w:t>
            </w:r>
            <w:r>
              <w:rPr>
                <w:rFonts w:hint="eastAsia"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以新带老</w:t>
            </w:r>
            <w:r>
              <w:rPr>
                <w:rFonts w:hint="eastAsia"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方案</w:t>
            </w:r>
          </w:p>
          <w:p w14:paraId="047C92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w:t>
            </w:r>
            <w:r>
              <w:rPr>
                <w:rFonts w:hint="eastAsia" w:ascii="Times New Roman" w:hAnsi="Times New Roman" w:eastAsia="宋体" w:cs="Times New Roman"/>
                <w:color w:val="auto"/>
                <w:kern w:val="0"/>
                <w:sz w:val="24"/>
                <w:szCs w:val="24"/>
                <w:highlight w:val="none"/>
                <w:lang w:val="en-US" w:eastAsia="zh-CN"/>
              </w:rPr>
              <w:t>排污许可证变更：本项目建成后全厂（一期+二期）处理规模将达到3000m</w:t>
            </w:r>
            <w:r>
              <w:rPr>
                <w:rFonts w:hint="eastAsia" w:ascii="Times New Roman" w:hAnsi="Times New Roman" w:eastAsia="宋体" w:cs="Times New Roman"/>
                <w:color w:val="auto"/>
                <w:kern w:val="0"/>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/d，根据《固定污染源排污许可分类管理名录》，排污许可管理类别将由</w:t>
            </w:r>
            <w:r>
              <w:rPr>
                <w:rFonts w:hint="eastAsia"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简化管理</w:t>
            </w:r>
            <w:r>
              <w:rPr>
                <w:rFonts w:hint="eastAsia"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变更为</w:t>
            </w:r>
            <w:r>
              <w:rPr>
                <w:rFonts w:hint="eastAsia"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重点管理</w:t>
            </w:r>
            <w:r>
              <w:rPr>
                <w:rFonts w:hint="eastAsia"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。建设单位应在本项目启动生产设施或者发生实际排污之前，重新申请排污许可证，载明全厂的许可排放浓度、许可排放量及环境管理要求；</w:t>
            </w:r>
          </w:p>
          <w:p w14:paraId="653BD0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w:t>
            </w:r>
            <w:r>
              <w:rPr>
                <w:rFonts w:hint="eastAsia" w:ascii="Times New Roman" w:hAnsi="Times New Roman" w:eastAsia="宋体" w:cs="Times New Roman"/>
                <w:color w:val="auto"/>
                <w:kern w:val="0"/>
                <w:sz w:val="24"/>
                <w:szCs w:val="24"/>
                <w:highlight w:val="none"/>
                <w:lang w:val="en-US" w:eastAsia="zh-CN"/>
              </w:rPr>
              <w:t>环境管理衔接：本项目建成后，应按照《排污单位自行监测技术指南 水处理》（HJ 1083-2020）要求，建立全厂统一的环境监测计划，将一期工程与本次新建工程纳入统一的排污许可管理体系和自行监测计划；</w:t>
            </w:r>
          </w:p>
          <w:p w14:paraId="3B6A7B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（3）</w:t>
            </w:r>
            <w:r>
              <w:rPr>
                <w:rFonts w:hint="eastAsia" w:ascii="Times New Roman" w:hAnsi="Times New Roman" w:eastAsia="宋体" w:cs="Times New Roman"/>
                <w:color w:val="auto"/>
                <w:kern w:val="0"/>
                <w:sz w:val="24"/>
                <w:szCs w:val="24"/>
                <w:highlight w:val="none"/>
                <w:lang w:val="en-US" w:eastAsia="zh-CN"/>
              </w:rPr>
              <w:t>规范化整治：对一期工程现有废气、废水排放口进行规范化整治，完善标识标牌设置，并与本项目新建工程统一管理标准。</w:t>
            </w:r>
          </w:p>
          <w:p w14:paraId="474A0B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2.16一期工程与本项目的关系</w:t>
            </w:r>
          </w:p>
          <w:p w14:paraId="55F70A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本项目为新建污水处理工程，建设场址位于一期工程现有厂区范围内。项目改造利旧一期工程已建预处理设施（格栅间、调节池</w:t>
            </w:r>
            <w:r>
              <w:rPr>
                <w:rFonts w:hint="eastAsia" w:cs="Times New Roman"/>
                <w:color w:val="auto"/>
                <w:kern w:val="0"/>
                <w:sz w:val="24"/>
                <w:szCs w:val="24"/>
                <w:highlight w:val="none"/>
                <w:lang w:val="en-US" w:eastAsia="zh-CN"/>
              </w:rPr>
              <w:t>、MBR膜池、中水池、业务用房</w:t>
            </w:r>
            <w:r>
              <w:rPr>
                <w:rFonts w:hint="eastAsia" w:ascii="Times New Roman" w:hAnsi="Times New Roman" w:eastAsia="宋体" w:cs="Times New Roman"/>
                <w:color w:val="auto"/>
                <w:kern w:val="0"/>
                <w:sz w:val="24"/>
                <w:szCs w:val="24"/>
                <w:highlight w:val="none"/>
                <w:lang w:val="en-US" w:eastAsia="zh-CN"/>
              </w:rPr>
              <w:t>），与本项目新建主体处理设施协同运行，共同形成全厂3000m</w:t>
            </w:r>
            <w:r>
              <w:rPr>
                <w:rFonts w:hint="eastAsia" w:cs="Times New Roman"/>
                <w:color w:val="auto"/>
                <w:kern w:val="0"/>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/d污水处理能力。本项目建成后，全厂需重新申请排污许可证，排污许可管理类别由简化管理变更为重点管理。</w:t>
            </w:r>
          </w:p>
          <w:p w14:paraId="03A6412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rPr>
            </w:pPr>
          </w:p>
          <w:p w14:paraId="2F76315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rPr>
            </w:pPr>
          </w:p>
          <w:p w14:paraId="7B6C77D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rPr>
            </w:pPr>
          </w:p>
          <w:p w14:paraId="1DEB599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rPr>
            </w:pPr>
          </w:p>
          <w:p w14:paraId="2EA4FBF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rPr>
            </w:pPr>
          </w:p>
        </w:tc>
      </w:tr>
    </w:tbl>
    <w:p w14:paraId="1A3677C7">
      <w:pPr>
        <w:outlineLvl w:val="1"/>
        <w:rPr>
          <w:rFonts w:ascii="黑体" w:hAnsi="黑体" w:eastAsia="黑体"/>
          <w:snapToGrid w:val="0"/>
          <w:sz w:val="36"/>
          <w:szCs w:val="36"/>
          <w:highlight w:val="none"/>
        </w:rPr>
        <w:sectPr>
          <w:footerReference r:id="rId9" w:type="default"/>
          <w:pgSz w:w="11906" w:h="16838"/>
          <w:pgMar w:top="1701" w:right="1531" w:bottom="1701" w:left="1531" w:header="851" w:footer="851" w:gutter="0"/>
          <w:pgNumType w:fmt="decimal"/>
          <w:cols w:space="720" w:num="1"/>
          <w:docGrid w:linePitch="312" w:charSpace="0"/>
        </w:sectPr>
      </w:pPr>
    </w:p>
    <w:p w14:paraId="632CDE71">
      <w:pPr>
        <w:widowControl/>
        <w:kinsoku w:val="0"/>
        <w:autoSpaceDE w:val="0"/>
        <w:autoSpaceDN w:val="0"/>
        <w:adjustRightInd w:val="0"/>
        <w:snapToGrid w:val="0"/>
        <w:spacing w:before="315" w:line="222" w:lineRule="auto"/>
        <w:jc w:val="center"/>
        <w:textAlignment w:val="baseline"/>
        <w:outlineLvl w:val="0"/>
        <w:rPr>
          <w:rFonts w:hint="eastAsia" w:ascii="黑体" w:hAnsi="黑体" w:eastAsia="黑体" w:cs="黑体"/>
          <w:snapToGrid w:val="0"/>
          <w:color w:val="000000"/>
          <w:spacing w:val="-2"/>
          <w:kern w:val="0"/>
          <w:sz w:val="30"/>
          <w:szCs w:val="30"/>
          <w:lang w:val="en-US" w:eastAsia="zh-CN"/>
        </w:rPr>
      </w:pPr>
      <w:r>
        <w:rPr>
          <w:rFonts w:hint="eastAsia" w:ascii="黑体" w:hAnsi="黑体" w:eastAsia="黑体" w:cs="黑体"/>
          <w:snapToGrid w:val="0"/>
          <w:color w:val="000000"/>
          <w:spacing w:val="-2"/>
          <w:kern w:val="0"/>
          <w:sz w:val="30"/>
          <w:szCs w:val="30"/>
          <w:lang w:val="en-US" w:eastAsia="zh-CN"/>
        </w:rPr>
        <w:t>三、区域环境质量现状、环境保护目标及评价标准</w:t>
      </w:r>
    </w:p>
    <w:tbl>
      <w:tblPr>
        <w:tblStyle w:val="1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3"/>
        <w:gridCol w:w="8638"/>
      </w:tblGrid>
      <w:tr w14:paraId="36AA04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423" w:type="dxa"/>
            <w:noWrap w:val="0"/>
            <w:vAlign w:val="center"/>
          </w:tcPr>
          <w:p w14:paraId="2CA6E469">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区域</w:t>
            </w:r>
          </w:p>
          <w:p w14:paraId="2AA25ED1">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环境</w:t>
            </w:r>
          </w:p>
          <w:p w14:paraId="4657C2DB">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质量</w:t>
            </w:r>
          </w:p>
          <w:p w14:paraId="3DDF3D99">
            <w:pPr>
              <w:adjustRightInd w:val="0"/>
              <w:snapToGrid w:val="0"/>
              <w:jc w:val="center"/>
              <w:rPr>
                <w:rFonts w:ascii="宋体" w:hAnsi="宋体" w:cs="宋体"/>
                <w:kern w:val="0"/>
                <w:szCs w:val="21"/>
                <w:highlight w:val="none"/>
              </w:rPr>
            </w:pPr>
            <w:r>
              <w:rPr>
                <w:rFonts w:hint="eastAsia" w:ascii="宋体" w:hAnsi="宋体" w:cs="宋体"/>
                <w:kern w:val="0"/>
                <w:szCs w:val="21"/>
                <w:highlight w:val="none"/>
              </w:rPr>
              <w:t>现状</w:t>
            </w:r>
          </w:p>
        </w:tc>
        <w:tc>
          <w:tcPr>
            <w:tcW w:w="8638" w:type="dxa"/>
            <w:noWrap w:val="0"/>
            <w:vAlign w:val="center"/>
          </w:tcPr>
          <w:p w14:paraId="1AA3518D">
            <w:pPr>
              <w:pStyle w:val="9"/>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本项目位于</w:t>
            </w:r>
            <w:r>
              <w:rPr>
                <w:rFonts w:hint="default" w:ascii="Times New Roman" w:hAnsi="Times New Roman" w:eastAsia="宋体" w:cs="Times New Roman"/>
                <w:color w:val="auto"/>
                <w:kern w:val="0"/>
                <w:sz w:val="24"/>
                <w:szCs w:val="24"/>
                <w:highlight w:val="none"/>
                <w:lang w:val="en-US" w:eastAsia="zh-CN" w:bidi="ar-SA"/>
              </w:rPr>
              <w:t>库尔勒上库高新技术产业开发区</w:t>
            </w:r>
            <w:r>
              <w:rPr>
                <w:rFonts w:hint="eastAsia" w:ascii="Times New Roman" w:hAnsi="Times New Roman" w:eastAsia="宋体" w:cs="Times New Roman"/>
                <w:color w:val="auto"/>
                <w:kern w:val="0"/>
                <w:sz w:val="24"/>
                <w:szCs w:val="24"/>
                <w:highlight w:val="none"/>
                <w:lang w:val="en-US" w:eastAsia="zh-CN" w:bidi="ar-SA"/>
              </w:rPr>
              <w:t>内。该开发区于2024年编制了《库尔勒上库高新技术产业开发区国土空间专项规划（2024-2035年）环境影响报告书》，并于2025年通过新疆维吾尔自治区生态环境厅审查（审查意见文号：新环审〔2025〕303号）。</w:t>
            </w:r>
          </w:p>
          <w:p w14:paraId="7EDB460A">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根据《建设项目环境影响评价技术导则 总纲》（HJ 2.1-2016），符合相关规划环境影响评价结论及审查意见的建设项目，可直接引用符合时效的相关规划环境影响评价的环境调查资料及有关结论。</w:t>
            </w:r>
          </w:p>
          <w:p w14:paraId="79757249">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lang w:val="en-US" w:eastAsia="zh-CN"/>
              </w:rPr>
            </w:pPr>
            <w:r>
              <w:rPr>
                <w:rFonts w:hint="eastAsia"/>
              </w:rPr>
              <w:t>本项目监测点位引自《库尔勒上库高新技术产业开发区国土空间专项规划（2024-2035年）环境影响报告书》中的区域监测点位</w:t>
            </w:r>
            <w:r>
              <w:rPr>
                <w:rFonts w:hint="eastAsia"/>
                <w:lang w:eastAsia="zh-CN"/>
              </w:rPr>
              <w:t>，</w:t>
            </w:r>
            <w:r>
              <w:rPr>
                <w:rFonts w:hint="eastAsia"/>
                <w:lang w:val="en-US" w:eastAsia="zh-CN"/>
              </w:rPr>
              <w:t>监测点位图见附图10。</w:t>
            </w:r>
          </w:p>
          <w:p w14:paraId="01EE01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jc w:val="left"/>
              <w:textAlignment w:val="auto"/>
              <w:rPr>
                <w:rFonts w:hint="default" w:ascii="Times New Roman" w:hAnsi="Times New Roman" w:eastAsia="宋体" w:cs="Times New Roman"/>
                <w:b/>
                <w:bCs/>
                <w:color w:val="auto"/>
                <w:sz w:val="24"/>
                <w:highlight w:val="none"/>
                <w:lang w:val="en-US" w:eastAsia="zh-CN"/>
              </w:rPr>
            </w:pPr>
            <w:r>
              <w:rPr>
                <w:rFonts w:hint="eastAsia" w:cs="Times New Roman"/>
                <w:b/>
                <w:bCs/>
                <w:color w:val="auto"/>
                <w:kern w:val="2"/>
                <w:sz w:val="24"/>
                <w:szCs w:val="24"/>
                <w:lang w:val="en-US" w:eastAsia="zh-CN" w:bidi="ar-SA"/>
              </w:rPr>
              <w:t>3.1</w:t>
            </w:r>
            <w:r>
              <w:rPr>
                <w:rFonts w:hint="default" w:ascii="Times New Roman" w:hAnsi="Times New Roman" w:eastAsia="宋体" w:cs="Times New Roman"/>
                <w:b/>
                <w:bCs/>
                <w:color w:val="auto"/>
                <w:sz w:val="24"/>
                <w:highlight w:val="none"/>
                <w:lang w:val="en-US" w:eastAsia="zh-CN"/>
              </w:rPr>
              <w:t>环境空气质量现状监测与评价</w:t>
            </w:r>
          </w:p>
          <w:p w14:paraId="22AE25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kern w:val="0"/>
                <w:sz w:val="24"/>
                <w:highlight w:val="none"/>
                <w:lang w:val="en-US" w:eastAsia="zh-CN"/>
              </w:rPr>
            </w:pPr>
            <w:r>
              <w:rPr>
                <w:rFonts w:hint="eastAsia" w:cs="Times New Roman"/>
                <w:b w:val="0"/>
                <w:bCs w:val="0"/>
                <w:color w:val="auto"/>
                <w:kern w:val="0"/>
                <w:sz w:val="24"/>
                <w:highlight w:val="none"/>
                <w:lang w:val="en-US" w:eastAsia="zh-CN"/>
              </w:rPr>
              <w:t>1、基本污染物</w:t>
            </w:r>
          </w:p>
          <w:p w14:paraId="63F13DEA">
            <w:pPr>
              <w:pStyle w:val="22"/>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jc w:val="both"/>
              <w:textAlignment w:val="auto"/>
              <w:rPr>
                <w:rFonts w:hint="default" w:ascii="Times New Roman" w:hAnsi="Times New Roman" w:eastAsia="宋体" w:cs="Times New Roman"/>
                <w:spacing w:val="2"/>
                <w:sz w:val="24"/>
                <w:szCs w:val="24"/>
                <w:highlight w:val="none"/>
                <w:lang w:val="en-US" w:eastAsia="zh-CN"/>
              </w:rPr>
            </w:pPr>
            <w:r>
              <w:rPr>
                <w:rFonts w:hint="default" w:ascii="Times New Roman" w:hAnsi="Times New Roman" w:eastAsia="宋体" w:cs="Times New Roman"/>
                <w:spacing w:val="2"/>
                <w:sz w:val="24"/>
                <w:szCs w:val="24"/>
                <w:highlight w:val="none"/>
                <w:lang w:val="en-US" w:eastAsia="zh-CN"/>
              </w:rPr>
              <w:t>根据新疆维吾尔自治区生态环境厅发布的《2024年12月和1-12月全区环境空气质量状况及排名》中库尔勒市数据，项目所在区域</w:t>
            </w:r>
            <w:r>
              <w:rPr>
                <w:rFonts w:hint="eastAsia" w:ascii="Times New Roman" w:hAnsi="Times New Roman" w:cs="Times New Roman"/>
                <w:spacing w:val="2"/>
                <w:sz w:val="24"/>
                <w:szCs w:val="24"/>
                <w:highlight w:val="none"/>
                <w:lang w:val="en-US" w:eastAsia="zh-CN"/>
              </w:rPr>
              <w:t>环境空气质量指标SO</w:t>
            </w:r>
            <w:r>
              <w:rPr>
                <w:rFonts w:hint="eastAsia" w:ascii="Times New Roman" w:hAnsi="Times New Roman" w:cs="Times New Roman"/>
                <w:spacing w:val="2"/>
                <w:sz w:val="24"/>
                <w:szCs w:val="24"/>
                <w:highlight w:val="none"/>
                <w:vertAlign w:val="subscript"/>
                <w:lang w:val="en-US" w:eastAsia="zh-CN"/>
              </w:rPr>
              <w:t>2</w:t>
            </w:r>
            <w:r>
              <w:rPr>
                <w:rFonts w:hint="eastAsia" w:ascii="Times New Roman" w:hAnsi="Times New Roman" w:cs="Times New Roman"/>
                <w:spacing w:val="2"/>
                <w:sz w:val="24"/>
                <w:szCs w:val="24"/>
                <w:highlight w:val="none"/>
                <w:lang w:val="en-US" w:eastAsia="zh-CN"/>
              </w:rPr>
              <w:t>、NO</w:t>
            </w:r>
            <w:r>
              <w:rPr>
                <w:rFonts w:hint="eastAsia" w:ascii="Times New Roman" w:hAnsi="Times New Roman" w:cs="Times New Roman"/>
                <w:spacing w:val="2"/>
                <w:sz w:val="24"/>
                <w:szCs w:val="24"/>
                <w:highlight w:val="none"/>
                <w:vertAlign w:val="subscript"/>
                <w:lang w:val="en-US" w:eastAsia="zh-CN"/>
              </w:rPr>
              <w:t>2</w:t>
            </w:r>
            <w:r>
              <w:rPr>
                <w:rFonts w:hint="eastAsia" w:ascii="Times New Roman" w:hAnsi="Times New Roman" w:cs="Times New Roman"/>
                <w:spacing w:val="2"/>
                <w:sz w:val="24"/>
                <w:szCs w:val="24"/>
                <w:highlight w:val="none"/>
                <w:lang w:val="en-US" w:eastAsia="zh-CN"/>
              </w:rPr>
              <w:t>、CO、O</w:t>
            </w:r>
            <w:r>
              <w:rPr>
                <w:rFonts w:hint="eastAsia" w:ascii="Times New Roman" w:hAnsi="Times New Roman" w:cs="Times New Roman"/>
                <w:spacing w:val="2"/>
                <w:sz w:val="24"/>
                <w:szCs w:val="24"/>
                <w:highlight w:val="none"/>
                <w:vertAlign w:val="subscript"/>
                <w:lang w:val="en-US" w:eastAsia="zh-CN"/>
              </w:rPr>
              <w:t>3</w:t>
            </w:r>
            <w:r>
              <w:rPr>
                <w:rFonts w:hint="eastAsia" w:ascii="Times New Roman" w:hAnsi="Times New Roman" w:cs="Times New Roman"/>
                <w:spacing w:val="2"/>
                <w:sz w:val="24"/>
                <w:szCs w:val="24"/>
                <w:highlight w:val="none"/>
                <w:lang w:val="en-US" w:eastAsia="zh-CN"/>
              </w:rPr>
              <w:t>、</w:t>
            </w:r>
            <w:r>
              <w:rPr>
                <w:rFonts w:hint="default" w:ascii="Times New Roman" w:hAnsi="Times New Roman" w:eastAsia="宋体" w:cs="Times New Roman"/>
                <w:spacing w:val="2"/>
                <w:sz w:val="24"/>
                <w:szCs w:val="24"/>
                <w:highlight w:val="none"/>
                <w:lang w:val="en-US" w:eastAsia="zh-CN"/>
              </w:rPr>
              <w:t>PM</w:t>
            </w:r>
            <w:r>
              <w:rPr>
                <w:rFonts w:hint="eastAsia" w:ascii="Times New Roman" w:hAnsi="Times New Roman" w:cs="Times New Roman"/>
                <w:spacing w:val="2"/>
                <w:sz w:val="24"/>
                <w:szCs w:val="24"/>
                <w:highlight w:val="none"/>
                <w:vertAlign w:val="subscript"/>
                <w:lang w:val="en-US" w:eastAsia="zh-CN"/>
              </w:rPr>
              <w:t>2.5</w:t>
            </w:r>
            <w:r>
              <w:rPr>
                <w:rFonts w:hint="eastAsia" w:ascii="Times New Roman" w:hAnsi="Times New Roman" w:cs="Times New Roman"/>
                <w:spacing w:val="2"/>
                <w:sz w:val="24"/>
                <w:szCs w:val="24"/>
                <w:highlight w:val="none"/>
                <w:lang w:val="en-US" w:eastAsia="zh-CN"/>
              </w:rPr>
              <w:t>现状浓度均符合</w:t>
            </w:r>
            <w:r>
              <w:rPr>
                <w:rFonts w:hint="default" w:ascii="Times New Roman" w:hAnsi="Times New Roman" w:eastAsia="宋体" w:cs="Times New Roman"/>
                <w:spacing w:val="2"/>
                <w:sz w:val="24"/>
                <w:szCs w:val="24"/>
                <w:highlight w:val="none"/>
                <w:lang w:val="en-US" w:eastAsia="zh-CN"/>
              </w:rPr>
              <w:t>《环境空气质量标准》（GB 3095-20</w:t>
            </w:r>
            <w:r>
              <w:rPr>
                <w:rFonts w:hint="eastAsia" w:ascii="Times New Roman" w:hAnsi="Times New Roman" w:cs="Times New Roman"/>
                <w:spacing w:val="2"/>
                <w:sz w:val="24"/>
                <w:szCs w:val="24"/>
                <w:highlight w:val="none"/>
                <w:lang w:val="en-US" w:eastAsia="zh-CN"/>
              </w:rPr>
              <w:t>26</w:t>
            </w:r>
            <w:r>
              <w:rPr>
                <w:rFonts w:hint="default" w:ascii="Times New Roman" w:hAnsi="Times New Roman" w:eastAsia="宋体" w:cs="Times New Roman"/>
                <w:spacing w:val="2"/>
                <w:sz w:val="24"/>
                <w:szCs w:val="24"/>
                <w:highlight w:val="none"/>
                <w:lang w:val="en-US" w:eastAsia="zh-CN"/>
              </w:rPr>
              <w:t>）二级标准要求</w:t>
            </w:r>
            <w:r>
              <w:rPr>
                <w:rFonts w:hint="eastAsia" w:ascii="Times New Roman" w:hAnsi="Times New Roman" w:cs="Times New Roman"/>
                <w:spacing w:val="2"/>
                <w:sz w:val="24"/>
                <w:szCs w:val="24"/>
                <w:highlight w:val="none"/>
                <w:lang w:val="en-US" w:eastAsia="zh-CN"/>
              </w:rPr>
              <w:t>，</w:t>
            </w:r>
            <w:r>
              <w:rPr>
                <w:rFonts w:hint="default" w:ascii="Times New Roman" w:hAnsi="Times New Roman" w:eastAsia="宋体" w:cs="Times New Roman"/>
                <w:spacing w:val="2"/>
                <w:sz w:val="24"/>
                <w:szCs w:val="24"/>
                <w:highlight w:val="none"/>
                <w:lang w:val="en-US" w:eastAsia="zh-CN"/>
              </w:rPr>
              <w:t>PM</w:t>
            </w:r>
            <w:r>
              <w:rPr>
                <w:rFonts w:hint="eastAsia" w:ascii="Times New Roman" w:hAnsi="Times New Roman" w:cs="Times New Roman"/>
                <w:spacing w:val="2"/>
                <w:sz w:val="24"/>
                <w:szCs w:val="24"/>
                <w:highlight w:val="none"/>
                <w:vertAlign w:val="subscript"/>
                <w:lang w:val="en-US" w:eastAsia="zh-CN"/>
              </w:rPr>
              <w:t>10</w:t>
            </w:r>
            <w:r>
              <w:rPr>
                <w:rFonts w:hint="eastAsia" w:ascii="Times New Roman" w:hAnsi="Times New Roman" w:cs="Times New Roman"/>
                <w:spacing w:val="2"/>
                <w:sz w:val="24"/>
                <w:szCs w:val="24"/>
                <w:highlight w:val="none"/>
                <w:lang w:val="en-US" w:eastAsia="zh-CN"/>
              </w:rPr>
              <w:t>现状浓度超过</w:t>
            </w:r>
            <w:r>
              <w:rPr>
                <w:rFonts w:hint="default" w:ascii="Times New Roman" w:hAnsi="Times New Roman" w:eastAsia="宋体" w:cs="Times New Roman"/>
                <w:spacing w:val="2"/>
                <w:sz w:val="24"/>
                <w:szCs w:val="24"/>
                <w:highlight w:val="none"/>
                <w:lang w:val="en-US" w:eastAsia="zh-CN"/>
              </w:rPr>
              <w:t>《环境空气质量标准》（GB 3095-20</w:t>
            </w:r>
            <w:r>
              <w:rPr>
                <w:rFonts w:hint="eastAsia" w:ascii="Times New Roman" w:hAnsi="Times New Roman" w:cs="Times New Roman"/>
                <w:spacing w:val="2"/>
                <w:sz w:val="24"/>
                <w:szCs w:val="24"/>
                <w:highlight w:val="none"/>
                <w:lang w:val="en-US" w:eastAsia="zh-CN"/>
              </w:rPr>
              <w:t>26</w:t>
            </w:r>
            <w:r>
              <w:rPr>
                <w:rFonts w:hint="default" w:ascii="Times New Roman" w:hAnsi="Times New Roman" w:eastAsia="宋体" w:cs="Times New Roman"/>
                <w:spacing w:val="2"/>
                <w:sz w:val="24"/>
                <w:szCs w:val="24"/>
                <w:highlight w:val="none"/>
                <w:lang w:val="en-US" w:eastAsia="zh-CN"/>
              </w:rPr>
              <w:t>）二级标准要求</w:t>
            </w:r>
            <w:r>
              <w:rPr>
                <w:rFonts w:hint="eastAsia" w:ascii="Times New Roman" w:hAnsi="Times New Roman" w:cs="Times New Roman"/>
                <w:spacing w:val="2"/>
                <w:sz w:val="24"/>
                <w:szCs w:val="24"/>
                <w:highlight w:val="none"/>
                <w:lang w:val="en-US" w:eastAsia="zh-CN"/>
              </w:rPr>
              <w:t>，因此，项目所在区域为不达标区。</w:t>
            </w:r>
            <w:r>
              <w:rPr>
                <w:rFonts w:hint="default" w:ascii="Times New Roman" w:hAnsi="Times New Roman" w:eastAsia="宋体" w:cs="Times New Roman"/>
                <w:spacing w:val="2"/>
                <w:sz w:val="24"/>
                <w:szCs w:val="24"/>
                <w:highlight w:val="none"/>
                <w:lang w:val="en-US" w:eastAsia="zh-CN"/>
              </w:rPr>
              <w:t>主要原因为区域气候干旱、风沙扬尘天气较多。</w:t>
            </w:r>
          </w:p>
          <w:p w14:paraId="46756D29">
            <w:pPr>
              <w:pStyle w:val="22"/>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jc w:val="both"/>
              <w:textAlignment w:val="auto"/>
              <w:rPr>
                <w:rFonts w:hint="default" w:ascii="Times New Roman" w:hAnsi="Times New Roman" w:eastAsia="宋体" w:cs="Times New Roman"/>
                <w:spacing w:val="2"/>
                <w:sz w:val="24"/>
                <w:szCs w:val="24"/>
                <w:highlight w:val="none"/>
                <w:lang w:val="en-US" w:eastAsia="zh-CN"/>
              </w:rPr>
            </w:pPr>
            <w:r>
              <w:rPr>
                <w:rFonts w:hint="eastAsia" w:ascii="Times New Roman" w:hAnsi="Times New Roman" w:cs="Times New Roman"/>
                <w:spacing w:val="2"/>
                <w:sz w:val="24"/>
                <w:szCs w:val="24"/>
                <w:highlight w:val="none"/>
                <w:lang w:val="en-US" w:eastAsia="zh-CN"/>
              </w:rPr>
              <w:t>本项目</w:t>
            </w:r>
            <w:r>
              <w:rPr>
                <w:rFonts w:hint="default" w:ascii="Times New Roman" w:hAnsi="Times New Roman" w:eastAsia="宋体" w:cs="Times New Roman"/>
                <w:spacing w:val="2"/>
                <w:sz w:val="24"/>
                <w:szCs w:val="24"/>
                <w:highlight w:val="none"/>
                <w:lang w:val="en-US" w:eastAsia="zh-CN"/>
              </w:rPr>
              <w:t>区域环境空气质量达标区判定结果见表3-</w:t>
            </w:r>
            <w:r>
              <w:rPr>
                <w:rFonts w:hint="eastAsia" w:ascii="Times New Roman" w:hAnsi="Times New Roman" w:cs="Times New Roman"/>
                <w:spacing w:val="2"/>
                <w:sz w:val="24"/>
                <w:szCs w:val="24"/>
                <w:highlight w:val="none"/>
                <w:lang w:val="en-US" w:eastAsia="zh-CN"/>
              </w:rPr>
              <w:t>1：</w:t>
            </w:r>
          </w:p>
          <w:p w14:paraId="08E06793">
            <w:pPr>
              <w:pStyle w:val="23"/>
              <w:bidi w:val="0"/>
              <w:rPr>
                <w:rFonts w:hint="eastAsia"/>
                <w:lang w:eastAsia="zh-CN"/>
              </w:rPr>
            </w:pPr>
            <w:r>
              <w:t>表</w:t>
            </w:r>
            <w:r>
              <w:fldChar w:fldCharType="begin"/>
            </w:r>
            <w:r>
              <w:instrText xml:space="preserve"> STYLEREF 1 \s \* ARABIC </w:instrText>
            </w:r>
            <w:r>
              <w:fldChar w:fldCharType="separate"/>
            </w:r>
            <w:r>
              <w:t>3</w:t>
            </w:r>
            <w:r>
              <w:fldChar w:fldCharType="end"/>
            </w:r>
            <w:r>
              <w:rPr>
                <w:rFonts w:hint="eastAsia"/>
                <w:lang w:val="en-US" w:eastAsia="zh-CN"/>
              </w:rPr>
              <w:t>-1</w:t>
            </w:r>
            <w:r>
              <w:rPr>
                <w:rFonts w:hint="eastAsia"/>
                <w:lang w:eastAsia="zh-CN"/>
              </w:rPr>
              <w:t>规划区域环境空气质量现状监测及评价结果</w:t>
            </w:r>
          </w:p>
          <w:tbl>
            <w:tblPr>
              <w:tblStyle w:val="16"/>
              <w:tblW w:w="496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2054"/>
              <w:gridCol w:w="1274"/>
              <w:gridCol w:w="1513"/>
              <w:gridCol w:w="1116"/>
              <w:gridCol w:w="1156"/>
            </w:tblGrid>
            <w:tr w14:paraId="24D12F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1222" w:type="dxa"/>
                  <w:tcBorders>
                    <w:top w:val="single" w:color="000000" w:sz="4" w:space="0"/>
                    <w:left w:val="single" w:color="000000" w:sz="4" w:space="0"/>
                    <w:bottom w:val="single" w:color="000000" w:sz="4" w:space="0"/>
                    <w:right w:val="single" w:color="000000" w:sz="4" w:space="0"/>
                    <w:tl2br w:val="nil"/>
                  </w:tcBorders>
                  <w:shd w:val="clear" w:color="auto" w:fill="FFFFFF"/>
                  <w:noWrap w:val="0"/>
                  <w:vAlign w:val="center"/>
                </w:tcPr>
                <w:p w14:paraId="5F5F096B">
                  <w:pPr>
                    <w:widowControl/>
                    <w:jc w:val="center"/>
                    <w:rPr>
                      <w:rFonts w:eastAsia="宋体"/>
                      <w:b w:val="0"/>
                      <w:color w:val="000000"/>
                      <w:kern w:val="0"/>
                      <w:sz w:val="21"/>
                      <w:highlight w:val="none"/>
                    </w:rPr>
                  </w:pPr>
                  <w:r>
                    <w:rPr>
                      <w:rFonts w:hAnsi="宋体" w:eastAsia="宋体"/>
                      <w:b w:val="0"/>
                      <w:color w:val="000000"/>
                      <w:kern w:val="0"/>
                      <w:sz w:val="21"/>
                      <w:highlight w:val="none"/>
                    </w:rPr>
                    <w:t>评价因子</w:t>
                  </w:r>
                </w:p>
              </w:tc>
              <w:tc>
                <w:tcPr>
                  <w:tcW w:w="206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281A5A">
                  <w:pPr>
                    <w:widowControl/>
                    <w:jc w:val="center"/>
                    <w:rPr>
                      <w:rFonts w:eastAsia="宋体"/>
                      <w:b w:val="0"/>
                      <w:color w:val="000000"/>
                      <w:kern w:val="0"/>
                      <w:sz w:val="21"/>
                      <w:highlight w:val="none"/>
                    </w:rPr>
                  </w:pPr>
                  <w:r>
                    <w:rPr>
                      <w:rFonts w:hAnsi="宋体" w:eastAsia="宋体"/>
                      <w:b w:val="0"/>
                      <w:color w:val="000000"/>
                      <w:kern w:val="0"/>
                      <w:sz w:val="21"/>
                      <w:highlight w:val="none"/>
                    </w:rPr>
                    <w:t>年评价指标</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0E39CA">
                  <w:pPr>
                    <w:widowControl/>
                    <w:jc w:val="center"/>
                    <w:rPr>
                      <w:rFonts w:eastAsia="宋体"/>
                      <w:b w:val="0"/>
                      <w:color w:val="000000"/>
                      <w:kern w:val="0"/>
                      <w:sz w:val="21"/>
                      <w:highlight w:val="none"/>
                    </w:rPr>
                  </w:pPr>
                  <w:r>
                    <w:rPr>
                      <w:rFonts w:hAnsi="宋体" w:eastAsia="宋体"/>
                      <w:b w:val="0"/>
                      <w:color w:val="000000"/>
                      <w:kern w:val="0"/>
                      <w:sz w:val="21"/>
                      <w:highlight w:val="none"/>
                    </w:rPr>
                    <w:t>标准限值</w:t>
                  </w:r>
                  <w:r>
                    <w:rPr>
                      <w:rFonts w:eastAsia="宋体"/>
                      <w:b w:val="0"/>
                      <w:color w:val="000000"/>
                      <w:kern w:val="0"/>
                      <w:sz w:val="21"/>
                      <w:highlight w:val="none"/>
                    </w:rPr>
                    <w:t>μg/m</w:t>
                  </w:r>
                  <w:r>
                    <w:rPr>
                      <w:rFonts w:hint="default" w:ascii="Times New Roman" w:hAnsi="Times New Roman" w:eastAsia="宋体" w:cs="Times New Roman"/>
                      <w:spacing w:val="2"/>
                      <w:sz w:val="21"/>
                      <w:szCs w:val="21"/>
                      <w:highlight w:val="none"/>
                      <w:vertAlign w:val="superscript"/>
                      <w:lang w:val="en-US" w:eastAsia="zh-CN"/>
                    </w:rPr>
                    <w:t>3</w:t>
                  </w:r>
                </w:p>
              </w:tc>
              <w:tc>
                <w:tcPr>
                  <w:tcW w:w="15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D8253">
                  <w:pPr>
                    <w:widowControl/>
                    <w:jc w:val="center"/>
                    <w:rPr>
                      <w:rFonts w:eastAsia="宋体"/>
                      <w:b w:val="0"/>
                      <w:color w:val="000000"/>
                      <w:kern w:val="0"/>
                      <w:sz w:val="21"/>
                      <w:highlight w:val="none"/>
                    </w:rPr>
                  </w:pPr>
                  <w:r>
                    <w:rPr>
                      <w:rFonts w:hAnsi="宋体" w:eastAsia="宋体"/>
                      <w:b w:val="0"/>
                      <w:color w:val="000000"/>
                      <w:kern w:val="0"/>
                      <w:sz w:val="21"/>
                      <w:highlight w:val="none"/>
                    </w:rPr>
                    <w:t>现状浓度</w:t>
                  </w:r>
                  <w:r>
                    <w:rPr>
                      <w:rFonts w:eastAsia="宋体"/>
                      <w:b w:val="0"/>
                      <w:color w:val="000000"/>
                      <w:kern w:val="0"/>
                      <w:sz w:val="21"/>
                      <w:highlight w:val="none"/>
                    </w:rPr>
                    <w:t>μg/m</w:t>
                  </w:r>
                  <w:r>
                    <w:rPr>
                      <w:rFonts w:eastAsia="宋体"/>
                      <w:b w:val="0"/>
                      <w:color w:val="000000"/>
                      <w:kern w:val="0"/>
                      <w:sz w:val="21"/>
                      <w:highlight w:val="none"/>
                      <w:vertAlign w:val="superscript"/>
                    </w:rPr>
                    <w:t>3</w:t>
                  </w:r>
                </w:p>
              </w:tc>
              <w:tc>
                <w:tcPr>
                  <w:tcW w:w="11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6E3FC">
                  <w:pPr>
                    <w:widowControl/>
                    <w:jc w:val="center"/>
                    <w:rPr>
                      <w:rFonts w:eastAsia="宋体"/>
                      <w:b w:val="0"/>
                      <w:color w:val="000000"/>
                      <w:kern w:val="0"/>
                      <w:sz w:val="21"/>
                      <w:highlight w:val="none"/>
                    </w:rPr>
                  </w:pPr>
                  <w:r>
                    <w:rPr>
                      <w:rFonts w:hAnsi="宋体" w:eastAsia="宋体"/>
                      <w:b w:val="0"/>
                      <w:color w:val="000000"/>
                      <w:kern w:val="0"/>
                      <w:sz w:val="21"/>
                      <w:highlight w:val="none"/>
                    </w:rPr>
                    <w:t>最大浓度占标率</w:t>
                  </w:r>
                  <w:r>
                    <w:rPr>
                      <w:rFonts w:eastAsia="宋体"/>
                      <w:b w:val="0"/>
                      <w:color w:val="000000"/>
                      <w:kern w:val="0"/>
                      <w:sz w:val="21"/>
                      <w:highlight w:val="none"/>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7AEDA4">
                  <w:pPr>
                    <w:widowControl/>
                    <w:jc w:val="center"/>
                    <w:rPr>
                      <w:rFonts w:eastAsia="宋体"/>
                      <w:b w:val="0"/>
                      <w:color w:val="000000"/>
                      <w:kern w:val="0"/>
                      <w:sz w:val="21"/>
                      <w:highlight w:val="none"/>
                    </w:rPr>
                  </w:pPr>
                  <w:r>
                    <w:rPr>
                      <w:rFonts w:hAnsi="宋体" w:eastAsia="宋体"/>
                      <w:b w:val="0"/>
                      <w:color w:val="000000"/>
                      <w:kern w:val="0"/>
                      <w:sz w:val="21"/>
                      <w:highlight w:val="none"/>
                    </w:rPr>
                    <w:t>达标情况</w:t>
                  </w:r>
                </w:p>
              </w:tc>
            </w:tr>
            <w:tr w14:paraId="115E6A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2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3B4C07">
                  <w:pPr>
                    <w:widowControl/>
                    <w:jc w:val="center"/>
                    <w:rPr>
                      <w:rFonts w:eastAsia="宋体"/>
                      <w:b w:val="0"/>
                      <w:color w:val="000000"/>
                      <w:kern w:val="0"/>
                      <w:sz w:val="21"/>
                      <w:highlight w:val="none"/>
                    </w:rPr>
                  </w:pPr>
                  <w:r>
                    <w:rPr>
                      <w:rFonts w:eastAsia="宋体"/>
                      <w:b w:val="0"/>
                      <w:color w:val="000000"/>
                      <w:kern w:val="0"/>
                      <w:sz w:val="21"/>
                      <w:highlight w:val="none"/>
                    </w:rPr>
                    <w:t>SO</w:t>
                  </w:r>
                  <w:r>
                    <w:rPr>
                      <w:rFonts w:hint="default" w:ascii="Times New Roman" w:hAnsi="Times New Roman" w:eastAsia="宋体" w:cs="Times New Roman"/>
                      <w:spacing w:val="2"/>
                      <w:sz w:val="21"/>
                      <w:szCs w:val="21"/>
                      <w:highlight w:val="none"/>
                      <w:vertAlign w:val="subscript"/>
                      <w:lang w:val="en-US" w:eastAsia="zh-CN"/>
                    </w:rPr>
                    <w:t>2</w:t>
                  </w:r>
                </w:p>
              </w:tc>
              <w:tc>
                <w:tcPr>
                  <w:tcW w:w="206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5D028">
                  <w:pPr>
                    <w:widowControl/>
                    <w:jc w:val="center"/>
                    <w:rPr>
                      <w:rFonts w:eastAsia="宋体"/>
                      <w:b w:val="0"/>
                      <w:color w:val="000000"/>
                      <w:kern w:val="0"/>
                      <w:sz w:val="21"/>
                      <w:highlight w:val="none"/>
                    </w:rPr>
                  </w:pPr>
                  <w:r>
                    <w:rPr>
                      <w:rFonts w:hAnsi="宋体" w:eastAsia="宋体"/>
                      <w:b w:val="0"/>
                      <w:color w:val="000000"/>
                      <w:kern w:val="0"/>
                      <w:sz w:val="21"/>
                      <w:highlight w:val="none"/>
                    </w:rPr>
                    <w:t>年平均</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DAC233">
                  <w:pPr>
                    <w:widowControl/>
                    <w:jc w:val="center"/>
                    <w:rPr>
                      <w:rFonts w:eastAsia="宋体"/>
                      <w:b w:val="0"/>
                      <w:color w:val="000000"/>
                      <w:kern w:val="0"/>
                      <w:sz w:val="21"/>
                      <w:highlight w:val="none"/>
                    </w:rPr>
                  </w:pPr>
                  <w:r>
                    <w:rPr>
                      <w:rFonts w:eastAsia="宋体"/>
                      <w:b w:val="0"/>
                      <w:color w:val="000000"/>
                      <w:kern w:val="0"/>
                      <w:sz w:val="21"/>
                      <w:highlight w:val="none"/>
                    </w:rPr>
                    <w:t>60</w:t>
                  </w:r>
                </w:p>
              </w:tc>
              <w:tc>
                <w:tcPr>
                  <w:tcW w:w="15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3C68D">
                  <w:pPr>
                    <w:widowControl/>
                    <w:jc w:val="center"/>
                    <w:rPr>
                      <w:rFonts w:hint="eastAsia" w:eastAsia="宋体"/>
                      <w:b w:val="0"/>
                      <w:color w:val="000000"/>
                      <w:kern w:val="0"/>
                      <w:sz w:val="21"/>
                      <w:highlight w:val="none"/>
                      <w:lang w:eastAsia="zh-CN"/>
                    </w:rPr>
                  </w:pPr>
                  <w:r>
                    <w:rPr>
                      <w:rFonts w:hint="eastAsia" w:cs="Times New Roman"/>
                      <w:b w:val="0"/>
                      <w:color w:val="000000"/>
                      <w:kern w:val="0"/>
                      <w:sz w:val="21"/>
                      <w:szCs w:val="21"/>
                      <w:highlight w:val="none"/>
                      <w:lang w:val="en-US" w:eastAsia="zh-CN" w:bidi="ar-SA"/>
                    </w:rPr>
                    <w:t>5</w:t>
                  </w:r>
                </w:p>
              </w:tc>
              <w:tc>
                <w:tcPr>
                  <w:tcW w:w="11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2C8E7">
                  <w:pPr>
                    <w:widowControl/>
                    <w:jc w:val="center"/>
                    <w:rPr>
                      <w:rFonts w:hint="default" w:eastAsia="宋体"/>
                      <w:b w:val="0"/>
                      <w:color w:val="000000"/>
                      <w:kern w:val="0"/>
                      <w:sz w:val="21"/>
                      <w:highlight w:val="none"/>
                      <w:lang w:val="en-US" w:eastAsia="zh-CN"/>
                    </w:rPr>
                  </w:pPr>
                  <w:r>
                    <w:rPr>
                      <w:rFonts w:hint="eastAsia" w:cs="Times New Roman"/>
                      <w:b w:val="0"/>
                      <w:color w:val="000000"/>
                      <w:kern w:val="0"/>
                      <w:sz w:val="21"/>
                      <w:szCs w:val="21"/>
                      <w:highlight w:val="none"/>
                      <w:lang w:val="en-US" w:eastAsia="zh-CN" w:bidi="ar-SA"/>
                    </w:rPr>
                    <w:t>8.3</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8025A">
                  <w:pPr>
                    <w:widowControl/>
                    <w:jc w:val="center"/>
                    <w:rPr>
                      <w:rFonts w:eastAsia="宋体"/>
                      <w:b w:val="0"/>
                      <w:color w:val="000000"/>
                      <w:kern w:val="0"/>
                      <w:sz w:val="21"/>
                      <w:highlight w:val="none"/>
                    </w:rPr>
                  </w:pPr>
                  <w:r>
                    <w:rPr>
                      <w:rFonts w:hAnsi="宋体" w:eastAsia="宋体"/>
                      <w:b w:val="0"/>
                      <w:color w:val="000000"/>
                      <w:kern w:val="0"/>
                      <w:sz w:val="21"/>
                      <w:highlight w:val="none"/>
                    </w:rPr>
                    <w:t>达标</w:t>
                  </w:r>
                </w:p>
              </w:tc>
            </w:tr>
            <w:tr w14:paraId="57D326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2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D47655">
                  <w:pPr>
                    <w:widowControl/>
                    <w:jc w:val="center"/>
                    <w:rPr>
                      <w:rFonts w:eastAsia="宋体"/>
                      <w:b w:val="0"/>
                      <w:color w:val="000000"/>
                      <w:kern w:val="0"/>
                      <w:sz w:val="21"/>
                      <w:highlight w:val="none"/>
                    </w:rPr>
                  </w:pPr>
                  <w:r>
                    <w:rPr>
                      <w:rFonts w:eastAsia="宋体"/>
                      <w:b w:val="0"/>
                      <w:color w:val="000000"/>
                      <w:kern w:val="0"/>
                      <w:sz w:val="21"/>
                      <w:highlight w:val="none"/>
                    </w:rPr>
                    <w:t>NO</w:t>
                  </w:r>
                  <w:r>
                    <w:rPr>
                      <w:rFonts w:hint="default" w:ascii="Times New Roman" w:hAnsi="Times New Roman" w:eastAsia="宋体" w:cs="Times New Roman"/>
                      <w:spacing w:val="2"/>
                      <w:sz w:val="21"/>
                      <w:szCs w:val="21"/>
                      <w:highlight w:val="none"/>
                      <w:vertAlign w:val="subscript"/>
                      <w:lang w:val="en-US" w:eastAsia="zh-CN"/>
                    </w:rPr>
                    <w:t>2</w:t>
                  </w:r>
                </w:p>
              </w:tc>
              <w:tc>
                <w:tcPr>
                  <w:tcW w:w="206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EC627">
                  <w:pPr>
                    <w:widowControl/>
                    <w:jc w:val="center"/>
                    <w:rPr>
                      <w:rFonts w:eastAsia="宋体"/>
                      <w:b w:val="0"/>
                      <w:color w:val="000000"/>
                      <w:kern w:val="0"/>
                      <w:sz w:val="21"/>
                      <w:highlight w:val="none"/>
                    </w:rPr>
                  </w:pPr>
                  <w:r>
                    <w:rPr>
                      <w:rFonts w:hAnsi="宋体" w:eastAsia="宋体"/>
                      <w:b w:val="0"/>
                      <w:color w:val="000000"/>
                      <w:kern w:val="0"/>
                      <w:sz w:val="21"/>
                      <w:highlight w:val="none"/>
                    </w:rPr>
                    <w:t>年平均</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7CEE6">
                  <w:pPr>
                    <w:widowControl/>
                    <w:jc w:val="center"/>
                    <w:rPr>
                      <w:rFonts w:eastAsia="宋体"/>
                      <w:b w:val="0"/>
                      <w:color w:val="000000"/>
                      <w:kern w:val="0"/>
                      <w:sz w:val="21"/>
                      <w:highlight w:val="none"/>
                    </w:rPr>
                  </w:pPr>
                  <w:r>
                    <w:rPr>
                      <w:rFonts w:eastAsia="宋体"/>
                      <w:b w:val="0"/>
                      <w:color w:val="000000"/>
                      <w:kern w:val="0"/>
                      <w:sz w:val="21"/>
                      <w:highlight w:val="none"/>
                    </w:rPr>
                    <w:t>40</w:t>
                  </w:r>
                </w:p>
              </w:tc>
              <w:tc>
                <w:tcPr>
                  <w:tcW w:w="15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C7DF62">
                  <w:pPr>
                    <w:widowControl/>
                    <w:jc w:val="center"/>
                    <w:rPr>
                      <w:rFonts w:hint="default" w:eastAsia="宋体"/>
                      <w:b w:val="0"/>
                      <w:color w:val="000000"/>
                      <w:kern w:val="0"/>
                      <w:sz w:val="21"/>
                      <w:highlight w:val="none"/>
                      <w:lang w:val="en-US" w:eastAsia="zh-CN"/>
                    </w:rPr>
                  </w:pPr>
                  <w:r>
                    <w:rPr>
                      <w:rFonts w:hint="eastAsia" w:cs="Times New Roman"/>
                      <w:b w:val="0"/>
                      <w:color w:val="000000"/>
                      <w:kern w:val="0"/>
                      <w:sz w:val="21"/>
                      <w:szCs w:val="21"/>
                      <w:highlight w:val="none"/>
                      <w:lang w:val="en-US" w:eastAsia="zh-CN" w:bidi="ar-SA"/>
                    </w:rPr>
                    <w:t>23</w:t>
                  </w:r>
                </w:p>
              </w:tc>
              <w:tc>
                <w:tcPr>
                  <w:tcW w:w="11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C98172">
                  <w:pPr>
                    <w:widowControl/>
                    <w:jc w:val="center"/>
                    <w:rPr>
                      <w:rFonts w:hint="default" w:eastAsia="宋体"/>
                      <w:b w:val="0"/>
                      <w:color w:val="000000"/>
                      <w:kern w:val="0"/>
                      <w:sz w:val="21"/>
                      <w:highlight w:val="none"/>
                      <w:lang w:val="en-US" w:eastAsia="zh-CN"/>
                    </w:rPr>
                  </w:pPr>
                  <w:r>
                    <w:rPr>
                      <w:rFonts w:hint="eastAsia" w:cs="Times New Roman"/>
                      <w:b w:val="0"/>
                      <w:color w:val="000000"/>
                      <w:kern w:val="0"/>
                      <w:sz w:val="21"/>
                      <w:szCs w:val="21"/>
                      <w:highlight w:val="none"/>
                      <w:lang w:val="en-US" w:eastAsia="zh-CN" w:bidi="ar-SA"/>
                    </w:rPr>
                    <w:t>57.5</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DD45A5">
                  <w:pPr>
                    <w:widowControl/>
                    <w:jc w:val="center"/>
                    <w:rPr>
                      <w:rFonts w:eastAsia="宋体"/>
                      <w:b w:val="0"/>
                      <w:color w:val="000000"/>
                      <w:kern w:val="0"/>
                      <w:sz w:val="21"/>
                      <w:highlight w:val="none"/>
                    </w:rPr>
                  </w:pPr>
                  <w:r>
                    <w:rPr>
                      <w:rFonts w:hAnsi="宋体" w:eastAsia="宋体"/>
                      <w:b w:val="0"/>
                      <w:color w:val="000000"/>
                      <w:kern w:val="0"/>
                      <w:sz w:val="21"/>
                      <w:highlight w:val="none"/>
                    </w:rPr>
                    <w:t>达标</w:t>
                  </w:r>
                </w:p>
              </w:tc>
            </w:tr>
            <w:tr w14:paraId="743A22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5A15C3">
                  <w:pPr>
                    <w:widowControl/>
                    <w:jc w:val="center"/>
                    <w:rPr>
                      <w:rFonts w:eastAsia="宋体"/>
                      <w:b w:val="0"/>
                      <w:color w:val="000000"/>
                      <w:kern w:val="0"/>
                      <w:sz w:val="21"/>
                      <w:highlight w:val="none"/>
                    </w:rPr>
                  </w:pPr>
                  <w:r>
                    <w:rPr>
                      <w:rFonts w:eastAsia="宋体"/>
                      <w:b w:val="0"/>
                      <w:color w:val="000000"/>
                      <w:kern w:val="0"/>
                      <w:sz w:val="21"/>
                      <w:highlight w:val="none"/>
                    </w:rPr>
                    <w:t>CO</w:t>
                  </w:r>
                </w:p>
              </w:tc>
              <w:tc>
                <w:tcPr>
                  <w:tcW w:w="206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7D038">
                  <w:pPr>
                    <w:widowControl/>
                    <w:jc w:val="center"/>
                    <w:rPr>
                      <w:rFonts w:eastAsia="宋体"/>
                      <w:b w:val="0"/>
                      <w:color w:val="000000"/>
                      <w:kern w:val="0"/>
                      <w:sz w:val="21"/>
                      <w:highlight w:val="none"/>
                    </w:rPr>
                  </w:pPr>
                  <w:r>
                    <w:rPr>
                      <w:rFonts w:hAnsi="宋体" w:eastAsia="宋体"/>
                      <w:b w:val="0"/>
                      <w:color w:val="000000"/>
                      <w:kern w:val="0"/>
                      <w:sz w:val="21"/>
                      <w:highlight w:val="none"/>
                    </w:rPr>
                    <w:t>第</w:t>
                  </w:r>
                  <w:r>
                    <w:rPr>
                      <w:rFonts w:eastAsia="宋体"/>
                      <w:b w:val="0"/>
                      <w:color w:val="000000"/>
                      <w:kern w:val="0"/>
                      <w:sz w:val="21"/>
                      <w:highlight w:val="none"/>
                    </w:rPr>
                    <w:t>95</w:t>
                  </w:r>
                  <w:r>
                    <w:rPr>
                      <w:rFonts w:hAnsi="宋体" w:eastAsia="宋体"/>
                      <w:b w:val="0"/>
                      <w:color w:val="000000"/>
                      <w:kern w:val="0"/>
                      <w:sz w:val="21"/>
                      <w:highlight w:val="none"/>
                    </w:rPr>
                    <w:t>百分位数平均</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1548A">
                  <w:pPr>
                    <w:widowControl/>
                    <w:jc w:val="center"/>
                    <w:rPr>
                      <w:rFonts w:eastAsia="宋体"/>
                      <w:b w:val="0"/>
                      <w:color w:val="000000"/>
                      <w:kern w:val="0"/>
                      <w:sz w:val="21"/>
                      <w:highlight w:val="none"/>
                    </w:rPr>
                  </w:pPr>
                  <w:r>
                    <w:rPr>
                      <w:rFonts w:eastAsia="宋体"/>
                      <w:b w:val="0"/>
                      <w:color w:val="000000"/>
                      <w:kern w:val="0"/>
                      <w:sz w:val="21"/>
                      <w:highlight w:val="none"/>
                    </w:rPr>
                    <w:t>4000</w:t>
                  </w:r>
                </w:p>
              </w:tc>
              <w:tc>
                <w:tcPr>
                  <w:tcW w:w="15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9A6AF5">
                  <w:pPr>
                    <w:widowControl/>
                    <w:jc w:val="center"/>
                    <w:rPr>
                      <w:rFonts w:hint="default" w:eastAsia="宋体"/>
                      <w:b w:val="0"/>
                      <w:color w:val="000000"/>
                      <w:kern w:val="0"/>
                      <w:sz w:val="21"/>
                      <w:highlight w:val="none"/>
                      <w:lang w:val="en-US" w:eastAsia="zh-CN"/>
                    </w:rPr>
                  </w:pPr>
                  <w:r>
                    <w:rPr>
                      <w:rFonts w:hint="eastAsia" w:cs="Times New Roman"/>
                      <w:b w:val="0"/>
                      <w:color w:val="000000"/>
                      <w:kern w:val="0"/>
                      <w:sz w:val="21"/>
                      <w:szCs w:val="21"/>
                      <w:highlight w:val="none"/>
                      <w:lang w:val="en-US" w:eastAsia="zh-CN" w:bidi="ar-SA"/>
                    </w:rPr>
                    <w:t>900</w:t>
                  </w:r>
                </w:p>
              </w:tc>
              <w:tc>
                <w:tcPr>
                  <w:tcW w:w="11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1E11CD">
                  <w:pPr>
                    <w:widowControl/>
                    <w:jc w:val="center"/>
                    <w:rPr>
                      <w:rFonts w:hint="default" w:eastAsia="宋体"/>
                      <w:b w:val="0"/>
                      <w:color w:val="000000"/>
                      <w:kern w:val="0"/>
                      <w:sz w:val="21"/>
                      <w:highlight w:val="none"/>
                      <w:lang w:val="en-US"/>
                    </w:rPr>
                  </w:pPr>
                  <w:r>
                    <w:rPr>
                      <w:rFonts w:hint="eastAsia" w:cs="Times New Roman"/>
                      <w:b w:val="0"/>
                      <w:color w:val="000000"/>
                      <w:kern w:val="0"/>
                      <w:sz w:val="21"/>
                      <w:szCs w:val="21"/>
                      <w:highlight w:val="none"/>
                      <w:lang w:val="en-US" w:eastAsia="zh-CN" w:bidi="ar-SA"/>
                    </w:rPr>
                    <w:t>22.5</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0FF5BB">
                  <w:pPr>
                    <w:widowControl/>
                    <w:jc w:val="center"/>
                    <w:rPr>
                      <w:rFonts w:eastAsia="宋体"/>
                      <w:b w:val="0"/>
                      <w:color w:val="000000"/>
                      <w:kern w:val="0"/>
                      <w:sz w:val="21"/>
                      <w:highlight w:val="none"/>
                    </w:rPr>
                  </w:pPr>
                  <w:r>
                    <w:rPr>
                      <w:rFonts w:hAnsi="宋体" w:eastAsia="宋体"/>
                      <w:b w:val="0"/>
                      <w:color w:val="000000"/>
                      <w:kern w:val="0"/>
                      <w:sz w:val="21"/>
                      <w:highlight w:val="none"/>
                    </w:rPr>
                    <w:t>达标</w:t>
                  </w:r>
                </w:p>
              </w:tc>
            </w:tr>
            <w:tr w14:paraId="06AF8B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62FE1E">
                  <w:pPr>
                    <w:widowControl/>
                    <w:jc w:val="center"/>
                    <w:rPr>
                      <w:rFonts w:eastAsia="宋体"/>
                      <w:b w:val="0"/>
                      <w:color w:val="000000"/>
                      <w:kern w:val="0"/>
                      <w:sz w:val="21"/>
                      <w:highlight w:val="none"/>
                    </w:rPr>
                  </w:pPr>
                  <w:r>
                    <w:rPr>
                      <w:rFonts w:eastAsia="宋体"/>
                      <w:b w:val="0"/>
                      <w:color w:val="000000"/>
                      <w:kern w:val="0"/>
                      <w:sz w:val="21"/>
                      <w:highlight w:val="none"/>
                    </w:rPr>
                    <w:t>O</w:t>
                  </w:r>
                  <w:r>
                    <w:rPr>
                      <w:rFonts w:eastAsia="宋体"/>
                      <w:b w:val="0"/>
                      <w:color w:val="000000"/>
                      <w:kern w:val="0"/>
                      <w:sz w:val="21"/>
                      <w:highlight w:val="none"/>
                      <w:vertAlign w:val="subscript"/>
                    </w:rPr>
                    <w:t>3</w:t>
                  </w:r>
                </w:p>
              </w:tc>
              <w:tc>
                <w:tcPr>
                  <w:tcW w:w="206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2C4935">
                  <w:pPr>
                    <w:widowControl/>
                    <w:jc w:val="center"/>
                    <w:rPr>
                      <w:rFonts w:eastAsia="宋体"/>
                      <w:b w:val="0"/>
                      <w:color w:val="000000"/>
                      <w:kern w:val="0"/>
                      <w:sz w:val="21"/>
                      <w:highlight w:val="none"/>
                    </w:rPr>
                  </w:pPr>
                  <w:r>
                    <w:rPr>
                      <w:rFonts w:hAnsi="宋体" w:eastAsia="宋体"/>
                      <w:b w:val="0"/>
                      <w:color w:val="000000"/>
                      <w:kern w:val="0"/>
                      <w:sz w:val="21"/>
                      <w:highlight w:val="none"/>
                    </w:rPr>
                    <w:t>第</w:t>
                  </w:r>
                  <w:r>
                    <w:rPr>
                      <w:rFonts w:eastAsia="宋体"/>
                      <w:b w:val="0"/>
                      <w:color w:val="000000"/>
                      <w:kern w:val="0"/>
                      <w:sz w:val="21"/>
                      <w:highlight w:val="none"/>
                    </w:rPr>
                    <w:t>90</w:t>
                  </w:r>
                  <w:r>
                    <w:rPr>
                      <w:rFonts w:hAnsi="宋体" w:eastAsia="宋体"/>
                      <w:b w:val="0"/>
                      <w:color w:val="000000"/>
                      <w:kern w:val="0"/>
                      <w:sz w:val="21"/>
                      <w:highlight w:val="none"/>
                    </w:rPr>
                    <w:t>百分位数平均</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9BD713">
                  <w:pPr>
                    <w:widowControl/>
                    <w:jc w:val="center"/>
                    <w:rPr>
                      <w:rFonts w:eastAsia="宋体"/>
                      <w:b w:val="0"/>
                      <w:color w:val="000000"/>
                      <w:kern w:val="0"/>
                      <w:sz w:val="21"/>
                      <w:highlight w:val="none"/>
                    </w:rPr>
                  </w:pPr>
                  <w:r>
                    <w:rPr>
                      <w:rFonts w:eastAsia="宋体"/>
                      <w:b w:val="0"/>
                      <w:color w:val="000000"/>
                      <w:kern w:val="0"/>
                      <w:sz w:val="21"/>
                      <w:highlight w:val="none"/>
                    </w:rPr>
                    <w:t>160</w:t>
                  </w:r>
                </w:p>
              </w:tc>
              <w:tc>
                <w:tcPr>
                  <w:tcW w:w="15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FC09C">
                  <w:pPr>
                    <w:widowControl/>
                    <w:jc w:val="center"/>
                    <w:rPr>
                      <w:rFonts w:hint="default" w:eastAsia="宋体"/>
                      <w:b w:val="0"/>
                      <w:color w:val="000000"/>
                      <w:kern w:val="0"/>
                      <w:sz w:val="21"/>
                      <w:highlight w:val="none"/>
                      <w:lang w:val="en-US" w:eastAsia="zh-CN"/>
                    </w:rPr>
                  </w:pPr>
                  <w:r>
                    <w:rPr>
                      <w:rFonts w:hint="eastAsia" w:cs="Times New Roman"/>
                      <w:b w:val="0"/>
                      <w:color w:val="000000"/>
                      <w:kern w:val="0"/>
                      <w:sz w:val="21"/>
                      <w:szCs w:val="21"/>
                      <w:highlight w:val="none"/>
                      <w:lang w:val="en-US" w:eastAsia="zh-CN" w:bidi="ar-SA"/>
                    </w:rPr>
                    <w:t>121</w:t>
                  </w:r>
                </w:p>
              </w:tc>
              <w:tc>
                <w:tcPr>
                  <w:tcW w:w="11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71586">
                  <w:pPr>
                    <w:widowControl/>
                    <w:jc w:val="center"/>
                    <w:rPr>
                      <w:rFonts w:hint="default" w:eastAsia="宋体"/>
                      <w:b w:val="0"/>
                      <w:color w:val="000000"/>
                      <w:kern w:val="0"/>
                      <w:sz w:val="21"/>
                      <w:highlight w:val="none"/>
                      <w:lang w:val="en-US"/>
                    </w:rPr>
                  </w:pPr>
                  <w:r>
                    <w:rPr>
                      <w:rFonts w:hint="eastAsia" w:cs="Times New Roman"/>
                      <w:b w:val="0"/>
                      <w:color w:val="000000"/>
                      <w:kern w:val="0"/>
                      <w:sz w:val="21"/>
                      <w:szCs w:val="21"/>
                      <w:highlight w:val="none"/>
                      <w:lang w:val="en-US" w:eastAsia="zh-CN" w:bidi="ar-SA"/>
                    </w:rPr>
                    <w:t>75.63</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F8268C">
                  <w:pPr>
                    <w:widowControl/>
                    <w:jc w:val="center"/>
                    <w:rPr>
                      <w:rFonts w:eastAsia="宋体"/>
                      <w:b w:val="0"/>
                      <w:color w:val="000000"/>
                      <w:kern w:val="0"/>
                      <w:sz w:val="21"/>
                      <w:highlight w:val="none"/>
                    </w:rPr>
                  </w:pPr>
                  <w:r>
                    <w:rPr>
                      <w:rFonts w:hAnsi="宋体" w:eastAsia="宋体"/>
                      <w:b w:val="0"/>
                      <w:color w:val="000000"/>
                      <w:kern w:val="0"/>
                      <w:sz w:val="21"/>
                      <w:highlight w:val="none"/>
                    </w:rPr>
                    <w:t>达标</w:t>
                  </w:r>
                </w:p>
              </w:tc>
            </w:tr>
            <w:tr w14:paraId="01AC65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12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E84A1">
                  <w:pPr>
                    <w:widowControl/>
                    <w:jc w:val="center"/>
                    <w:rPr>
                      <w:rFonts w:eastAsia="宋体"/>
                      <w:b w:val="0"/>
                      <w:color w:val="000000"/>
                      <w:kern w:val="0"/>
                      <w:sz w:val="21"/>
                      <w:highlight w:val="none"/>
                    </w:rPr>
                  </w:pPr>
                  <w:r>
                    <w:rPr>
                      <w:rFonts w:eastAsia="宋体"/>
                      <w:b w:val="0"/>
                      <w:color w:val="000000"/>
                      <w:kern w:val="0"/>
                      <w:sz w:val="21"/>
                      <w:highlight w:val="none"/>
                    </w:rPr>
                    <w:t>PM</w:t>
                  </w:r>
                  <w:r>
                    <w:rPr>
                      <w:rFonts w:eastAsia="宋体"/>
                      <w:b w:val="0"/>
                      <w:color w:val="000000"/>
                      <w:kern w:val="0"/>
                      <w:sz w:val="21"/>
                      <w:highlight w:val="none"/>
                      <w:vertAlign w:val="subscript"/>
                    </w:rPr>
                    <w:t>10</w:t>
                  </w:r>
                </w:p>
              </w:tc>
              <w:tc>
                <w:tcPr>
                  <w:tcW w:w="206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9C41D2">
                  <w:pPr>
                    <w:widowControl/>
                    <w:jc w:val="center"/>
                    <w:rPr>
                      <w:rFonts w:eastAsia="宋体"/>
                      <w:b w:val="0"/>
                      <w:color w:val="000000"/>
                      <w:kern w:val="0"/>
                      <w:sz w:val="21"/>
                      <w:highlight w:val="none"/>
                    </w:rPr>
                  </w:pPr>
                  <w:r>
                    <w:rPr>
                      <w:rFonts w:hAnsi="宋体" w:eastAsia="宋体"/>
                      <w:b w:val="0"/>
                      <w:color w:val="000000"/>
                      <w:kern w:val="0"/>
                      <w:sz w:val="21"/>
                      <w:highlight w:val="none"/>
                    </w:rPr>
                    <w:t>年平均</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DE541A">
                  <w:pPr>
                    <w:widowControl/>
                    <w:jc w:val="center"/>
                    <w:rPr>
                      <w:rFonts w:hint="default" w:eastAsia="宋体"/>
                      <w:b w:val="0"/>
                      <w:color w:val="000000"/>
                      <w:kern w:val="0"/>
                      <w:sz w:val="21"/>
                      <w:highlight w:val="none"/>
                      <w:lang w:val="en-US" w:eastAsia="zh-CN"/>
                    </w:rPr>
                  </w:pPr>
                  <w:r>
                    <w:rPr>
                      <w:rFonts w:hint="eastAsia"/>
                      <w:b w:val="0"/>
                      <w:color w:val="000000"/>
                      <w:kern w:val="0"/>
                      <w:sz w:val="21"/>
                      <w:highlight w:val="none"/>
                      <w:lang w:val="en-US" w:eastAsia="zh-CN"/>
                    </w:rPr>
                    <w:t>60</w:t>
                  </w:r>
                </w:p>
              </w:tc>
              <w:tc>
                <w:tcPr>
                  <w:tcW w:w="15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97165">
                  <w:pPr>
                    <w:widowControl/>
                    <w:jc w:val="center"/>
                    <w:rPr>
                      <w:rFonts w:hint="default" w:eastAsia="宋体"/>
                      <w:b w:val="0"/>
                      <w:color w:val="000000"/>
                      <w:kern w:val="0"/>
                      <w:sz w:val="21"/>
                      <w:highlight w:val="none"/>
                      <w:lang w:val="en-US" w:eastAsia="zh-CN"/>
                    </w:rPr>
                  </w:pPr>
                  <w:r>
                    <w:rPr>
                      <w:rFonts w:hint="eastAsia" w:cs="Times New Roman"/>
                      <w:b w:val="0"/>
                      <w:color w:val="000000"/>
                      <w:kern w:val="0"/>
                      <w:sz w:val="21"/>
                      <w:szCs w:val="21"/>
                      <w:highlight w:val="none"/>
                      <w:lang w:val="en-US" w:eastAsia="zh-CN" w:bidi="ar-SA"/>
                    </w:rPr>
                    <w:t>74</w:t>
                  </w:r>
                </w:p>
              </w:tc>
              <w:tc>
                <w:tcPr>
                  <w:tcW w:w="11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7FA1C2">
                  <w:pPr>
                    <w:widowControl/>
                    <w:jc w:val="center"/>
                    <w:rPr>
                      <w:rFonts w:hint="default" w:eastAsia="宋体"/>
                      <w:b w:val="0"/>
                      <w:color w:val="000000"/>
                      <w:kern w:val="0"/>
                      <w:sz w:val="21"/>
                      <w:highlight w:val="none"/>
                      <w:lang w:val="en-US"/>
                    </w:rPr>
                  </w:pPr>
                  <w:r>
                    <w:rPr>
                      <w:rFonts w:hint="eastAsia" w:cs="Times New Roman"/>
                      <w:b w:val="0"/>
                      <w:color w:val="000000"/>
                      <w:kern w:val="0"/>
                      <w:sz w:val="21"/>
                      <w:szCs w:val="21"/>
                      <w:highlight w:val="none"/>
                      <w:lang w:val="en-US" w:eastAsia="zh-CN" w:bidi="ar-SA"/>
                    </w:rPr>
                    <w:t>123.3</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D9B173">
                  <w:pPr>
                    <w:jc w:val="center"/>
                    <w:rPr>
                      <w:rFonts w:eastAsia="宋体"/>
                      <w:b w:val="0"/>
                      <w:color w:val="000000"/>
                      <w:kern w:val="0"/>
                      <w:sz w:val="21"/>
                      <w:highlight w:val="none"/>
                    </w:rPr>
                  </w:pPr>
                  <w:r>
                    <w:rPr>
                      <w:rFonts w:hAnsi="宋体" w:eastAsia="宋体"/>
                      <w:b w:val="0"/>
                      <w:color w:val="000000"/>
                      <w:kern w:val="0"/>
                      <w:sz w:val="21"/>
                      <w:highlight w:val="none"/>
                    </w:rPr>
                    <w:t>不达标</w:t>
                  </w:r>
                </w:p>
              </w:tc>
            </w:tr>
            <w:tr w14:paraId="72CCB4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5E49D4">
                  <w:pPr>
                    <w:widowControl/>
                    <w:jc w:val="center"/>
                    <w:rPr>
                      <w:rFonts w:eastAsia="宋体"/>
                      <w:b w:val="0"/>
                      <w:color w:val="000000"/>
                      <w:kern w:val="0"/>
                      <w:sz w:val="21"/>
                      <w:highlight w:val="none"/>
                    </w:rPr>
                  </w:pPr>
                  <w:r>
                    <w:rPr>
                      <w:rFonts w:eastAsia="宋体"/>
                      <w:b w:val="0"/>
                      <w:color w:val="000000"/>
                      <w:kern w:val="0"/>
                      <w:sz w:val="21"/>
                      <w:highlight w:val="none"/>
                    </w:rPr>
                    <w:t>PM</w:t>
                  </w:r>
                  <w:r>
                    <w:rPr>
                      <w:rFonts w:eastAsia="宋体"/>
                      <w:b w:val="0"/>
                      <w:color w:val="000000"/>
                      <w:kern w:val="0"/>
                      <w:sz w:val="21"/>
                      <w:highlight w:val="none"/>
                      <w:vertAlign w:val="subscript"/>
                    </w:rPr>
                    <w:t>2.5</w:t>
                  </w:r>
                </w:p>
              </w:tc>
              <w:tc>
                <w:tcPr>
                  <w:tcW w:w="206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13D679">
                  <w:pPr>
                    <w:widowControl/>
                    <w:jc w:val="center"/>
                    <w:rPr>
                      <w:rFonts w:eastAsia="宋体"/>
                      <w:b w:val="0"/>
                      <w:color w:val="000000"/>
                      <w:kern w:val="0"/>
                      <w:sz w:val="21"/>
                      <w:highlight w:val="none"/>
                    </w:rPr>
                  </w:pPr>
                  <w:r>
                    <w:rPr>
                      <w:rFonts w:hAnsi="宋体" w:eastAsia="宋体"/>
                      <w:b w:val="0"/>
                      <w:color w:val="000000"/>
                      <w:kern w:val="0"/>
                      <w:sz w:val="21"/>
                      <w:highlight w:val="none"/>
                    </w:rPr>
                    <w:t>年平均</w:t>
                  </w:r>
                </w:p>
              </w:tc>
              <w:tc>
                <w:tcPr>
                  <w:tcW w:w="12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65F6BE">
                  <w:pPr>
                    <w:widowControl/>
                    <w:jc w:val="center"/>
                    <w:rPr>
                      <w:rFonts w:hint="eastAsia" w:eastAsia="宋体"/>
                      <w:b w:val="0"/>
                      <w:color w:val="000000"/>
                      <w:kern w:val="0"/>
                      <w:sz w:val="21"/>
                      <w:highlight w:val="none"/>
                      <w:lang w:eastAsia="zh-CN"/>
                    </w:rPr>
                  </w:pPr>
                  <w:r>
                    <w:rPr>
                      <w:rFonts w:eastAsia="宋体"/>
                      <w:b w:val="0"/>
                      <w:color w:val="000000"/>
                      <w:kern w:val="0"/>
                      <w:sz w:val="21"/>
                      <w:highlight w:val="none"/>
                    </w:rPr>
                    <w:t>3</w:t>
                  </w:r>
                  <w:r>
                    <w:rPr>
                      <w:rFonts w:hint="eastAsia"/>
                      <w:b w:val="0"/>
                      <w:color w:val="000000"/>
                      <w:kern w:val="0"/>
                      <w:sz w:val="21"/>
                      <w:highlight w:val="none"/>
                      <w:lang w:val="en-US" w:eastAsia="zh-CN"/>
                    </w:rPr>
                    <w:t>0</w:t>
                  </w:r>
                </w:p>
              </w:tc>
              <w:tc>
                <w:tcPr>
                  <w:tcW w:w="15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486B6B">
                  <w:pPr>
                    <w:widowControl/>
                    <w:jc w:val="center"/>
                    <w:rPr>
                      <w:rFonts w:hint="default" w:eastAsia="宋体"/>
                      <w:b w:val="0"/>
                      <w:color w:val="000000"/>
                      <w:kern w:val="0"/>
                      <w:sz w:val="21"/>
                      <w:highlight w:val="none"/>
                      <w:lang w:val="en-US" w:eastAsia="zh-CN"/>
                    </w:rPr>
                  </w:pPr>
                  <w:r>
                    <w:rPr>
                      <w:rFonts w:hint="eastAsia" w:cs="Times New Roman"/>
                      <w:b w:val="0"/>
                      <w:color w:val="000000"/>
                      <w:kern w:val="0"/>
                      <w:sz w:val="21"/>
                      <w:szCs w:val="21"/>
                      <w:highlight w:val="none"/>
                      <w:lang w:val="en-US" w:eastAsia="zh-CN" w:bidi="ar-SA"/>
                    </w:rPr>
                    <w:t>26</w:t>
                  </w:r>
                </w:p>
              </w:tc>
              <w:tc>
                <w:tcPr>
                  <w:tcW w:w="11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9A9C0">
                  <w:pPr>
                    <w:widowControl/>
                    <w:jc w:val="center"/>
                    <w:rPr>
                      <w:rFonts w:hint="default" w:eastAsia="宋体"/>
                      <w:b w:val="0"/>
                      <w:color w:val="000000"/>
                      <w:kern w:val="0"/>
                      <w:sz w:val="21"/>
                      <w:highlight w:val="none"/>
                      <w:lang w:val="en-US"/>
                    </w:rPr>
                  </w:pPr>
                  <w:r>
                    <w:rPr>
                      <w:rFonts w:hint="eastAsia" w:cs="Times New Roman"/>
                      <w:b w:val="0"/>
                      <w:color w:val="000000"/>
                      <w:kern w:val="0"/>
                      <w:sz w:val="21"/>
                      <w:szCs w:val="21"/>
                      <w:highlight w:val="none"/>
                      <w:lang w:val="en-US" w:eastAsia="zh-CN" w:bidi="ar-SA"/>
                    </w:rPr>
                    <w:t>86.7</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FD2DC1">
                  <w:pPr>
                    <w:jc w:val="center"/>
                    <w:rPr>
                      <w:rFonts w:eastAsia="宋体"/>
                      <w:b w:val="0"/>
                      <w:color w:val="000000"/>
                      <w:kern w:val="0"/>
                      <w:sz w:val="21"/>
                      <w:highlight w:val="none"/>
                    </w:rPr>
                  </w:pPr>
                  <w:r>
                    <w:rPr>
                      <w:rFonts w:hAnsi="宋体" w:eastAsia="宋体"/>
                      <w:b w:val="0"/>
                      <w:color w:val="000000"/>
                      <w:kern w:val="0"/>
                      <w:sz w:val="21"/>
                      <w:highlight w:val="none"/>
                    </w:rPr>
                    <w:t>达标</w:t>
                  </w:r>
                </w:p>
              </w:tc>
            </w:tr>
          </w:tbl>
          <w:p w14:paraId="3482123D">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default"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备注：CO评价标准单位为mg/m</w:t>
            </w:r>
            <w:r>
              <w:rPr>
                <w:rFonts w:hint="eastAsia" w:cs="Times New Roman"/>
                <w:b w:val="0"/>
                <w:bCs w:val="0"/>
                <w:color w:val="auto"/>
                <w:kern w:val="0"/>
                <w:sz w:val="21"/>
                <w:szCs w:val="21"/>
                <w:highlight w:val="none"/>
                <w:vertAlign w:val="superscript"/>
                <w:lang w:val="en-US" w:eastAsia="zh-CN"/>
              </w:rPr>
              <w:t>3</w:t>
            </w:r>
            <w:r>
              <w:rPr>
                <w:rFonts w:hint="eastAsia" w:cs="Times New Roman"/>
                <w:b w:val="0"/>
                <w:bCs w:val="0"/>
                <w:color w:val="auto"/>
                <w:kern w:val="0"/>
                <w:sz w:val="21"/>
                <w:szCs w:val="21"/>
                <w:highlight w:val="none"/>
                <w:lang w:val="en-US" w:eastAsia="zh-CN"/>
              </w:rPr>
              <w:t>。</w:t>
            </w:r>
          </w:p>
          <w:p w14:paraId="0001299D">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cs="Times New Roman"/>
                <w:b w:val="0"/>
                <w:bCs w:val="0"/>
                <w:color w:val="auto"/>
                <w:kern w:val="0"/>
                <w:sz w:val="24"/>
                <w:highlight w:val="none"/>
                <w:lang w:val="en-US" w:eastAsia="zh-CN"/>
              </w:rPr>
            </w:pPr>
          </w:p>
          <w:p w14:paraId="202BD6FD">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cs="Times New Roman"/>
                <w:b w:val="0"/>
                <w:bCs w:val="0"/>
                <w:color w:val="auto"/>
                <w:kern w:val="0"/>
                <w:sz w:val="24"/>
                <w:highlight w:val="none"/>
                <w:lang w:val="en-US" w:eastAsia="zh-CN"/>
              </w:rPr>
            </w:pPr>
            <w:r>
              <w:rPr>
                <w:rFonts w:hint="eastAsia" w:cs="Times New Roman"/>
                <w:b w:val="0"/>
                <w:bCs w:val="0"/>
                <w:color w:val="auto"/>
                <w:kern w:val="0"/>
                <w:sz w:val="24"/>
                <w:highlight w:val="none"/>
                <w:lang w:val="en-US" w:eastAsia="zh-CN"/>
              </w:rPr>
              <w:t>2、特征污染物</w:t>
            </w:r>
          </w:p>
          <w:p w14:paraId="5837826E">
            <w:pPr>
              <w:pStyle w:val="22"/>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jc w:val="both"/>
              <w:textAlignment w:val="auto"/>
              <w:rPr>
                <w:rFonts w:hint="default" w:ascii="Times New Roman" w:hAnsi="Times New Roman" w:eastAsia="宋体" w:cs="Times New Roman"/>
                <w:spacing w:val="2"/>
                <w:sz w:val="24"/>
                <w:szCs w:val="24"/>
                <w:highlight w:val="none"/>
                <w:lang w:val="en-US" w:eastAsia="zh-CN"/>
              </w:rPr>
            </w:pPr>
            <w:r>
              <w:rPr>
                <w:rFonts w:hint="default" w:ascii="Times New Roman" w:hAnsi="Times New Roman" w:eastAsia="宋体" w:cs="Times New Roman"/>
                <w:spacing w:val="2"/>
                <w:sz w:val="24"/>
                <w:szCs w:val="24"/>
                <w:highlight w:val="none"/>
                <w:lang w:val="en-US" w:eastAsia="zh-CN"/>
              </w:rPr>
              <w:t>根据《建设项目环境影响报告表编制技术指南（污染影响类）（试行）》，本项目特征污染物（NH</w:t>
            </w:r>
            <w:r>
              <w:rPr>
                <w:rFonts w:hint="eastAsia" w:ascii="Times New Roman" w:hAnsi="Times New Roman" w:cs="Times New Roman"/>
                <w:spacing w:val="2"/>
                <w:sz w:val="24"/>
                <w:szCs w:val="24"/>
                <w:highlight w:val="none"/>
                <w:vertAlign w:val="subscript"/>
                <w:lang w:val="en-US" w:eastAsia="zh-CN"/>
              </w:rPr>
              <w:t>3</w:t>
            </w:r>
            <w:r>
              <w:rPr>
                <w:rFonts w:hint="default" w:ascii="Times New Roman" w:hAnsi="Times New Roman" w:eastAsia="宋体" w:cs="Times New Roman"/>
                <w:spacing w:val="2"/>
                <w:sz w:val="24"/>
                <w:szCs w:val="24"/>
                <w:highlight w:val="none"/>
                <w:lang w:val="en-US" w:eastAsia="zh-CN"/>
              </w:rPr>
              <w:t>、H</w:t>
            </w:r>
            <w:r>
              <w:rPr>
                <w:rFonts w:hint="eastAsia" w:ascii="Times New Roman" w:hAnsi="Times New Roman" w:cs="Times New Roman"/>
                <w:spacing w:val="2"/>
                <w:sz w:val="24"/>
                <w:szCs w:val="24"/>
                <w:highlight w:val="none"/>
                <w:vertAlign w:val="subscript"/>
                <w:lang w:val="en-US" w:eastAsia="zh-CN"/>
              </w:rPr>
              <w:t>2</w:t>
            </w:r>
            <w:r>
              <w:rPr>
                <w:rFonts w:hint="default" w:ascii="Times New Roman" w:hAnsi="Times New Roman" w:eastAsia="宋体" w:cs="Times New Roman"/>
                <w:spacing w:val="2"/>
                <w:sz w:val="24"/>
                <w:szCs w:val="24"/>
                <w:highlight w:val="none"/>
                <w:lang w:val="en-US" w:eastAsia="zh-CN"/>
              </w:rPr>
              <w:t>S）环境质量现状引用规划环评中的监测数据。</w:t>
            </w:r>
          </w:p>
          <w:p w14:paraId="51BDFDB0">
            <w:pPr>
              <w:pStyle w:val="22"/>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jc w:val="both"/>
              <w:textAlignment w:val="auto"/>
              <w:rPr>
                <w:rFonts w:hint="default" w:ascii="Times New Roman" w:hAnsi="Times New Roman" w:eastAsia="宋体" w:cs="Times New Roman"/>
                <w:spacing w:val="2"/>
                <w:sz w:val="24"/>
                <w:szCs w:val="24"/>
                <w:highlight w:val="none"/>
                <w:lang w:val="en-US" w:eastAsia="zh-CN"/>
              </w:rPr>
            </w:pPr>
            <w:r>
              <w:rPr>
                <w:rFonts w:hint="default" w:ascii="Times New Roman" w:hAnsi="Times New Roman" w:eastAsia="宋体" w:cs="Times New Roman"/>
                <w:spacing w:val="2"/>
                <w:sz w:val="24"/>
                <w:szCs w:val="24"/>
                <w:highlight w:val="none"/>
                <w:lang w:val="en-US" w:eastAsia="zh-CN"/>
              </w:rPr>
              <w:t>引用数据来源：《库尔勒上库高新技术产业开发区国土空间专项规划（2024-2035年）环境影响报告书》，新疆维吾尔自治区生态环境厅，新环审〔2025〕303号，2025年批复。</w:t>
            </w:r>
          </w:p>
          <w:p w14:paraId="12FE58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8" w:firstLineChars="200"/>
              <w:textAlignment w:val="auto"/>
              <w:rPr>
                <w:rFonts w:hint="default" w:ascii="Times New Roman" w:hAnsi="Times New Roman" w:eastAsia="宋体" w:cs="Times New Roman"/>
                <w:spacing w:val="2"/>
                <w:sz w:val="24"/>
                <w:szCs w:val="24"/>
                <w:highlight w:val="none"/>
                <w:lang w:val="en-US" w:eastAsia="zh-CN"/>
              </w:rPr>
            </w:pPr>
            <w:r>
              <w:rPr>
                <w:rFonts w:hint="default" w:ascii="Times New Roman" w:hAnsi="Times New Roman" w:eastAsia="宋体" w:cs="Times New Roman"/>
                <w:spacing w:val="2"/>
                <w:sz w:val="24"/>
                <w:szCs w:val="24"/>
                <w:highlight w:val="none"/>
                <w:lang w:val="en-US" w:eastAsia="zh-CN"/>
              </w:rPr>
              <w:t>监测时间</w:t>
            </w:r>
            <w:r>
              <w:rPr>
                <w:rFonts w:hint="eastAsia" w:ascii="Times New Roman" w:hAnsi="Times New Roman" w:eastAsia="宋体" w:cs="Times New Roman"/>
                <w:spacing w:val="2"/>
                <w:sz w:val="24"/>
                <w:szCs w:val="24"/>
                <w:highlight w:val="none"/>
                <w:lang w:val="en-US" w:eastAsia="zh-CN"/>
              </w:rPr>
              <w:t>及监测频次</w:t>
            </w:r>
            <w:r>
              <w:rPr>
                <w:rFonts w:hint="default" w:ascii="Times New Roman" w:hAnsi="Times New Roman" w:eastAsia="宋体" w:cs="Times New Roman"/>
                <w:spacing w:val="2"/>
                <w:sz w:val="24"/>
                <w:szCs w:val="24"/>
                <w:highlight w:val="none"/>
                <w:lang w:val="en-US" w:eastAsia="zh-CN"/>
              </w:rPr>
              <w:t>：</w:t>
            </w:r>
            <w:r>
              <w:rPr>
                <w:rFonts w:hint="eastAsia" w:ascii="Times New Roman" w:hAnsi="Times New Roman" w:eastAsia="宋体" w:cs="Times New Roman"/>
                <w:spacing w:val="2"/>
                <w:kern w:val="2"/>
                <w:sz w:val="24"/>
                <w:szCs w:val="24"/>
                <w:highlight w:val="none"/>
                <w:lang w:val="en-US" w:eastAsia="zh-CN" w:bidi="ar-SA"/>
              </w:rPr>
              <w:t>NH</w:t>
            </w:r>
            <w:r>
              <w:rPr>
                <w:rFonts w:hint="default" w:ascii="Times New Roman" w:hAnsi="Times New Roman" w:eastAsia="宋体" w:cs="Times New Roman"/>
                <w:spacing w:val="2"/>
                <w:sz w:val="24"/>
                <w:szCs w:val="24"/>
                <w:highlight w:val="none"/>
                <w:vertAlign w:val="subscript"/>
                <w:lang w:val="en-US" w:eastAsia="zh-CN"/>
              </w:rPr>
              <w:t>3</w:t>
            </w:r>
            <w:r>
              <w:rPr>
                <w:rFonts w:hint="eastAsia" w:ascii="Times New Roman" w:hAnsi="Times New Roman" w:eastAsia="宋体" w:cs="Times New Roman"/>
                <w:spacing w:val="2"/>
                <w:kern w:val="2"/>
                <w:sz w:val="24"/>
                <w:szCs w:val="24"/>
                <w:highlight w:val="none"/>
                <w:lang w:val="en-US" w:eastAsia="zh-CN" w:bidi="ar-SA"/>
              </w:rPr>
              <w:t>、H</w:t>
            </w:r>
            <w:r>
              <w:rPr>
                <w:rFonts w:hint="eastAsia" w:ascii="Times New Roman" w:hAnsi="Times New Roman" w:eastAsia="宋体" w:cs="Times New Roman"/>
                <w:spacing w:val="2"/>
                <w:kern w:val="2"/>
                <w:sz w:val="24"/>
                <w:szCs w:val="24"/>
                <w:highlight w:val="none"/>
                <w:vertAlign w:val="subscript"/>
                <w:lang w:val="en-US" w:eastAsia="zh-CN" w:bidi="ar-SA"/>
              </w:rPr>
              <w:t>2</w:t>
            </w:r>
            <w:r>
              <w:rPr>
                <w:rFonts w:hint="eastAsia" w:ascii="Times New Roman" w:hAnsi="Times New Roman" w:eastAsia="宋体" w:cs="Times New Roman"/>
                <w:spacing w:val="2"/>
                <w:kern w:val="2"/>
                <w:sz w:val="24"/>
                <w:szCs w:val="24"/>
                <w:highlight w:val="none"/>
                <w:lang w:val="en-US" w:eastAsia="zh-CN" w:bidi="ar-SA"/>
              </w:rPr>
              <w:t>S监测小时值，1小时浓度每天采样4次，每次采样不少于45分钟，具体时间为：2025年6月26日至7月2日，2:00、8:00、14:00、20:00，连续监测7天</w:t>
            </w:r>
            <w:r>
              <w:rPr>
                <w:rFonts w:hint="default" w:ascii="Times New Roman" w:hAnsi="Times New Roman" w:eastAsia="宋体" w:cs="Times New Roman"/>
                <w:spacing w:val="2"/>
                <w:sz w:val="24"/>
                <w:szCs w:val="24"/>
                <w:highlight w:val="none"/>
                <w:lang w:val="en-US" w:eastAsia="zh-CN"/>
              </w:rPr>
              <w:t>。</w:t>
            </w:r>
          </w:p>
          <w:p w14:paraId="0FB19692">
            <w:pPr>
              <w:pStyle w:val="22"/>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jc w:val="both"/>
              <w:textAlignment w:val="auto"/>
              <w:rPr>
                <w:rFonts w:hint="default" w:ascii="Times New Roman" w:hAnsi="Times New Roman" w:eastAsia="宋体" w:cs="Times New Roman"/>
                <w:spacing w:val="2"/>
                <w:sz w:val="24"/>
                <w:szCs w:val="24"/>
                <w:highlight w:val="none"/>
                <w:lang w:val="en-US" w:eastAsia="zh-CN"/>
              </w:rPr>
            </w:pPr>
            <w:r>
              <w:rPr>
                <w:rFonts w:hint="default" w:ascii="Times New Roman" w:hAnsi="Times New Roman" w:eastAsia="宋体" w:cs="Times New Roman"/>
                <w:spacing w:val="2"/>
                <w:sz w:val="24"/>
                <w:szCs w:val="24"/>
                <w:highlight w:val="none"/>
                <w:lang w:val="en-US" w:eastAsia="zh-CN"/>
              </w:rPr>
              <w:t>监测点位：共设置3个监测点位，各监测点位信息及与本项目的位置关系见表3-</w:t>
            </w:r>
            <w:r>
              <w:rPr>
                <w:rFonts w:hint="eastAsia" w:ascii="Times New Roman" w:hAnsi="Times New Roman" w:cs="Times New Roman"/>
                <w:spacing w:val="2"/>
                <w:sz w:val="24"/>
                <w:szCs w:val="24"/>
                <w:highlight w:val="none"/>
                <w:lang w:val="en-US" w:eastAsia="zh-CN"/>
              </w:rPr>
              <w:t>2</w:t>
            </w:r>
            <w:r>
              <w:rPr>
                <w:rFonts w:hint="default" w:ascii="Times New Roman" w:hAnsi="Times New Roman" w:eastAsia="宋体" w:cs="Times New Roman"/>
                <w:spacing w:val="2"/>
                <w:sz w:val="24"/>
                <w:szCs w:val="24"/>
                <w:highlight w:val="none"/>
                <w:lang w:val="en-US" w:eastAsia="zh-CN"/>
              </w:rPr>
              <w:t>。</w:t>
            </w:r>
          </w:p>
          <w:p w14:paraId="488888D4">
            <w:pPr>
              <w:pStyle w:val="22"/>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jc w:val="both"/>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spacing w:val="2"/>
                <w:sz w:val="24"/>
                <w:szCs w:val="24"/>
                <w:highlight w:val="none"/>
                <w:lang w:val="en-US" w:eastAsia="zh-CN"/>
              </w:rPr>
              <w:t>评价区域主导风向为东风及东北偏东风，根据规划环评中的监测数据（2025年6月），监测因子NH</w:t>
            </w:r>
            <w:r>
              <w:rPr>
                <w:rFonts w:hint="eastAsia" w:ascii="Times New Roman" w:hAnsi="Times New Roman" w:eastAsia="宋体" w:cs="Times New Roman"/>
                <w:spacing w:val="2"/>
                <w:sz w:val="24"/>
                <w:szCs w:val="24"/>
                <w:highlight w:val="none"/>
                <w:vertAlign w:val="subscript"/>
                <w:lang w:val="en-US" w:eastAsia="zh-CN"/>
              </w:rPr>
              <w:t>3</w:t>
            </w:r>
            <w:r>
              <w:rPr>
                <w:rFonts w:hint="default" w:ascii="Times New Roman" w:hAnsi="Times New Roman" w:eastAsia="宋体" w:cs="Times New Roman"/>
                <w:spacing w:val="2"/>
                <w:sz w:val="24"/>
                <w:szCs w:val="24"/>
                <w:highlight w:val="none"/>
                <w:lang w:val="en-US" w:eastAsia="zh-CN"/>
              </w:rPr>
              <w:t>、H</w:t>
            </w:r>
            <w:r>
              <w:rPr>
                <w:rFonts w:hint="default" w:ascii="Times New Roman" w:hAnsi="Times New Roman" w:eastAsia="宋体" w:cs="Times New Roman"/>
                <w:spacing w:val="2"/>
                <w:sz w:val="24"/>
                <w:szCs w:val="24"/>
                <w:highlight w:val="none"/>
                <w:vertAlign w:val="subscript"/>
                <w:lang w:val="en-US" w:eastAsia="zh-CN"/>
              </w:rPr>
              <w:t>2</w:t>
            </w:r>
            <w:r>
              <w:rPr>
                <w:rFonts w:hint="default" w:ascii="Times New Roman" w:hAnsi="Times New Roman" w:eastAsia="宋体" w:cs="Times New Roman"/>
                <w:spacing w:val="2"/>
                <w:sz w:val="24"/>
                <w:szCs w:val="24"/>
                <w:highlight w:val="none"/>
                <w:lang w:val="en-US" w:eastAsia="zh-CN"/>
              </w:rPr>
              <w:t>S的1小时平均浓度均满足《环境影响评价技术导则大气环境》（HJ2.2-2018）附录D中其他污染物空气质量浓度参考限值要求（NH</w:t>
            </w:r>
            <w:r>
              <w:rPr>
                <w:rFonts w:hint="default" w:ascii="Times New Roman" w:hAnsi="Times New Roman" w:eastAsia="宋体" w:cs="Times New Roman"/>
                <w:spacing w:val="2"/>
                <w:sz w:val="24"/>
                <w:szCs w:val="24"/>
                <w:highlight w:val="none"/>
                <w:vertAlign w:val="subscript"/>
                <w:lang w:val="en-US" w:eastAsia="zh-CN"/>
              </w:rPr>
              <w:t>3</w:t>
            </w:r>
            <w:r>
              <w:rPr>
                <w:rFonts w:hint="default" w:ascii="Times New Roman" w:hAnsi="Times New Roman" w:eastAsia="宋体" w:cs="Times New Roman"/>
                <w:spacing w:val="2"/>
                <w:sz w:val="24"/>
                <w:szCs w:val="24"/>
                <w:highlight w:val="none"/>
                <w:lang w:val="en-US" w:eastAsia="zh-CN"/>
              </w:rPr>
              <w:t>≤0.2mg/m</w:t>
            </w:r>
            <w:r>
              <w:rPr>
                <w:rFonts w:hint="default" w:ascii="Times New Roman" w:hAnsi="Times New Roman" w:eastAsia="宋体" w:cs="Times New Roman"/>
                <w:spacing w:val="2"/>
                <w:sz w:val="24"/>
                <w:szCs w:val="24"/>
                <w:highlight w:val="none"/>
                <w:vertAlign w:val="superscript"/>
                <w:lang w:val="en-US" w:eastAsia="zh-CN"/>
              </w:rPr>
              <w:t>3</w:t>
            </w:r>
            <w:r>
              <w:rPr>
                <w:rFonts w:hint="default" w:ascii="Times New Roman" w:hAnsi="Times New Roman" w:eastAsia="宋体" w:cs="Times New Roman"/>
                <w:spacing w:val="2"/>
                <w:sz w:val="24"/>
                <w:szCs w:val="24"/>
                <w:highlight w:val="none"/>
                <w:lang w:val="en-US" w:eastAsia="zh-CN"/>
              </w:rPr>
              <w:t>，H</w:t>
            </w:r>
            <w:r>
              <w:rPr>
                <w:rFonts w:hint="default" w:ascii="Times New Roman" w:hAnsi="Times New Roman" w:eastAsia="宋体" w:cs="Times New Roman"/>
                <w:spacing w:val="2"/>
                <w:sz w:val="24"/>
                <w:szCs w:val="24"/>
                <w:highlight w:val="none"/>
                <w:vertAlign w:val="subscript"/>
                <w:lang w:val="en-US" w:eastAsia="zh-CN"/>
              </w:rPr>
              <w:t>2</w:t>
            </w:r>
            <w:r>
              <w:rPr>
                <w:rFonts w:hint="default" w:ascii="Times New Roman" w:hAnsi="Times New Roman" w:eastAsia="宋体" w:cs="Times New Roman"/>
                <w:spacing w:val="2"/>
                <w:sz w:val="24"/>
                <w:szCs w:val="24"/>
                <w:highlight w:val="none"/>
                <w:lang w:val="en-US" w:eastAsia="zh-CN"/>
              </w:rPr>
              <w:t>S≤0.01mg/m</w:t>
            </w:r>
            <w:r>
              <w:rPr>
                <w:rFonts w:hint="default" w:ascii="Times New Roman" w:hAnsi="Times New Roman" w:eastAsia="宋体" w:cs="Times New Roman"/>
                <w:spacing w:val="2"/>
                <w:sz w:val="24"/>
                <w:szCs w:val="24"/>
                <w:highlight w:val="none"/>
                <w:vertAlign w:val="superscript"/>
                <w:lang w:val="en-US" w:eastAsia="zh-CN"/>
              </w:rPr>
              <w:t>3</w:t>
            </w:r>
            <w:r>
              <w:rPr>
                <w:rFonts w:hint="default" w:ascii="Times New Roman" w:hAnsi="Times New Roman" w:eastAsia="宋体" w:cs="Times New Roman"/>
                <w:spacing w:val="2"/>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石油石化产业园监测点位信息见表3-</w:t>
            </w:r>
            <w:r>
              <w:rPr>
                <w:rFonts w:hint="eastAsia" w:ascii="Times New Roman" w:hAnsi="Times New Roman" w:cs="Times New Roman"/>
                <w:color w:val="000000"/>
                <w:sz w:val="24"/>
                <w:szCs w:val="24"/>
                <w:highlight w:val="none"/>
                <w:lang w:val="en-US" w:eastAsia="zh-CN"/>
              </w:rPr>
              <w:t>2：</w:t>
            </w:r>
          </w:p>
          <w:p w14:paraId="743F841F">
            <w:pPr>
              <w:pStyle w:val="23"/>
              <w:bidi w:val="0"/>
              <w:rPr>
                <w:rFonts w:hint="eastAsia"/>
                <w:lang w:eastAsia="zh-CN"/>
              </w:rPr>
            </w:pPr>
            <w:r>
              <w:t>表</w:t>
            </w:r>
            <w:r>
              <w:fldChar w:fldCharType="begin"/>
            </w:r>
            <w:r>
              <w:instrText xml:space="preserve"> STYLEREF 1 \s \* ARABIC </w:instrText>
            </w:r>
            <w:r>
              <w:fldChar w:fldCharType="separate"/>
            </w:r>
            <w:r>
              <w:t>3</w:t>
            </w:r>
            <w:r>
              <w:fldChar w:fldCharType="end"/>
            </w:r>
            <w:r>
              <w:rPr>
                <w:rFonts w:hint="eastAsia"/>
                <w:lang w:eastAsia="zh-CN"/>
              </w:rPr>
              <w:t>-</w:t>
            </w:r>
            <w:r>
              <w:rPr>
                <w:rFonts w:hint="eastAsia"/>
                <w:lang w:val="en-US" w:eastAsia="zh-CN"/>
              </w:rPr>
              <w:t>2</w:t>
            </w:r>
            <w:r>
              <w:rPr>
                <w:rFonts w:hint="eastAsia"/>
                <w:lang w:eastAsia="zh-CN"/>
              </w:rPr>
              <w:t>石油石化产业园环境空气监测点位置</w:t>
            </w:r>
          </w:p>
          <w:tbl>
            <w:tblPr>
              <w:tblStyle w:val="1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26"/>
              <w:gridCol w:w="3340"/>
              <w:gridCol w:w="3924"/>
            </w:tblGrid>
            <w:tr w14:paraId="541166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71" w:type="pct"/>
                  <w:tcBorders>
                    <w:top w:val="single" w:color="000000" w:sz="4" w:space="0"/>
                    <w:left w:val="single" w:color="000000" w:sz="4" w:space="0"/>
                    <w:bottom w:val="single" w:color="000000" w:sz="4" w:space="0"/>
                    <w:right w:val="single" w:color="000000" w:sz="4" w:space="0"/>
                    <w:tl2br w:val="nil"/>
                  </w:tcBorders>
                  <w:shd w:val="clear" w:color="auto" w:fill="FFFFFF"/>
                  <w:noWrap w:val="0"/>
                  <w:vAlign w:val="center"/>
                </w:tcPr>
                <w:p w14:paraId="7F36E799">
                  <w:pPr>
                    <w:widowControl/>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点位</w:t>
                  </w:r>
                </w:p>
              </w:tc>
              <w:tc>
                <w:tcPr>
                  <w:tcW w:w="19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88BE2E">
                  <w:pPr>
                    <w:widowControl/>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名称</w:t>
                  </w:r>
                </w:p>
              </w:tc>
              <w:tc>
                <w:tcPr>
                  <w:tcW w:w="23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C6D14A">
                  <w:pPr>
                    <w:keepNext w:val="0"/>
                    <w:keepLines w:val="0"/>
                    <w:widowControl/>
                    <w:suppressLineNumbers w:val="0"/>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val="en-US" w:eastAsia="zh-CN" w:bidi="ar"/>
                    </w:rPr>
                    <w:t>方位及距离</w:t>
                  </w:r>
                </w:p>
              </w:tc>
            </w:tr>
            <w:tr w14:paraId="004A89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7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9368DE">
                  <w:pPr>
                    <w:widowControl/>
                    <w:jc w:val="center"/>
                    <w:rPr>
                      <w:rFonts w:hint="default" w:ascii="Times New Roman" w:hAnsi="Times New Roman" w:eastAsia="宋体" w:cs="Times New Roman"/>
                      <w:b w:val="0"/>
                      <w:color w:val="000000"/>
                      <w:sz w:val="21"/>
                      <w:szCs w:val="21"/>
                      <w:highlight w:val="none"/>
                      <w:lang w:val="en-US" w:eastAsia="zh-CN"/>
                    </w:rPr>
                  </w:pPr>
                  <w:r>
                    <w:rPr>
                      <w:rFonts w:hint="eastAsia" w:cs="Times New Roman"/>
                      <w:b w:val="0"/>
                      <w:color w:val="000000"/>
                      <w:sz w:val="21"/>
                      <w:szCs w:val="21"/>
                      <w:highlight w:val="none"/>
                      <w:lang w:val="en-US" w:eastAsia="zh-CN"/>
                    </w:rPr>
                    <w:t>G1</w:t>
                  </w:r>
                </w:p>
              </w:tc>
              <w:tc>
                <w:tcPr>
                  <w:tcW w:w="19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C974A">
                  <w:pPr>
                    <w:keepNext w:val="0"/>
                    <w:keepLines w:val="0"/>
                    <w:widowControl/>
                    <w:suppressLineNumbers w:val="0"/>
                    <w:jc w:val="center"/>
                    <w:rPr>
                      <w:rFonts w:hint="default" w:ascii="Times New Roman" w:hAnsi="Times New Roman" w:eastAsia="宋体" w:cs="Times New Roman"/>
                      <w:b w:val="0"/>
                      <w:color w:val="000000"/>
                      <w:sz w:val="21"/>
                      <w:szCs w:val="21"/>
                      <w:highlight w:val="none"/>
                      <w:lang w:val="en-US"/>
                    </w:rPr>
                  </w:pPr>
                  <w:r>
                    <w:rPr>
                      <w:rFonts w:hint="default" w:ascii="Times New Roman" w:hAnsi="Times New Roman" w:eastAsia="宋体" w:cs="Times New Roman"/>
                      <w:b w:val="0"/>
                      <w:color w:val="000000"/>
                      <w:kern w:val="0"/>
                      <w:sz w:val="21"/>
                      <w:szCs w:val="21"/>
                      <w:highlight w:val="none"/>
                      <w:lang w:val="en-US" w:eastAsia="zh-CN" w:bidi="ar"/>
                    </w:rPr>
                    <w:t>依迪提玛</w:t>
                  </w:r>
                </w:p>
              </w:tc>
              <w:tc>
                <w:tcPr>
                  <w:tcW w:w="23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83E7F4">
                  <w:pPr>
                    <w:keepNext w:val="0"/>
                    <w:keepLines w:val="0"/>
                    <w:widowControl/>
                    <w:suppressLineNumbers w:val="0"/>
                    <w:jc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东</w:t>
                  </w:r>
                  <w:r>
                    <w:rPr>
                      <w:rFonts w:hint="eastAsia" w:cs="Times New Roman"/>
                      <w:b w:val="0"/>
                      <w:color w:val="000000"/>
                      <w:kern w:val="0"/>
                      <w:sz w:val="21"/>
                      <w:szCs w:val="21"/>
                      <w:highlight w:val="none"/>
                      <w:lang w:val="en-US" w:eastAsia="zh-CN" w:bidi="ar"/>
                    </w:rPr>
                    <w:t>北，5.182</w:t>
                  </w:r>
                  <w:r>
                    <w:rPr>
                      <w:rFonts w:hint="default" w:ascii="Times New Roman" w:hAnsi="Times New Roman" w:eastAsia="宋体" w:cs="Times New Roman"/>
                      <w:b w:val="0"/>
                      <w:color w:val="000000"/>
                      <w:kern w:val="0"/>
                      <w:sz w:val="21"/>
                      <w:szCs w:val="21"/>
                      <w:highlight w:val="none"/>
                      <w:lang w:val="en-US" w:eastAsia="zh-CN" w:bidi="ar"/>
                    </w:rPr>
                    <w:t>km</w:t>
                  </w:r>
                </w:p>
              </w:tc>
            </w:tr>
            <w:tr w14:paraId="7F5BEA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7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899D32">
                  <w:pPr>
                    <w:widowControl/>
                    <w:jc w:val="center"/>
                    <w:rPr>
                      <w:rFonts w:hint="default" w:ascii="Times New Roman" w:hAnsi="Times New Roman" w:eastAsia="宋体" w:cs="Times New Roman"/>
                      <w:b w:val="0"/>
                      <w:color w:val="000000"/>
                      <w:sz w:val="21"/>
                      <w:szCs w:val="21"/>
                      <w:highlight w:val="none"/>
                      <w:lang w:val="en-US" w:eastAsia="zh-CN"/>
                    </w:rPr>
                  </w:pPr>
                  <w:r>
                    <w:rPr>
                      <w:rFonts w:hint="eastAsia" w:cs="Times New Roman"/>
                      <w:b w:val="0"/>
                      <w:color w:val="000000"/>
                      <w:sz w:val="21"/>
                      <w:szCs w:val="21"/>
                      <w:highlight w:val="none"/>
                      <w:lang w:val="en-US" w:eastAsia="zh-CN"/>
                    </w:rPr>
                    <w:t>G2</w:t>
                  </w:r>
                </w:p>
              </w:tc>
              <w:tc>
                <w:tcPr>
                  <w:tcW w:w="19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898FEF">
                  <w:pPr>
                    <w:keepNext w:val="0"/>
                    <w:keepLines w:val="0"/>
                    <w:widowControl/>
                    <w:suppressLineNumbers w:val="0"/>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val="en-US" w:eastAsia="zh-CN" w:bidi="ar"/>
                    </w:rPr>
                    <w:t>园区内空地</w:t>
                  </w:r>
                </w:p>
              </w:tc>
              <w:tc>
                <w:tcPr>
                  <w:tcW w:w="23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F05A68">
                  <w:pPr>
                    <w:keepNext w:val="0"/>
                    <w:keepLines w:val="0"/>
                    <w:widowControl/>
                    <w:suppressLineNumbers w:val="0"/>
                    <w:jc w:val="center"/>
                    <w:rPr>
                      <w:rFonts w:hint="default" w:ascii="Times New Roman" w:hAnsi="Times New Roman" w:eastAsia="宋体" w:cs="Times New Roman"/>
                      <w:b w:val="0"/>
                      <w:color w:val="000000"/>
                      <w:kern w:val="0"/>
                      <w:sz w:val="21"/>
                      <w:szCs w:val="21"/>
                      <w:highlight w:val="none"/>
                      <w:lang w:val="en-US" w:eastAsia="zh-CN" w:bidi="ar"/>
                    </w:rPr>
                  </w:pPr>
                  <w:r>
                    <w:rPr>
                      <w:rFonts w:hint="eastAsia" w:cs="Times New Roman"/>
                      <w:b w:val="0"/>
                      <w:color w:val="000000"/>
                      <w:kern w:val="0"/>
                      <w:sz w:val="21"/>
                      <w:szCs w:val="21"/>
                      <w:highlight w:val="none"/>
                      <w:lang w:val="en-US" w:eastAsia="zh-CN" w:bidi="ar"/>
                    </w:rPr>
                    <w:t>西北，4.439km</w:t>
                  </w:r>
                </w:p>
              </w:tc>
            </w:tr>
            <w:tr w14:paraId="2E6E58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67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4C7FB2">
                  <w:pPr>
                    <w:widowControl/>
                    <w:jc w:val="center"/>
                    <w:rPr>
                      <w:rFonts w:hint="default" w:ascii="Times New Roman" w:hAnsi="Times New Roman" w:eastAsia="宋体" w:cs="Times New Roman"/>
                      <w:b w:val="0"/>
                      <w:color w:val="000000"/>
                      <w:sz w:val="21"/>
                      <w:szCs w:val="21"/>
                      <w:highlight w:val="none"/>
                      <w:lang w:val="en-US" w:eastAsia="zh-CN"/>
                    </w:rPr>
                  </w:pPr>
                  <w:r>
                    <w:rPr>
                      <w:rFonts w:hint="eastAsia" w:cs="Times New Roman"/>
                      <w:b w:val="0"/>
                      <w:color w:val="000000"/>
                      <w:sz w:val="21"/>
                      <w:szCs w:val="21"/>
                      <w:highlight w:val="none"/>
                      <w:lang w:val="en-US" w:eastAsia="zh-CN"/>
                    </w:rPr>
                    <w:t>G3</w:t>
                  </w:r>
                </w:p>
              </w:tc>
              <w:tc>
                <w:tcPr>
                  <w:tcW w:w="19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65AF42">
                  <w:pPr>
                    <w:keepNext w:val="0"/>
                    <w:keepLines w:val="0"/>
                    <w:widowControl/>
                    <w:suppressLineNumbers w:val="0"/>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val="en-US" w:eastAsia="zh-CN" w:bidi="ar"/>
                    </w:rPr>
                    <w:t>园区下风向</w:t>
                  </w:r>
                </w:p>
              </w:tc>
              <w:tc>
                <w:tcPr>
                  <w:tcW w:w="23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96A425">
                  <w:pPr>
                    <w:keepNext w:val="0"/>
                    <w:keepLines w:val="0"/>
                    <w:widowControl/>
                    <w:suppressLineNumbers w:val="0"/>
                    <w:jc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西</w:t>
                  </w:r>
                  <w:r>
                    <w:rPr>
                      <w:rFonts w:hint="eastAsia" w:cs="Times New Roman"/>
                      <w:b w:val="0"/>
                      <w:color w:val="000000"/>
                      <w:kern w:val="0"/>
                      <w:sz w:val="21"/>
                      <w:szCs w:val="21"/>
                      <w:highlight w:val="none"/>
                      <w:lang w:val="en-US" w:eastAsia="zh-CN" w:bidi="ar"/>
                    </w:rPr>
                    <w:t>北，4.694</w:t>
                  </w:r>
                  <w:r>
                    <w:rPr>
                      <w:rFonts w:hint="default" w:ascii="Times New Roman" w:hAnsi="Times New Roman" w:eastAsia="宋体" w:cs="Times New Roman"/>
                      <w:b w:val="0"/>
                      <w:color w:val="000000"/>
                      <w:kern w:val="0"/>
                      <w:sz w:val="21"/>
                      <w:szCs w:val="21"/>
                      <w:highlight w:val="none"/>
                      <w:lang w:val="en-US" w:eastAsia="zh-CN" w:bidi="ar"/>
                    </w:rPr>
                    <w:t>km</w:t>
                  </w:r>
                </w:p>
              </w:tc>
            </w:tr>
          </w:tbl>
          <w:p w14:paraId="156D94DB">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cs="Times New Roman"/>
                <w:b w:val="0"/>
                <w:bCs w:val="0"/>
                <w:color w:val="auto"/>
                <w:kern w:val="0"/>
                <w:sz w:val="24"/>
                <w:highlight w:val="none"/>
                <w:lang w:val="en-US" w:eastAsia="zh-CN"/>
              </w:rPr>
            </w:pPr>
            <w:r>
              <w:rPr>
                <w:rFonts w:hint="eastAsia" w:cs="Times New Roman"/>
                <w:b w:val="0"/>
                <w:bCs w:val="0"/>
                <w:color w:val="auto"/>
                <w:kern w:val="0"/>
                <w:sz w:val="24"/>
                <w:highlight w:val="none"/>
                <w:lang w:val="en-US" w:eastAsia="zh-CN"/>
              </w:rPr>
              <w:t>3、监测结果</w:t>
            </w:r>
          </w:p>
          <w:p w14:paraId="21C937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8" w:firstLineChars="200"/>
              <w:textAlignment w:val="auto"/>
              <w:rPr>
                <w:rFonts w:hint="default" w:ascii="Times New Roman" w:hAnsi="Times New Roman" w:eastAsia="宋体" w:cs="Times New Roman"/>
                <w:spacing w:val="2"/>
                <w:kern w:val="2"/>
                <w:sz w:val="24"/>
                <w:szCs w:val="24"/>
                <w:highlight w:val="none"/>
                <w:lang w:val="en-US" w:eastAsia="zh-CN" w:bidi="ar-SA"/>
              </w:rPr>
            </w:pPr>
            <w:r>
              <w:rPr>
                <w:rFonts w:hint="default" w:ascii="Times New Roman" w:hAnsi="Times New Roman" w:eastAsia="宋体" w:cs="Times New Roman"/>
                <w:spacing w:val="2"/>
                <w:kern w:val="2"/>
                <w:sz w:val="24"/>
                <w:szCs w:val="24"/>
                <w:highlight w:val="none"/>
                <w:lang w:val="en-US" w:eastAsia="zh-CN" w:bidi="ar-SA"/>
              </w:rPr>
              <w:t>石油石化产业园大气污染物监测结果</w:t>
            </w:r>
            <w:r>
              <w:rPr>
                <w:rFonts w:hint="eastAsia" w:cs="Times New Roman"/>
                <w:spacing w:val="2"/>
                <w:kern w:val="2"/>
                <w:sz w:val="24"/>
                <w:szCs w:val="24"/>
                <w:highlight w:val="none"/>
                <w:lang w:val="en-US" w:eastAsia="zh-CN" w:bidi="ar-SA"/>
              </w:rPr>
              <w:t>见表3-3：</w:t>
            </w:r>
          </w:p>
          <w:p w14:paraId="1C4714F3">
            <w:pPr>
              <w:pStyle w:val="23"/>
              <w:bidi w:val="0"/>
              <w:rPr>
                <w:rFonts w:hint="eastAsia"/>
                <w:lang w:eastAsia="zh-CN"/>
              </w:rPr>
            </w:pPr>
            <w:r>
              <w:t>表</w:t>
            </w:r>
            <w:r>
              <w:fldChar w:fldCharType="begin"/>
            </w:r>
            <w:r>
              <w:instrText xml:space="preserve"> STYLEREF 1 \s \* ARABIC </w:instrText>
            </w:r>
            <w:r>
              <w:fldChar w:fldCharType="separate"/>
            </w:r>
            <w:r>
              <w:t>3</w:t>
            </w:r>
            <w:r>
              <w:fldChar w:fldCharType="end"/>
            </w:r>
            <w:r>
              <w:rPr>
                <w:rFonts w:hint="eastAsia"/>
                <w:lang w:val="en-US" w:eastAsia="zh-CN"/>
              </w:rPr>
              <w:t>-3</w:t>
            </w:r>
            <w:r>
              <w:rPr>
                <w:rFonts w:hint="eastAsia"/>
                <w:lang w:eastAsia="zh-CN"/>
              </w:rPr>
              <w:t>石油石化产业园大气污染物监测结果</w:t>
            </w:r>
          </w:p>
          <w:tbl>
            <w:tblPr>
              <w:tblStyle w:val="1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33"/>
              <w:gridCol w:w="1360"/>
              <w:gridCol w:w="846"/>
              <w:gridCol w:w="1810"/>
              <w:gridCol w:w="858"/>
              <w:gridCol w:w="831"/>
              <w:gridCol w:w="851"/>
            </w:tblGrid>
            <w:tr w14:paraId="569181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92"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2E0E11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测点编号</w:t>
                  </w:r>
                </w:p>
              </w:tc>
              <w:tc>
                <w:tcPr>
                  <w:tcW w:w="810"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C3E8F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污染物名称</w:t>
                  </w:r>
                </w:p>
              </w:tc>
              <w:tc>
                <w:tcPr>
                  <w:tcW w:w="504"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5D178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单位</w:t>
                  </w:r>
                </w:p>
              </w:tc>
              <w:tc>
                <w:tcPr>
                  <w:tcW w:w="1078"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C9D49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eastAsia" w:cs="Times New Roman"/>
                      <w:b w:val="0"/>
                      <w:bCs w:val="0"/>
                      <w:i w:val="0"/>
                      <w:iCs w:val="0"/>
                      <w:snapToGrid w:val="0"/>
                      <w:color w:val="000000"/>
                      <w:kern w:val="0"/>
                      <w:sz w:val="21"/>
                      <w:szCs w:val="21"/>
                      <w:highlight w:val="none"/>
                      <w:u w:val="none"/>
                      <w:lang w:val="en-US" w:eastAsia="zh-CN" w:bidi="ar"/>
                    </w:rPr>
                    <w:t>监测结果</w:t>
                  </w: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范围值</w:t>
                  </w:r>
                </w:p>
              </w:tc>
              <w:tc>
                <w:tcPr>
                  <w:tcW w:w="511"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B8B5D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标准值</w:t>
                  </w:r>
                </w:p>
              </w:tc>
              <w:tc>
                <w:tcPr>
                  <w:tcW w:w="495"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D39A0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超标率（</w:t>
                  </w:r>
                  <w:r>
                    <w:rPr>
                      <w:rStyle w:val="26"/>
                      <w:rFonts w:hint="default" w:ascii="Times New Roman" w:hAnsi="Times New Roman" w:eastAsia="宋体" w:cs="Times New Roman"/>
                      <w:b w:val="0"/>
                      <w:bCs w:val="0"/>
                      <w:snapToGrid w:val="0"/>
                      <w:color w:val="000000"/>
                      <w:sz w:val="21"/>
                      <w:szCs w:val="21"/>
                      <w:highlight w:val="none"/>
                      <w:lang w:val="en-US" w:eastAsia="zh-CN" w:bidi="ar"/>
                    </w:rPr>
                    <w:t>%</w:t>
                  </w: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w:t>
                  </w:r>
                </w:p>
              </w:tc>
              <w:tc>
                <w:tcPr>
                  <w:tcW w:w="507"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7025A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最大占标率（</w:t>
                  </w:r>
                  <w:r>
                    <w:rPr>
                      <w:rStyle w:val="26"/>
                      <w:rFonts w:hint="default" w:ascii="Times New Roman" w:hAnsi="Times New Roman" w:eastAsia="宋体" w:cs="Times New Roman"/>
                      <w:b w:val="0"/>
                      <w:bCs w:val="0"/>
                      <w:snapToGrid w:val="0"/>
                      <w:color w:val="000000"/>
                      <w:sz w:val="21"/>
                      <w:szCs w:val="21"/>
                      <w:highlight w:val="none"/>
                      <w:lang w:val="en-US" w:eastAsia="zh-CN" w:bidi="ar"/>
                    </w:rPr>
                    <w:t>%</w:t>
                  </w: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w:t>
                  </w:r>
                </w:p>
              </w:tc>
            </w:tr>
            <w:tr w14:paraId="06E88B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92"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C4BFF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cs="Times New Roman"/>
                      <w:b w:val="0"/>
                      <w:color w:val="000000"/>
                      <w:kern w:val="0"/>
                      <w:sz w:val="21"/>
                      <w:szCs w:val="21"/>
                      <w:highlight w:val="none"/>
                      <w:lang w:val="en-US" w:eastAsia="zh-CN" w:bidi="ar"/>
                    </w:rPr>
                    <w:t>G1</w:t>
                  </w:r>
                  <w:r>
                    <w:rPr>
                      <w:rFonts w:hint="default" w:ascii="Times New Roman" w:hAnsi="Times New Roman" w:eastAsia="宋体" w:cs="Times New Roman"/>
                      <w:b w:val="0"/>
                      <w:color w:val="000000"/>
                      <w:kern w:val="0"/>
                      <w:sz w:val="21"/>
                      <w:szCs w:val="21"/>
                      <w:highlight w:val="none"/>
                      <w:lang w:val="en-US" w:eastAsia="zh-CN" w:bidi="ar"/>
                    </w:rPr>
                    <w:t>依迪提玛</w:t>
                  </w:r>
                </w:p>
              </w:tc>
              <w:tc>
                <w:tcPr>
                  <w:tcW w:w="810"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4F6C5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NH</w:t>
                  </w:r>
                  <w:r>
                    <w:rPr>
                      <w:rFonts w:hint="default" w:ascii="Times New Roman" w:hAnsi="Times New Roman" w:eastAsia="宋体" w:cs="Times New Roman"/>
                      <w:spacing w:val="2"/>
                      <w:sz w:val="21"/>
                      <w:szCs w:val="21"/>
                      <w:highlight w:val="none"/>
                      <w:vertAlign w:val="subscript"/>
                      <w:lang w:val="en-US" w:eastAsia="zh-CN"/>
                    </w:rPr>
                    <w:t>3</w:t>
                  </w:r>
                </w:p>
              </w:tc>
              <w:tc>
                <w:tcPr>
                  <w:tcW w:w="504"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AA2F63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mg/m</w:t>
                  </w:r>
                  <w:r>
                    <w:rPr>
                      <w:rStyle w:val="27"/>
                      <w:rFonts w:hint="default" w:ascii="Times New Roman" w:hAnsi="Times New Roman" w:eastAsia="宋体" w:cs="Times New Roman"/>
                      <w:b w:val="0"/>
                      <w:snapToGrid w:val="0"/>
                      <w:color w:val="000000"/>
                      <w:sz w:val="21"/>
                      <w:szCs w:val="21"/>
                      <w:highlight w:val="none"/>
                      <w:vertAlign w:val="superscript"/>
                      <w:lang w:val="en-US" w:eastAsia="zh-CN" w:bidi="ar"/>
                    </w:rPr>
                    <w:t>3</w:t>
                  </w:r>
                </w:p>
              </w:tc>
              <w:tc>
                <w:tcPr>
                  <w:tcW w:w="1078"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9398B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w:t>
                  </w:r>
                  <w:r>
                    <w:rPr>
                      <w:rFonts w:hint="eastAsia" w:ascii="Times New Roman" w:hAnsi="Times New Roman" w:eastAsia="宋体" w:cs="Times New Roman"/>
                      <w:b w:val="0"/>
                      <w:i w:val="0"/>
                      <w:iCs w:val="0"/>
                      <w:snapToGrid w:val="0"/>
                      <w:color w:val="000000"/>
                      <w:kern w:val="0"/>
                      <w:sz w:val="21"/>
                      <w:szCs w:val="21"/>
                      <w:highlight w:val="none"/>
                      <w:u w:val="none"/>
                      <w:lang w:val="en-US" w:eastAsia="zh-CN" w:bidi="ar"/>
                    </w:rPr>
                    <w:t>2</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w:t>
                  </w:r>
                  <w:r>
                    <w:rPr>
                      <w:rFonts w:hint="eastAsia" w:ascii="Times New Roman" w:hAnsi="Times New Roman" w:eastAsia="宋体" w:cs="Times New Roman"/>
                      <w:b w:val="0"/>
                      <w:i w:val="0"/>
                      <w:iCs w:val="0"/>
                      <w:snapToGrid w:val="0"/>
                      <w:color w:val="000000"/>
                      <w:kern w:val="0"/>
                      <w:sz w:val="21"/>
                      <w:szCs w:val="21"/>
                      <w:highlight w:val="none"/>
                      <w:u w:val="none"/>
                      <w:lang w:val="en-US" w:eastAsia="zh-CN" w:bidi="ar"/>
                    </w:rPr>
                    <w:t>9</w:t>
                  </w:r>
                </w:p>
              </w:tc>
              <w:tc>
                <w:tcPr>
                  <w:tcW w:w="511"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420F2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0.2</w:t>
                  </w:r>
                </w:p>
              </w:tc>
              <w:tc>
                <w:tcPr>
                  <w:tcW w:w="495"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60E648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w:t>
                  </w:r>
                </w:p>
              </w:tc>
              <w:tc>
                <w:tcPr>
                  <w:tcW w:w="507"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0B5F45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snapToGrid w:val="0"/>
                      <w:color w:val="000000"/>
                      <w:kern w:val="0"/>
                      <w:sz w:val="21"/>
                      <w:szCs w:val="21"/>
                      <w:highlight w:val="none"/>
                      <w:u w:val="none"/>
                      <w:lang w:val="en-US" w:eastAsia="zh-CN" w:bidi="ar"/>
                    </w:rPr>
                    <w:t>45</w:t>
                  </w:r>
                </w:p>
              </w:tc>
            </w:tr>
            <w:tr w14:paraId="1623DF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2"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D53C8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p>
              </w:tc>
              <w:tc>
                <w:tcPr>
                  <w:tcW w:w="810"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62BDF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H</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2</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S</w:t>
                  </w:r>
                </w:p>
              </w:tc>
              <w:tc>
                <w:tcPr>
                  <w:tcW w:w="504"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4132B4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mg/m</w:t>
                  </w:r>
                  <w:r>
                    <w:rPr>
                      <w:rStyle w:val="27"/>
                      <w:rFonts w:hint="default" w:ascii="Times New Roman" w:hAnsi="Times New Roman" w:eastAsia="宋体" w:cs="Times New Roman"/>
                      <w:b w:val="0"/>
                      <w:snapToGrid w:val="0"/>
                      <w:color w:val="000000"/>
                      <w:sz w:val="21"/>
                      <w:szCs w:val="21"/>
                      <w:highlight w:val="none"/>
                      <w:vertAlign w:val="superscript"/>
                      <w:lang w:val="en-US" w:eastAsia="zh-CN" w:bidi="ar"/>
                    </w:rPr>
                    <w:t>3</w:t>
                  </w:r>
                </w:p>
              </w:tc>
              <w:tc>
                <w:tcPr>
                  <w:tcW w:w="1078"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5C1539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b w:val="0"/>
                      <w:color w:val="000000"/>
                      <w:kern w:val="0"/>
                      <w:szCs w:val="21"/>
                      <w:highlight w:val="none"/>
                    </w:rPr>
                    <w:t>0.005L</w:t>
                  </w:r>
                </w:p>
              </w:tc>
              <w:tc>
                <w:tcPr>
                  <w:tcW w:w="511"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B75F88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0.01</w:t>
                  </w:r>
                </w:p>
              </w:tc>
              <w:tc>
                <w:tcPr>
                  <w:tcW w:w="495"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327D5F9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507"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267333B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75FC36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92"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00AE4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cs="Times New Roman"/>
                      <w:b w:val="0"/>
                      <w:i w:val="0"/>
                      <w:iCs w:val="0"/>
                      <w:snapToGrid w:val="0"/>
                      <w:color w:val="000000"/>
                      <w:kern w:val="0"/>
                      <w:sz w:val="21"/>
                      <w:szCs w:val="21"/>
                      <w:highlight w:val="none"/>
                      <w:u w:val="none"/>
                      <w:lang w:val="en-US" w:eastAsia="zh-CN" w:bidi="ar"/>
                    </w:rPr>
                    <w:t>G2</w:t>
                  </w:r>
                  <w:r>
                    <w:rPr>
                      <w:rFonts w:hint="default" w:ascii="Times New Roman" w:hAnsi="Times New Roman" w:eastAsia="宋体" w:cs="Times New Roman"/>
                      <w:b w:val="0"/>
                      <w:color w:val="000000"/>
                      <w:kern w:val="0"/>
                      <w:sz w:val="21"/>
                      <w:szCs w:val="21"/>
                      <w:highlight w:val="none"/>
                      <w:lang w:val="en-US" w:eastAsia="zh-CN" w:bidi="ar"/>
                    </w:rPr>
                    <w:t>园区内空地</w:t>
                  </w:r>
                </w:p>
              </w:tc>
              <w:tc>
                <w:tcPr>
                  <w:tcW w:w="810"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C2E663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NH</w:t>
                  </w:r>
                  <w:r>
                    <w:rPr>
                      <w:rFonts w:hint="default" w:ascii="Times New Roman" w:hAnsi="Times New Roman" w:eastAsia="宋体" w:cs="Times New Roman"/>
                      <w:spacing w:val="2"/>
                      <w:sz w:val="21"/>
                      <w:szCs w:val="21"/>
                      <w:highlight w:val="none"/>
                      <w:vertAlign w:val="subscript"/>
                      <w:lang w:val="en-US" w:eastAsia="zh-CN"/>
                    </w:rPr>
                    <w:t>3</w:t>
                  </w:r>
                </w:p>
              </w:tc>
              <w:tc>
                <w:tcPr>
                  <w:tcW w:w="504"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430A3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mg/m</w:t>
                  </w:r>
                  <w:r>
                    <w:rPr>
                      <w:rStyle w:val="27"/>
                      <w:rFonts w:hint="default" w:ascii="Times New Roman" w:hAnsi="Times New Roman" w:eastAsia="宋体" w:cs="Times New Roman"/>
                      <w:b w:val="0"/>
                      <w:snapToGrid w:val="0"/>
                      <w:color w:val="000000"/>
                      <w:sz w:val="21"/>
                      <w:szCs w:val="21"/>
                      <w:highlight w:val="none"/>
                      <w:vertAlign w:val="superscript"/>
                      <w:lang w:val="en-US" w:eastAsia="zh-CN" w:bidi="ar"/>
                    </w:rPr>
                    <w:t>3</w:t>
                  </w:r>
                </w:p>
              </w:tc>
              <w:tc>
                <w:tcPr>
                  <w:tcW w:w="1078"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F03F3F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w:t>
                  </w:r>
                  <w:r>
                    <w:rPr>
                      <w:rFonts w:hint="eastAsia" w:ascii="Times New Roman" w:hAnsi="Times New Roman" w:eastAsia="宋体" w:cs="Times New Roman"/>
                      <w:b w:val="0"/>
                      <w:i w:val="0"/>
                      <w:iCs w:val="0"/>
                      <w:snapToGrid w:val="0"/>
                      <w:color w:val="000000"/>
                      <w:kern w:val="0"/>
                      <w:sz w:val="21"/>
                      <w:szCs w:val="21"/>
                      <w:highlight w:val="none"/>
                      <w:u w:val="none"/>
                      <w:lang w:val="en-US" w:eastAsia="zh-CN" w:bidi="ar"/>
                    </w:rPr>
                    <w:t>2</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~0.06</w:t>
                  </w:r>
                </w:p>
              </w:tc>
              <w:tc>
                <w:tcPr>
                  <w:tcW w:w="511"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2AB77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0.2</w:t>
                  </w:r>
                </w:p>
              </w:tc>
              <w:tc>
                <w:tcPr>
                  <w:tcW w:w="495"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212502B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w:t>
                  </w:r>
                </w:p>
              </w:tc>
              <w:tc>
                <w:tcPr>
                  <w:tcW w:w="507"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19A90F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30</w:t>
                  </w:r>
                </w:p>
              </w:tc>
            </w:tr>
            <w:tr w14:paraId="125A0E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92"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8B69F07">
                  <w:pPr>
                    <w:keepNext w:val="0"/>
                    <w:keepLines w:val="0"/>
                    <w:pageBreakBefore w:val="0"/>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sz w:val="21"/>
                      <w:szCs w:val="21"/>
                      <w:highlight w:val="none"/>
                      <w:u w:val="none"/>
                    </w:rPr>
                  </w:pPr>
                </w:p>
              </w:tc>
              <w:tc>
                <w:tcPr>
                  <w:tcW w:w="810"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98615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H</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2</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S</w:t>
                  </w:r>
                </w:p>
              </w:tc>
              <w:tc>
                <w:tcPr>
                  <w:tcW w:w="504"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CAC2B8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mg/m</w:t>
                  </w:r>
                  <w:r>
                    <w:rPr>
                      <w:rStyle w:val="27"/>
                      <w:rFonts w:hint="default" w:ascii="Times New Roman" w:hAnsi="Times New Roman" w:eastAsia="宋体" w:cs="Times New Roman"/>
                      <w:b w:val="0"/>
                      <w:snapToGrid w:val="0"/>
                      <w:color w:val="000000"/>
                      <w:sz w:val="21"/>
                      <w:szCs w:val="21"/>
                      <w:highlight w:val="none"/>
                      <w:vertAlign w:val="superscript"/>
                      <w:lang w:val="en-US" w:eastAsia="zh-CN" w:bidi="ar"/>
                    </w:rPr>
                    <w:t>3</w:t>
                  </w:r>
                </w:p>
              </w:tc>
              <w:tc>
                <w:tcPr>
                  <w:tcW w:w="1078"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7A1F4A46">
                  <w:pPr>
                    <w:keepNext w:val="0"/>
                    <w:keepLines w:val="0"/>
                    <w:pageBreakBefore w:val="0"/>
                    <w:widowControl/>
                    <w:suppressLineNumbers w:val="0"/>
                    <w:tabs>
                      <w:tab w:val="center" w:pos="624"/>
                    </w:tabs>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b w:val="0"/>
                      <w:color w:val="000000"/>
                      <w:kern w:val="0"/>
                      <w:szCs w:val="21"/>
                      <w:highlight w:val="none"/>
                    </w:rPr>
                    <w:t>0.005L</w:t>
                  </w:r>
                </w:p>
              </w:tc>
              <w:tc>
                <w:tcPr>
                  <w:tcW w:w="511"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684C6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0.01</w:t>
                  </w:r>
                </w:p>
              </w:tc>
              <w:tc>
                <w:tcPr>
                  <w:tcW w:w="495"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701FFE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507"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11A565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775113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92"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A4C87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cs="Times New Roman"/>
                      <w:b w:val="0"/>
                      <w:color w:val="000000"/>
                      <w:kern w:val="0"/>
                      <w:sz w:val="21"/>
                      <w:szCs w:val="21"/>
                      <w:highlight w:val="none"/>
                      <w:lang w:val="en-US" w:eastAsia="zh-CN" w:bidi="ar"/>
                    </w:rPr>
                    <w:t>G3</w:t>
                  </w:r>
                  <w:r>
                    <w:rPr>
                      <w:rFonts w:hint="default" w:ascii="Times New Roman" w:hAnsi="Times New Roman" w:eastAsia="宋体" w:cs="Times New Roman"/>
                      <w:b w:val="0"/>
                      <w:color w:val="000000"/>
                      <w:kern w:val="0"/>
                      <w:sz w:val="21"/>
                      <w:szCs w:val="21"/>
                      <w:highlight w:val="none"/>
                      <w:lang w:val="en-US" w:eastAsia="zh-CN" w:bidi="ar"/>
                    </w:rPr>
                    <w:t>园区下风向</w:t>
                  </w:r>
                </w:p>
              </w:tc>
              <w:tc>
                <w:tcPr>
                  <w:tcW w:w="810"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70A443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NH</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3</w:t>
                  </w:r>
                </w:p>
              </w:tc>
              <w:tc>
                <w:tcPr>
                  <w:tcW w:w="504"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17AD0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mg/m</w:t>
                  </w:r>
                  <w:r>
                    <w:rPr>
                      <w:rStyle w:val="27"/>
                      <w:rFonts w:hint="default" w:ascii="Times New Roman" w:hAnsi="Times New Roman" w:eastAsia="宋体" w:cs="Times New Roman"/>
                      <w:b w:val="0"/>
                      <w:snapToGrid w:val="0"/>
                      <w:color w:val="000000"/>
                      <w:sz w:val="21"/>
                      <w:szCs w:val="21"/>
                      <w:highlight w:val="none"/>
                      <w:vertAlign w:val="superscript"/>
                      <w:lang w:val="en-US" w:eastAsia="zh-CN" w:bidi="ar"/>
                    </w:rPr>
                    <w:t>3</w:t>
                  </w:r>
                </w:p>
              </w:tc>
              <w:tc>
                <w:tcPr>
                  <w:tcW w:w="1078"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C481F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w:t>
                  </w:r>
                  <w:r>
                    <w:rPr>
                      <w:rFonts w:hint="eastAsia" w:ascii="Times New Roman" w:hAnsi="Times New Roman" w:eastAsia="宋体" w:cs="Times New Roman"/>
                      <w:b w:val="0"/>
                      <w:i w:val="0"/>
                      <w:iCs w:val="0"/>
                      <w:snapToGrid w:val="0"/>
                      <w:color w:val="000000"/>
                      <w:kern w:val="0"/>
                      <w:sz w:val="21"/>
                      <w:szCs w:val="21"/>
                      <w:highlight w:val="none"/>
                      <w:u w:val="none"/>
                      <w:lang w:val="en-US" w:eastAsia="zh-CN" w:bidi="ar"/>
                    </w:rPr>
                    <w:t>2</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w:t>
                  </w:r>
                  <w:r>
                    <w:rPr>
                      <w:rFonts w:hint="eastAsia" w:ascii="Times New Roman" w:hAnsi="Times New Roman" w:eastAsia="宋体" w:cs="Times New Roman"/>
                      <w:b w:val="0"/>
                      <w:i w:val="0"/>
                      <w:iCs w:val="0"/>
                      <w:snapToGrid w:val="0"/>
                      <w:color w:val="000000"/>
                      <w:kern w:val="0"/>
                      <w:sz w:val="21"/>
                      <w:szCs w:val="21"/>
                      <w:highlight w:val="none"/>
                      <w:u w:val="none"/>
                      <w:lang w:val="en-US" w:eastAsia="zh-CN" w:bidi="ar"/>
                    </w:rPr>
                    <w:t>1</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6</w:t>
                  </w:r>
                </w:p>
              </w:tc>
              <w:tc>
                <w:tcPr>
                  <w:tcW w:w="511"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7F08D0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0.2</w:t>
                  </w:r>
                </w:p>
              </w:tc>
              <w:tc>
                <w:tcPr>
                  <w:tcW w:w="495"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2F2C0A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w:t>
                  </w:r>
                </w:p>
              </w:tc>
              <w:tc>
                <w:tcPr>
                  <w:tcW w:w="507"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006C7D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snapToGrid w:val="0"/>
                      <w:color w:val="000000"/>
                      <w:kern w:val="0"/>
                      <w:sz w:val="21"/>
                      <w:szCs w:val="21"/>
                      <w:highlight w:val="none"/>
                      <w:u w:val="none"/>
                      <w:lang w:val="en-US" w:eastAsia="zh-CN" w:bidi="ar"/>
                    </w:rPr>
                    <w:t>80</w:t>
                  </w:r>
                </w:p>
              </w:tc>
            </w:tr>
            <w:tr w14:paraId="5EA793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92"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80A81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p>
              </w:tc>
              <w:tc>
                <w:tcPr>
                  <w:tcW w:w="810"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4049C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H</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2</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S</w:t>
                  </w:r>
                </w:p>
              </w:tc>
              <w:tc>
                <w:tcPr>
                  <w:tcW w:w="504"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A9E3E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mg/m</w:t>
                  </w:r>
                  <w:r>
                    <w:rPr>
                      <w:rStyle w:val="27"/>
                      <w:rFonts w:hint="default" w:ascii="Times New Roman" w:hAnsi="Times New Roman" w:eastAsia="宋体" w:cs="Times New Roman"/>
                      <w:b w:val="0"/>
                      <w:snapToGrid w:val="0"/>
                      <w:color w:val="000000"/>
                      <w:sz w:val="21"/>
                      <w:szCs w:val="21"/>
                      <w:highlight w:val="none"/>
                      <w:vertAlign w:val="superscript"/>
                      <w:lang w:val="en-US" w:eastAsia="zh-CN" w:bidi="ar"/>
                    </w:rPr>
                    <w:t>3</w:t>
                  </w:r>
                </w:p>
              </w:tc>
              <w:tc>
                <w:tcPr>
                  <w:tcW w:w="1078"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6B7009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b w:val="0"/>
                      <w:color w:val="000000"/>
                      <w:kern w:val="0"/>
                      <w:szCs w:val="21"/>
                      <w:highlight w:val="none"/>
                    </w:rPr>
                    <w:t>0.005L</w:t>
                  </w:r>
                </w:p>
              </w:tc>
              <w:tc>
                <w:tcPr>
                  <w:tcW w:w="511"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45FE0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0.01</w:t>
                  </w:r>
                </w:p>
              </w:tc>
              <w:tc>
                <w:tcPr>
                  <w:tcW w:w="495"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01A038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507"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3B52491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snapToGrid w:val="0"/>
                      <w:color w:val="000000"/>
                      <w:kern w:val="0"/>
                      <w:sz w:val="21"/>
                      <w:szCs w:val="21"/>
                      <w:highlight w:val="none"/>
                      <w:u w:val="none"/>
                      <w:lang w:val="en-US" w:eastAsia="zh-CN" w:bidi="ar"/>
                    </w:rPr>
                    <w:t>/</w:t>
                  </w:r>
                </w:p>
              </w:tc>
            </w:tr>
          </w:tbl>
          <w:p w14:paraId="6111165D">
            <w:pPr>
              <w:spacing w:line="119" w:lineRule="exact"/>
              <w:rPr>
                <w:rFonts w:ascii="Arial"/>
                <w:color w:val="000000"/>
                <w:sz w:val="10"/>
                <w:highlight w:val="none"/>
              </w:rPr>
            </w:pPr>
          </w:p>
          <w:p w14:paraId="11A4013F">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Times New Roman" w:hAnsi="Times New Roman" w:eastAsia="宋体" w:cs="Times New Roman"/>
                <w:b/>
                <w:bCs/>
                <w:color w:val="000000"/>
                <w:kern w:val="2"/>
                <w:sz w:val="24"/>
                <w:szCs w:val="32"/>
                <w:highlight w:val="none"/>
                <w:lang w:val="en-US" w:eastAsia="zh-CN" w:bidi="ar-SA"/>
              </w:rPr>
            </w:pPr>
            <w:r>
              <w:rPr>
                <w:rFonts w:hint="eastAsia"/>
                <w:color w:val="000000"/>
                <w:sz w:val="24"/>
                <w:szCs w:val="24"/>
                <w:highlight w:val="none"/>
                <w:lang w:val="en-US" w:eastAsia="zh-CN"/>
              </w:rPr>
              <w:t>评价结论：</w:t>
            </w:r>
            <w:r>
              <w:rPr>
                <w:rFonts w:eastAsia="宋体"/>
                <w:color w:val="000000"/>
                <w:sz w:val="24"/>
                <w:szCs w:val="24"/>
                <w:highlight w:val="none"/>
              </w:rPr>
              <w:t>由表</w:t>
            </w:r>
            <w:r>
              <w:rPr>
                <w:rFonts w:hint="eastAsia" w:eastAsia="宋体"/>
                <w:color w:val="000000"/>
                <w:sz w:val="24"/>
                <w:szCs w:val="24"/>
                <w:highlight w:val="none"/>
              </w:rPr>
              <w:t>3</w:t>
            </w:r>
            <w:r>
              <w:rPr>
                <w:rFonts w:eastAsia="宋体"/>
                <w:color w:val="000000"/>
                <w:sz w:val="24"/>
                <w:szCs w:val="24"/>
                <w:highlight w:val="none"/>
              </w:rPr>
              <w:t>-</w:t>
            </w:r>
            <w:r>
              <w:rPr>
                <w:rFonts w:hint="eastAsia" w:eastAsia="宋体"/>
                <w:color w:val="000000"/>
                <w:sz w:val="24"/>
                <w:szCs w:val="24"/>
                <w:highlight w:val="none"/>
                <w:lang w:val="en-US" w:eastAsia="zh-CN"/>
              </w:rPr>
              <w:t>3</w:t>
            </w:r>
            <w:r>
              <w:rPr>
                <w:rFonts w:eastAsia="宋体"/>
                <w:color w:val="000000"/>
                <w:sz w:val="24"/>
                <w:szCs w:val="24"/>
                <w:highlight w:val="none"/>
              </w:rPr>
              <w:t>可知，</w:t>
            </w:r>
            <w:r>
              <w:rPr>
                <w:rFonts w:hint="eastAsia" w:eastAsia="宋体"/>
                <w:color w:val="000000"/>
                <w:sz w:val="24"/>
                <w:szCs w:val="24"/>
                <w:highlight w:val="none"/>
                <w:lang w:val="en-US" w:eastAsia="zh-CN"/>
              </w:rPr>
              <w:t>项目</w:t>
            </w:r>
            <w:r>
              <w:rPr>
                <w:rFonts w:eastAsia="宋体"/>
                <w:color w:val="000000"/>
                <w:sz w:val="24"/>
                <w:szCs w:val="24"/>
                <w:highlight w:val="none"/>
              </w:rPr>
              <w:t>所在区域环境空气中</w:t>
            </w:r>
            <w:r>
              <w:rPr>
                <w:rFonts w:hint="default" w:ascii="Times New Roman" w:hAnsi="Times New Roman" w:eastAsia="宋体" w:cs="Times New Roman"/>
                <w:spacing w:val="2"/>
                <w:sz w:val="24"/>
                <w:szCs w:val="24"/>
                <w:highlight w:val="none"/>
                <w:lang w:val="en-US" w:eastAsia="zh-CN"/>
              </w:rPr>
              <w:t>NH</w:t>
            </w:r>
            <w:r>
              <w:rPr>
                <w:rFonts w:hint="default" w:ascii="Times New Roman" w:hAnsi="Times New Roman" w:eastAsia="宋体" w:cs="Times New Roman"/>
                <w:spacing w:val="2"/>
                <w:sz w:val="24"/>
                <w:szCs w:val="24"/>
                <w:highlight w:val="none"/>
                <w:vertAlign w:val="subscript"/>
                <w:lang w:val="en-US" w:eastAsia="zh-CN"/>
              </w:rPr>
              <w:t>3</w:t>
            </w:r>
            <w:r>
              <w:rPr>
                <w:rFonts w:hint="default" w:ascii="Times New Roman" w:hAnsi="Times New Roman" w:eastAsia="宋体" w:cs="Times New Roman"/>
                <w:spacing w:val="2"/>
                <w:sz w:val="24"/>
                <w:szCs w:val="24"/>
                <w:highlight w:val="none"/>
                <w:lang w:val="en-US" w:eastAsia="zh-CN"/>
              </w:rPr>
              <w:t>、H</w:t>
            </w:r>
            <w:r>
              <w:rPr>
                <w:rFonts w:hint="default" w:ascii="Times New Roman" w:hAnsi="Times New Roman" w:eastAsia="宋体" w:cs="Times New Roman"/>
                <w:spacing w:val="2"/>
                <w:sz w:val="24"/>
                <w:szCs w:val="24"/>
                <w:highlight w:val="none"/>
                <w:vertAlign w:val="subscript"/>
                <w:lang w:val="en-US" w:eastAsia="zh-CN"/>
              </w:rPr>
              <w:t>2</w:t>
            </w:r>
            <w:r>
              <w:rPr>
                <w:rFonts w:hint="default" w:ascii="Times New Roman" w:hAnsi="Times New Roman" w:eastAsia="宋体" w:cs="Times New Roman"/>
                <w:spacing w:val="2"/>
                <w:sz w:val="24"/>
                <w:szCs w:val="24"/>
                <w:highlight w:val="none"/>
                <w:lang w:val="en-US" w:eastAsia="zh-CN"/>
              </w:rPr>
              <w:t>S现状浓度均符合《环境影响评价技术导则大气环境》（HJ2.2-2018）附录D中其他污染物空气质量浓度参考限值要求（NH</w:t>
            </w:r>
            <w:r>
              <w:rPr>
                <w:rFonts w:hint="default" w:ascii="Times New Roman" w:hAnsi="Times New Roman" w:eastAsia="宋体" w:cs="Times New Roman"/>
                <w:spacing w:val="2"/>
                <w:sz w:val="24"/>
                <w:szCs w:val="24"/>
                <w:highlight w:val="none"/>
                <w:vertAlign w:val="subscript"/>
                <w:lang w:val="en-US" w:eastAsia="zh-CN"/>
              </w:rPr>
              <w:t>3</w:t>
            </w:r>
            <w:r>
              <w:rPr>
                <w:rFonts w:hint="default" w:ascii="Times New Roman" w:hAnsi="Times New Roman" w:eastAsia="宋体" w:cs="Times New Roman"/>
                <w:spacing w:val="2"/>
                <w:sz w:val="24"/>
                <w:szCs w:val="24"/>
                <w:highlight w:val="none"/>
                <w:lang w:val="en-US" w:eastAsia="zh-CN"/>
              </w:rPr>
              <w:t>≤0.2mg/m</w:t>
            </w:r>
            <w:r>
              <w:rPr>
                <w:rFonts w:hint="default" w:ascii="Times New Roman" w:hAnsi="Times New Roman" w:eastAsia="宋体" w:cs="Times New Roman"/>
                <w:spacing w:val="2"/>
                <w:sz w:val="24"/>
                <w:szCs w:val="24"/>
                <w:highlight w:val="none"/>
                <w:vertAlign w:val="superscript"/>
                <w:lang w:val="en-US" w:eastAsia="zh-CN"/>
              </w:rPr>
              <w:t>3</w:t>
            </w:r>
            <w:r>
              <w:rPr>
                <w:rFonts w:hint="default" w:ascii="Times New Roman" w:hAnsi="Times New Roman" w:eastAsia="宋体" w:cs="Times New Roman"/>
                <w:spacing w:val="2"/>
                <w:sz w:val="24"/>
                <w:szCs w:val="24"/>
                <w:highlight w:val="none"/>
                <w:lang w:val="en-US" w:eastAsia="zh-CN"/>
              </w:rPr>
              <w:t>，H</w:t>
            </w:r>
            <w:r>
              <w:rPr>
                <w:rFonts w:hint="default" w:ascii="Times New Roman" w:hAnsi="Times New Roman" w:eastAsia="宋体" w:cs="Times New Roman"/>
                <w:spacing w:val="2"/>
                <w:sz w:val="24"/>
                <w:szCs w:val="24"/>
                <w:highlight w:val="none"/>
                <w:vertAlign w:val="subscript"/>
                <w:lang w:val="en-US" w:eastAsia="zh-CN"/>
              </w:rPr>
              <w:t>2</w:t>
            </w:r>
            <w:r>
              <w:rPr>
                <w:rFonts w:hint="default" w:ascii="Times New Roman" w:hAnsi="Times New Roman" w:eastAsia="宋体" w:cs="Times New Roman"/>
                <w:spacing w:val="2"/>
                <w:sz w:val="24"/>
                <w:szCs w:val="24"/>
                <w:highlight w:val="none"/>
                <w:lang w:val="en-US" w:eastAsia="zh-CN"/>
              </w:rPr>
              <w:t>S≤0.01mg/m</w:t>
            </w:r>
            <w:r>
              <w:rPr>
                <w:rFonts w:hint="default" w:ascii="Times New Roman" w:hAnsi="Times New Roman" w:eastAsia="宋体" w:cs="Times New Roman"/>
                <w:spacing w:val="2"/>
                <w:sz w:val="24"/>
                <w:szCs w:val="24"/>
                <w:highlight w:val="none"/>
                <w:vertAlign w:val="superscript"/>
                <w:lang w:val="en-US" w:eastAsia="zh-CN"/>
              </w:rPr>
              <w:t>3</w:t>
            </w:r>
            <w:r>
              <w:rPr>
                <w:rFonts w:hint="default" w:ascii="Times New Roman" w:hAnsi="Times New Roman" w:eastAsia="宋体" w:cs="Times New Roman"/>
                <w:spacing w:val="2"/>
                <w:sz w:val="24"/>
                <w:szCs w:val="24"/>
                <w:highlight w:val="none"/>
                <w:lang w:val="en-US" w:eastAsia="zh-CN"/>
              </w:rPr>
              <w:t>）</w:t>
            </w:r>
            <w:r>
              <w:rPr>
                <w:rFonts w:eastAsia="宋体"/>
                <w:color w:val="000000"/>
                <w:sz w:val="24"/>
                <w:szCs w:val="24"/>
                <w:highlight w:val="none"/>
              </w:rPr>
              <w:t>。</w:t>
            </w:r>
          </w:p>
          <w:p w14:paraId="7E02ED61">
            <w:pPr>
              <w:keepNext w:val="0"/>
              <w:keepLines w:val="0"/>
              <w:pageBreakBefore w:val="0"/>
              <w:numPr>
                <w:ilvl w:val="0"/>
                <w:numId w:val="0"/>
              </w:numPr>
              <w:kinsoku/>
              <w:wordWrap/>
              <w:overflowPunct/>
              <w:topLinePunct w:val="0"/>
              <w:autoSpaceDE w:val="0"/>
              <w:autoSpaceDN w:val="0"/>
              <w:bidi w:val="0"/>
              <w:adjustRightInd/>
              <w:snapToGrid/>
              <w:spacing w:line="360" w:lineRule="auto"/>
              <w:jc w:val="left"/>
              <w:textAlignment w:val="auto"/>
              <w:rPr>
                <w:rFonts w:hint="default" w:ascii="Times New Roman" w:hAnsi="Times New Roman" w:eastAsia="宋体" w:cs="Times New Roman"/>
                <w:b/>
                <w:color w:val="auto"/>
                <w:kern w:val="0"/>
                <w:sz w:val="24"/>
                <w:highlight w:val="none"/>
              </w:rPr>
            </w:pPr>
            <w:r>
              <w:rPr>
                <w:rFonts w:hint="eastAsia" w:cs="Times New Roman"/>
                <w:b/>
                <w:color w:val="auto"/>
                <w:kern w:val="0"/>
                <w:sz w:val="24"/>
                <w:szCs w:val="24"/>
                <w:highlight w:val="none"/>
                <w:lang w:val="en-US" w:eastAsia="zh-CN" w:bidi="ar-SA"/>
              </w:rPr>
              <w:t>3.2</w:t>
            </w:r>
            <w:r>
              <w:rPr>
                <w:rFonts w:hint="default" w:ascii="Times New Roman" w:hAnsi="Times New Roman" w:eastAsia="宋体" w:cs="Times New Roman"/>
                <w:b/>
                <w:color w:val="auto"/>
                <w:kern w:val="0"/>
                <w:sz w:val="24"/>
                <w:highlight w:val="none"/>
              </w:rPr>
              <w:t>地表水现状调查与评价</w:t>
            </w:r>
          </w:p>
          <w:p w14:paraId="32E09ECF">
            <w:pPr>
              <w:pStyle w:val="28"/>
              <w:keepNext w:val="0"/>
              <w:keepLines w:val="0"/>
              <w:pageBreakBefore w:val="0"/>
              <w:kinsoku/>
              <w:wordWrap/>
              <w:overflowPunct/>
              <w:topLinePunct w:val="0"/>
              <w:autoSpaceDE/>
              <w:autoSpaceDN/>
              <w:bidi w:val="0"/>
              <w:adjustRightInd/>
              <w:snapToGrid/>
              <w:spacing w:line="360" w:lineRule="auto"/>
              <w:ind w:firstLine="488"/>
              <w:textAlignment w:val="auto"/>
              <w:rPr>
                <w:rFonts w:hint="eastAsia" w:ascii="Times New Roman" w:hAnsi="Times New Roman" w:eastAsia="宋体" w:cs="Times New Roman"/>
                <w:color w:val="000000"/>
                <w:kern w:val="2"/>
                <w:sz w:val="24"/>
                <w:szCs w:val="32"/>
                <w:highlight w:val="none"/>
                <w:lang w:val="en-US" w:eastAsia="zh-CN" w:bidi="ar-SA"/>
              </w:rPr>
            </w:pPr>
            <w:r>
              <w:rPr>
                <w:rFonts w:hint="eastAsia" w:ascii="Times New Roman" w:hAnsi="Times New Roman" w:eastAsia="宋体" w:cs="Times New Roman"/>
                <w:color w:val="000000"/>
                <w:spacing w:val="4"/>
                <w:highlight w:val="none"/>
                <w:lang w:val="en-US" w:eastAsia="zh-CN"/>
              </w:rPr>
              <w:t>由于项目所在园区周围无自然地表水体，且本项目运营期尾水全部回用，不外排，不与地表水发生水利联系，</w:t>
            </w:r>
            <w:r>
              <w:rPr>
                <w:rFonts w:hint="eastAsia" w:ascii="Times New Roman" w:hAnsi="Times New Roman" w:eastAsia="宋体" w:cs="Times New Roman"/>
                <w:color w:val="000000"/>
                <w:kern w:val="2"/>
                <w:sz w:val="24"/>
                <w:szCs w:val="32"/>
                <w:highlight w:val="none"/>
                <w:lang w:val="en-US" w:eastAsia="zh-CN" w:bidi="ar-SA"/>
              </w:rPr>
              <w:t>因此不对地表水体进行现状调查与评价。</w:t>
            </w:r>
          </w:p>
          <w:p w14:paraId="462421E1">
            <w:pPr>
              <w:keepNext w:val="0"/>
              <w:keepLines w:val="0"/>
              <w:pageBreakBefore w:val="0"/>
              <w:numPr>
                <w:ilvl w:val="0"/>
                <w:numId w:val="0"/>
              </w:numPr>
              <w:kinsoku/>
              <w:wordWrap/>
              <w:overflowPunct/>
              <w:topLinePunct w:val="0"/>
              <w:bidi w:val="0"/>
              <w:adjustRightInd/>
              <w:snapToGrid/>
              <w:spacing w:line="360" w:lineRule="auto"/>
              <w:textAlignment w:val="auto"/>
              <w:rPr>
                <w:rFonts w:hint="default"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bidi="ar-SA"/>
              </w:rPr>
              <w:t>3.</w:t>
            </w:r>
            <w:r>
              <w:rPr>
                <w:rFonts w:hint="eastAsia" w:cs="Times New Roman"/>
                <w:b/>
                <w:bCs/>
                <w:color w:val="auto"/>
                <w:kern w:val="0"/>
                <w:sz w:val="24"/>
                <w:szCs w:val="24"/>
                <w:highlight w:val="none"/>
                <w:lang w:val="en-US" w:eastAsia="zh-CN" w:bidi="ar-SA"/>
              </w:rPr>
              <w:t>3</w:t>
            </w:r>
            <w:r>
              <w:rPr>
                <w:rFonts w:hint="eastAsia" w:ascii="Times New Roman" w:hAnsi="Times New Roman" w:eastAsia="宋体" w:cs="Times New Roman"/>
                <w:b/>
                <w:color w:val="auto"/>
                <w:kern w:val="0"/>
                <w:sz w:val="24"/>
                <w:highlight w:val="none"/>
                <w:lang w:val="en-US" w:eastAsia="zh-CN"/>
              </w:rPr>
              <w:t>声环境质量现状</w:t>
            </w:r>
          </w:p>
          <w:p w14:paraId="400A2942">
            <w:pPr>
              <w:pStyle w:val="29"/>
              <w:keepNext w:val="0"/>
              <w:keepLines w:val="0"/>
              <w:pageBreakBefore w:val="0"/>
              <w:kinsoku/>
              <w:wordWrap/>
              <w:overflowPunct/>
              <w:topLinePunct w:val="0"/>
              <w:autoSpaceDE/>
              <w:autoSpaceDN/>
              <w:bidi w:val="0"/>
              <w:adjustRightInd/>
              <w:snapToGrid/>
              <w:spacing w:line="360" w:lineRule="auto"/>
              <w:ind w:left="0" w:leftChars="0" w:firstLine="496" w:firstLineChars="200"/>
              <w:textAlignment w:val="auto"/>
              <w:rPr>
                <w:rFonts w:hint="default" w:ascii="Times New Roman" w:hAnsi="Times New Roman" w:eastAsia="宋体" w:cs="Times New Roman"/>
                <w:color w:val="000000"/>
                <w:spacing w:val="4"/>
                <w:kern w:val="0"/>
                <w:sz w:val="24"/>
                <w:szCs w:val="24"/>
                <w:highlight w:val="none"/>
                <w:lang w:val="en-US" w:eastAsia="zh-CN" w:bidi="ar-SA"/>
              </w:rPr>
            </w:pPr>
            <w:r>
              <w:rPr>
                <w:rFonts w:hint="default" w:ascii="Times New Roman" w:hAnsi="Times New Roman" w:eastAsia="宋体" w:cs="Times New Roman"/>
                <w:color w:val="000000"/>
                <w:spacing w:val="4"/>
                <w:kern w:val="0"/>
                <w:sz w:val="24"/>
                <w:szCs w:val="24"/>
                <w:highlight w:val="none"/>
                <w:lang w:val="en-US" w:eastAsia="zh-CN" w:bidi="ar-SA"/>
              </w:rPr>
              <w:t>项目周边50m范围内无声环境保护目标，根据《建设项目环境影响报告表编制技术指南</w:t>
            </w:r>
            <w:r>
              <w:rPr>
                <w:rFonts w:hint="eastAsia" w:cs="Times New Roman"/>
                <w:color w:val="000000"/>
                <w:spacing w:val="4"/>
                <w:kern w:val="0"/>
                <w:sz w:val="24"/>
                <w:szCs w:val="24"/>
                <w:highlight w:val="none"/>
                <w:lang w:val="en-US" w:eastAsia="zh-CN" w:bidi="ar-SA"/>
              </w:rPr>
              <w:t>（</w:t>
            </w:r>
            <w:r>
              <w:rPr>
                <w:rFonts w:hint="default" w:ascii="Times New Roman" w:hAnsi="Times New Roman" w:eastAsia="宋体" w:cs="Times New Roman"/>
                <w:color w:val="000000"/>
                <w:spacing w:val="4"/>
                <w:kern w:val="0"/>
                <w:sz w:val="24"/>
                <w:szCs w:val="24"/>
                <w:highlight w:val="none"/>
                <w:lang w:val="en-US" w:eastAsia="zh-CN" w:bidi="ar-SA"/>
              </w:rPr>
              <w:t>污染影响类</w:t>
            </w:r>
            <w:r>
              <w:rPr>
                <w:rFonts w:hint="eastAsia" w:cs="Times New Roman"/>
                <w:color w:val="000000"/>
                <w:spacing w:val="4"/>
                <w:kern w:val="0"/>
                <w:sz w:val="24"/>
                <w:szCs w:val="24"/>
                <w:highlight w:val="none"/>
                <w:lang w:val="en-US" w:eastAsia="zh-CN" w:bidi="ar-SA"/>
              </w:rPr>
              <w:t>）</w:t>
            </w:r>
            <w:r>
              <w:rPr>
                <w:rFonts w:hint="default" w:ascii="Times New Roman" w:hAnsi="Times New Roman" w:eastAsia="宋体" w:cs="Times New Roman"/>
                <w:color w:val="000000"/>
                <w:spacing w:val="4"/>
                <w:kern w:val="0"/>
                <w:sz w:val="24"/>
                <w:szCs w:val="24"/>
                <w:highlight w:val="none"/>
                <w:lang w:val="en-US" w:eastAsia="zh-CN" w:bidi="ar-SA"/>
              </w:rPr>
              <w:t>》</w:t>
            </w:r>
            <w:r>
              <w:rPr>
                <w:rFonts w:hint="eastAsia" w:eastAsia="宋体"/>
                <w:color w:val="000000"/>
                <w:sz w:val="24"/>
                <w:szCs w:val="24"/>
                <w:highlight w:val="none"/>
              </w:rPr>
              <w:t>（试行）</w:t>
            </w:r>
            <w:r>
              <w:rPr>
                <w:rFonts w:hint="default" w:ascii="Times New Roman" w:hAnsi="Times New Roman" w:eastAsia="宋体" w:cs="Times New Roman"/>
                <w:color w:val="000000"/>
                <w:spacing w:val="4"/>
                <w:kern w:val="0"/>
                <w:sz w:val="24"/>
                <w:szCs w:val="24"/>
                <w:highlight w:val="none"/>
                <w:lang w:val="en-US" w:eastAsia="zh-CN" w:bidi="ar-SA"/>
              </w:rPr>
              <w:t>的要求，本项目不需要进行声环境现状监测。</w:t>
            </w:r>
          </w:p>
          <w:p w14:paraId="4BCF8009">
            <w:pPr>
              <w:pStyle w:val="29"/>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eastAsia="宋体" w:cs="Times New Roman"/>
                <w:color w:val="000000"/>
                <w:kern w:val="2"/>
                <w:sz w:val="24"/>
                <w:szCs w:val="32"/>
                <w:highlight w:val="none"/>
                <w:lang w:val="en-US" w:eastAsia="zh-CN" w:bidi="ar-SA"/>
              </w:rPr>
            </w:pPr>
            <w:r>
              <w:rPr>
                <w:rFonts w:hint="eastAsia" w:cs="Times New Roman"/>
                <w:b/>
                <w:color w:val="000000"/>
                <w:highlight w:val="none"/>
                <w:lang w:val="en-US" w:eastAsia="zh-CN"/>
              </w:rPr>
              <w:t>3.4</w:t>
            </w:r>
            <w:r>
              <w:rPr>
                <w:rFonts w:hint="default" w:ascii="Times New Roman" w:hAnsi="Times New Roman" w:eastAsia="宋体" w:cs="Times New Roman"/>
                <w:b/>
                <w:color w:val="000000"/>
                <w:highlight w:val="none"/>
                <w:lang w:val="en-US" w:eastAsia="zh-CN"/>
              </w:rPr>
              <w:t>地下水环境质量现状</w:t>
            </w:r>
          </w:p>
          <w:p w14:paraId="3D9E0328">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eastAsia="宋体"/>
                <w:color w:val="000000"/>
                <w:sz w:val="24"/>
                <w:szCs w:val="24"/>
                <w:highlight w:val="none"/>
              </w:rPr>
            </w:pPr>
            <w:r>
              <w:rPr>
                <w:rFonts w:hint="eastAsia"/>
                <w:color w:val="000000"/>
                <w:sz w:val="24"/>
                <w:szCs w:val="24"/>
                <w:highlight w:val="none"/>
                <w:lang w:val="en-US" w:eastAsia="zh-CN"/>
              </w:rPr>
              <w:t>1、</w:t>
            </w:r>
            <w:r>
              <w:rPr>
                <w:rFonts w:hint="eastAsia" w:eastAsia="宋体"/>
                <w:color w:val="000000"/>
                <w:sz w:val="24"/>
                <w:szCs w:val="24"/>
                <w:highlight w:val="none"/>
              </w:rPr>
              <w:t>监测点位布置</w:t>
            </w:r>
          </w:p>
          <w:p w14:paraId="5AEC4B55">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eastAsia="宋体"/>
                <w:color w:val="000000"/>
                <w:sz w:val="24"/>
                <w:szCs w:val="24"/>
                <w:highlight w:val="none"/>
              </w:rPr>
            </w:pPr>
            <w:r>
              <w:rPr>
                <w:rFonts w:hint="eastAsia" w:eastAsia="宋体"/>
                <w:color w:val="000000"/>
                <w:sz w:val="24"/>
                <w:szCs w:val="24"/>
                <w:highlight w:val="none"/>
              </w:rPr>
              <w:t>根据《建设项目环境影响报告表编制技术指南（污染影响类）（试行）》，本项目地下水环境质量现状引用规划环评中的监测数据。</w:t>
            </w:r>
          </w:p>
          <w:p w14:paraId="5C80064D">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eastAsia="宋体"/>
                <w:color w:val="000000"/>
                <w:sz w:val="24"/>
                <w:szCs w:val="24"/>
                <w:highlight w:val="none"/>
              </w:rPr>
            </w:pPr>
            <w:r>
              <w:rPr>
                <w:rFonts w:hint="eastAsia" w:eastAsia="宋体"/>
                <w:color w:val="000000"/>
                <w:sz w:val="24"/>
                <w:szCs w:val="24"/>
                <w:highlight w:val="none"/>
              </w:rPr>
              <w:t>引用数据来源：《库尔勒上库高新技术产业开发区国土空间专项规划（2024-2035年）环境影响报告书》，新疆维吾尔自治区生态环境厅，新环审〔2025〕303号，2025年批复。</w:t>
            </w:r>
          </w:p>
          <w:p w14:paraId="60715D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color w:val="000000"/>
                <w:sz w:val="24"/>
                <w:szCs w:val="24"/>
                <w:highlight w:val="none"/>
              </w:rPr>
            </w:pPr>
            <w:r>
              <w:rPr>
                <w:rFonts w:hint="eastAsia" w:eastAsia="宋体"/>
                <w:color w:val="000000"/>
                <w:sz w:val="24"/>
                <w:szCs w:val="24"/>
                <w:highlight w:val="none"/>
              </w:rPr>
              <w:t>监测时间：</w:t>
            </w:r>
            <w:r>
              <w:rPr>
                <w:rFonts w:hint="default" w:ascii="Times New Roman" w:hAnsi="Times New Roman" w:cs="Times New Roman"/>
                <w:color w:val="000000"/>
                <w:sz w:val="24"/>
                <w:szCs w:val="24"/>
                <w:highlight w:val="none"/>
              </w:rPr>
              <w:t>本次地下水采样时间为202</w:t>
            </w:r>
            <w:r>
              <w:rPr>
                <w:rFonts w:hint="default" w:ascii="Times New Roman" w:hAnsi="Times New Roman" w:cs="Times New Roman"/>
                <w:color w:val="000000"/>
                <w:sz w:val="24"/>
                <w:szCs w:val="24"/>
                <w:highlight w:val="none"/>
                <w:lang w:val="en-US" w:eastAsia="zh-CN"/>
              </w:rPr>
              <w:t>5</w:t>
            </w:r>
            <w:r>
              <w:rPr>
                <w:rFonts w:hint="default" w:ascii="Times New Roman" w:hAnsi="Times New Roman" w:cs="Times New Roman"/>
                <w:color w:val="000000"/>
                <w:sz w:val="24"/>
                <w:szCs w:val="24"/>
                <w:highlight w:val="none"/>
              </w:rPr>
              <w:t>年</w:t>
            </w:r>
            <w:r>
              <w:rPr>
                <w:rFonts w:hint="default" w:ascii="Times New Roman" w:hAnsi="Times New Roman" w:cs="Times New Roman"/>
                <w:color w:val="000000"/>
                <w:sz w:val="24"/>
                <w:szCs w:val="24"/>
                <w:highlight w:val="none"/>
                <w:lang w:val="en-US" w:eastAsia="zh-CN"/>
              </w:rPr>
              <w:t>6</w:t>
            </w:r>
            <w:r>
              <w:rPr>
                <w:rFonts w:hint="default" w:ascii="Times New Roman" w:hAnsi="Times New Roman" w:cs="Times New Roman"/>
                <w:color w:val="000000"/>
                <w:sz w:val="24"/>
                <w:szCs w:val="24"/>
                <w:highlight w:val="none"/>
              </w:rPr>
              <w:t>月</w:t>
            </w:r>
            <w:r>
              <w:rPr>
                <w:rFonts w:hint="default" w:ascii="Times New Roman" w:hAnsi="Times New Roman" w:cs="Times New Roman"/>
                <w:color w:val="000000"/>
                <w:sz w:val="24"/>
                <w:szCs w:val="24"/>
                <w:highlight w:val="none"/>
                <w:lang w:val="en-US" w:eastAsia="zh-CN"/>
              </w:rPr>
              <w:t>15</w:t>
            </w:r>
            <w:r>
              <w:rPr>
                <w:rFonts w:hint="default" w:ascii="Times New Roman" w:hAnsi="Times New Roman" w:cs="Times New Roman"/>
                <w:color w:val="000000"/>
                <w:sz w:val="24"/>
                <w:szCs w:val="24"/>
                <w:highlight w:val="none"/>
              </w:rPr>
              <w:t>日</w:t>
            </w:r>
            <w:r>
              <w:rPr>
                <w:rFonts w:hint="eastAsia" w:eastAsia="宋体"/>
                <w:color w:val="000000"/>
                <w:sz w:val="24"/>
                <w:szCs w:val="24"/>
                <w:highlight w:val="none"/>
              </w:rPr>
              <w:t>。</w:t>
            </w:r>
          </w:p>
          <w:p w14:paraId="498CE71A">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pPr>
            <w:r>
              <w:rPr>
                <w:rFonts w:hint="eastAsia" w:eastAsia="宋体"/>
                <w:color w:val="000000"/>
                <w:sz w:val="24"/>
                <w:szCs w:val="24"/>
                <w:highlight w:val="none"/>
              </w:rPr>
              <w:t>监测点位：根据区域地下水流向（由北向南）及敏感点分布情况，评价共布置</w:t>
            </w:r>
            <w:r>
              <w:rPr>
                <w:rFonts w:hint="eastAsia"/>
                <w:color w:val="000000"/>
                <w:sz w:val="24"/>
                <w:szCs w:val="24"/>
                <w:highlight w:val="none"/>
                <w:lang w:val="en-US" w:eastAsia="zh-CN"/>
              </w:rPr>
              <w:t>5</w:t>
            </w:r>
            <w:r>
              <w:rPr>
                <w:rFonts w:hint="eastAsia" w:eastAsia="宋体"/>
                <w:color w:val="000000"/>
                <w:sz w:val="24"/>
                <w:szCs w:val="24"/>
                <w:highlight w:val="none"/>
              </w:rPr>
              <w:t>个地下水监测点位，地下水监测委托</w:t>
            </w:r>
            <w:r>
              <w:rPr>
                <w:rFonts w:hint="eastAsia" w:eastAsia="宋体"/>
                <w:color w:val="000000"/>
                <w:sz w:val="24"/>
                <w:szCs w:val="24"/>
                <w:highlight w:val="none"/>
                <w:lang w:eastAsia="zh-CN"/>
              </w:rPr>
              <w:t>新疆天普志诚检测有限公司</w:t>
            </w:r>
            <w:r>
              <w:rPr>
                <w:rFonts w:hint="eastAsia" w:eastAsia="宋体"/>
                <w:color w:val="000000"/>
                <w:sz w:val="24"/>
                <w:szCs w:val="24"/>
                <w:highlight w:val="none"/>
              </w:rPr>
              <w:t>进行监测，</w:t>
            </w:r>
            <w:r>
              <w:rPr>
                <w:color w:val="000000"/>
                <w:sz w:val="24"/>
                <w:szCs w:val="24"/>
                <w:highlight w:val="none"/>
              </w:rPr>
              <w:t>监测点位布置情况见表</w:t>
            </w:r>
            <w:r>
              <w:rPr>
                <w:rFonts w:hint="eastAsia"/>
                <w:color w:val="000000"/>
                <w:sz w:val="24"/>
                <w:szCs w:val="24"/>
                <w:highlight w:val="none"/>
              </w:rPr>
              <w:t>3</w:t>
            </w:r>
            <w:r>
              <w:rPr>
                <w:rFonts w:hint="eastAsia"/>
                <w:color w:val="000000"/>
                <w:sz w:val="24"/>
                <w:szCs w:val="24"/>
                <w:highlight w:val="none"/>
                <w:lang w:val="en-US" w:eastAsia="zh-CN"/>
              </w:rPr>
              <w:t>-4</w:t>
            </w:r>
            <w:r>
              <w:rPr>
                <w:rFonts w:hint="eastAsia"/>
                <w:color w:val="000000"/>
                <w:sz w:val="24"/>
                <w:szCs w:val="24"/>
                <w:highlight w:val="none"/>
                <w:lang w:eastAsia="zh-CN"/>
              </w:rPr>
              <w:t>：</w:t>
            </w:r>
          </w:p>
          <w:p w14:paraId="11453E40">
            <w:pPr>
              <w:pStyle w:val="23"/>
              <w:bidi w:val="0"/>
              <w:rPr>
                <w:rFonts w:hint="eastAsia"/>
                <w:lang w:eastAsia="zh-CN"/>
              </w:rPr>
            </w:pPr>
            <w:r>
              <w:t>表</w:t>
            </w:r>
            <w:r>
              <w:fldChar w:fldCharType="begin"/>
            </w:r>
            <w:r>
              <w:instrText xml:space="preserve"> STYLEREF 1 \s \* ARABIC </w:instrText>
            </w:r>
            <w:r>
              <w:fldChar w:fldCharType="separate"/>
            </w:r>
            <w:r>
              <w:t>3</w:t>
            </w:r>
            <w:r>
              <w:fldChar w:fldCharType="end"/>
            </w:r>
            <w:r>
              <w:rPr>
                <w:rFonts w:hint="eastAsia"/>
                <w:lang w:val="en-US" w:eastAsia="zh-CN"/>
              </w:rPr>
              <w:t>-4</w:t>
            </w:r>
            <w:r>
              <w:rPr>
                <w:rFonts w:hint="eastAsia"/>
                <w:lang w:eastAsia="zh-CN"/>
              </w:rPr>
              <w:t>地下水现状监测点布置</w:t>
            </w:r>
          </w:p>
          <w:tbl>
            <w:tblPr>
              <w:tblStyle w:val="15"/>
              <w:tblW w:w="472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339"/>
              <w:gridCol w:w="2929"/>
              <w:gridCol w:w="1101"/>
              <w:gridCol w:w="1055"/>
              <w:gridCol w:w="1242"/>
              <w:gridCol w:w="1256"/>
            </w:tblGrid>
            <w:tr w14:paraId="107747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4" w:hRule="atLeast"/>
                <w:jc w:val="center"/>
              </w:trPr>
              <w:tc>
                <w:tcPr>
                  <w:tcW w:w="214" w:type="pct"/>
                  <w:tcBorders>
                    <w:top w:val="single" w:color="000000" w:sz="4" w:space="0"/>
                    <w:left w:val="single" w:color="000000" w:sz="4" w:space="0"/>
                    <w:bottom w:val="single" w:color="000000" w:sz="4" w:space="0"/>
                    <w:right w:val="single" w:color="000000" w:sz="4" w:space="0"/>
                    <w:tl2br w:val="nil"/>
                  </w:tcBorders>
                  <w:shd w:val="clear" w:color="auto" w:fill="FFFFFF"/>
                  <w:noWrap w:val="0"/>
                  <w:vAlign w:val="center"/>
                </w:tcPr>
                <w:p w14:paraId="1F67B075">
                  <w:pPr>
                    <w:jc w:val="center"/>
                    <w:rPr>
                      <w:b w:val="0"/>
                      <w:color w:val="000000"/>
                      <w:kern w:val="0"/>
                      <w:highlight w:val="none"/>
                    </w:rPr>
                  </w:pPr>
                  <w:r>
                    <w:rPr>
                      <w:b w:val="0"/>
                      <w:color w:val="000000"/>
                      <w:kern w:val="0"/>
                      <w:highlight w:val="none"/>
                    </w:rPr>
                    <w:t>序号</w:t>
                  </w:r>
                </w:p>
              </w:tc>
              <w:tc>
                <w:tcPr>
                  <w:tcW w:w="18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67C828">
                  <w:pPr>
                    <w:jc w:val="center"/>
                    <w:rPr>
                      <w:b w:val="0"/>
                      <w:color w:val="000000"/>
                      <w:kern w:val="0"/>
                      <w:highlight w:val="none"/>
                    </w:rPr>
                  </w:pPr>
                  <w:r>
                    <w:rPr>
                      <w:b w:val="0"/>
                      <w:color w:val="000000"/>
                      <w:spacing w:val="0"/>
                      <w:kern w:val="0"/>
                      <w:sz w:val="21"/>
                      <w:highlight w:val="none"/>
                    </w:rPr>
                    <w:t>监测点名称</w:t>
                  </w:r>
                </w:p>
              </w:tc>
              <w:tc>
                <w:tcPr>
                  <w:tcW w:w="6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34AC55">
                  <w:pPr>
                    <w:jc w:val="center"/>
                    <w:rPr>
                      <w:b w:val="0"/>
                      <w:color w:val="000000"/>
                      <w:kern w:val="0"/>
                      <w:highlight w:val="none"/>
                    </w:rPr>
                  </w:pPr>
                  <w:r>
                    <w:rPr>
                      <w:rFonts w:hint="eastAsia"/>
                      <w:b w:val="0"/>
                      <w:color w:val="000000"/>
                      <w:kern w:val="0"/>
                      <w:highlight w:val="none"/>
                    </w:rPr>
                    <w:t>井深（m）</w:t>
                  </w:r>
                </w:p>
              </w:tc>
              <w:tc>
                <w:tcPr>
                  <w:tcW w:w="66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4AA133">
                  <w:pPr>
                    <w:jc w:val="center"/>
                    <w:rPr>
                      <w:b w:val="0"/>
                      <w:color w:val="000000"/>
                      <w:kern w:val="0"/>
                      <w:highlight w:val="none"/>
                    </w:rPr>
                  </w:pPr>
                  <w:r>
                    <w:rPr>
                      <w:b w:val="0"/>
                      <w:color w:val="000000"/>
                      <w:kern w:val="0"/>
                      <w:highlight w:val="none"/>
                    </w:rPr>
                    <w:t>监测对象</w:t>
                  </w:r>
                </w:p>
              </w:tc>
              <w:tc>
                <w:tcPr>
                  <w:tcW w:w="78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FA0550">
                  <w:pPr>
                    <w:jc w:val="center"/>
                    <w:rPr>
                      <w:b w:val="0"/>
                      <w:color w:val="000000"/>
                      <w:kern w:val="0"/>
                      <w:highlight w:val="none"/>
                    </w:rPr>
                  </w:pPr>
                  <w:r>
                    <w:rPr>
                      <w:b w:val="0"/>
                      <w:color w:val="000000"/>
                      <w:kern w:val="0"/>
                      <w:highlight w:val="none"/>
                    </w:rPr>
                    <w:t>所处功能区</w:t>
                  </w:r>
                </w:p>
              </w:tc>
              <w:tc>
                <w:tcPr>
                  <w:tcW w:w="7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8B3FA">
                  <w:pPr>
                    <w:jc w:val="center"/>
                    <w:rPr>
                      <w:rFonts w:hint="eastAsia" w:eastAsia="宋体"/>
                      <w:b w:val="0"/>
                      <w:color w:val="000000"/>
                      <w:kern w:val="0"/>
                      <w:highlight w:val="none"/>
                      <w:lang w:val="en-US" w:eastAsia="zh-CN"/>
                    </w:rPr>
                  </w:pPr>
                  <w:r>
                    <w:rPr>
                      <w:rFonts w:hint="eastAsia"/>
                      <w:b w:val="0"/>
                      <w:color w:val="000000"/>
                      <w:kern w:val="0"/>
                      <w:highlight w:val="none"/>
                      <w:lang w:val="en-US" w:eastAsia="zh-CN"/>
                    </w:rPr>
                    <w:t>方位（距离）</w:t>
                  </w:r>
                </w:p>
              </w:tc>
            </w:tr>
            <w:tr w14:paraId="21DD21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108" w:hRule="atLeast"/>
                <w:jc w:val="center"/>
              </w:trPr>
              <w:tc>
                <w:tcPr>
                  <w:tcW w:w="214" w:type="pct"/>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00BD704B">
                  <w:pPr>
                    <w:jc w:val="center"/>
                    <w:rPr>
                      <w:rFonts w:hint="default" w:ascii="Times New Roman" w:hAnsi="Times New Roman" w:eastAsia="宋体" w:cs="Times New Roman"/>
                      <w:b w:val="0"/>
                      <w:color w:val="000000"/>
                      <w:spacing w:val="-10"/>
                      <w:sz w:val="21"/>
                      <w:szCs w:val="21"/>
                      <w:highlight w:val="none"/>
                      <w:lang w:val="en-US" w:eastAsia="zh-CN"/>
                    </w:rPr>
                  </w:pPr>
                  <w:r>
                    <w:rPr>
                      <w:color w:val="000000" w:themeColor="text1"/>
                      <w:spacing w:val="-10"/>
                      <w14:textFill>
                        <w14:solidFill>
                          <w14:schemeClr w14:val="tx1"/>
                        </w14:solidFill>
                      </w14:textFill>
                    </w:rPr>
                    <w:t>1</w:t>
                  </w:r>
                  <w:r>
                    <w:rPr>
                      <w:rFonts w:hint="eastAsia"/>
                      <w:color w:val="000000" w:themeColor="text1"/>
                      <w:spacing w:val="-10"/>
                      <w:lang w:val="en-US" w:eastAsia="zh-CN"/>
                      <w14:textFill>
                        <w14:solidFill>
                          <w14:schemeClr w14:val="tx1"/>
                        </w14:solidFill>
                      </w14:textFill>
                    </w:rPr>
                    <w:t>#</w:t>
                  </w:r>
                </w:p>
              </w:tc>
              <w:tc>
                <w:tcPr>
                  <w:tcW w:w="1848" w:type="pct"/>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36B9B782">
                  <w:pPr>
                    <w:keepNext w:val="0"/>
                    <w:keepLines w:val="0"/>
                    <w:widowControl/>
                    <w:suppressLineNumbers w:val="0"/>
                    <w:jc w:val="center"/>
                    <w:rPr>
                      <w:rFonts w:hint="default" w:ascii="Times New Roman" w:hAnsi="Times New Roman" w:eastAsia="宋体" w:cs="Times New Roman"/>
                      <w:b w:val="0"/>
                      <w:color w:val="000000"/>
                      <w:spacing w:val="-6"/>
                      <w:sz w:val="21"/>
                      <w:szCs w:val="21"/>
                      <w:highlight w:val="none"/>
                      <w:lang w:val="en-US" w:eastAsia="zh-CN"/>
                    </w:rPr>
                  </w:pPr>
                  <w:r>
                    <w:rPr>
                      <w:rFonts w:hint="eastAsia" w:ascii="Times New Roman" w:hAnsi="Times New Roman" w:eastAsia="宋体" w:cs="Times New Roman"/>
                      <w:b w:val="0"/>
                      <w:color w:val="000000"/>
                      <w:spacing w:val="0"/>
                      <w:kern w:val="0"/>
                      <w:sz w:val="21"/>
                      <w:szCs w:val="21"/>
                      <w:highlight w:val="none"/>
                      <w:lang w:val="en-US" w:eastAsia="zh-CN"/>
                    </w:rPr>
                    <w:t>上库大道南侧水井</w:t>
                  </w:r>
                </w:p>
              </w:tc>
              <w:tc>
                <w:tcPr>
                  <w:tcW w:w="695" w:type="pct"/>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7E71ECD8">
                  <w:pPr>
                    <w:jc w:val="center"/>
                    <w:rPr>
                      <w:rFonts w:hint="default" w:ascii="Times New Roman" w:hAnsi="Times New Roman" w:eastAsia="宋体" w:cs="Times New Roman"/>
                      <w:b w:val="0"/>
                      <w:color w:val="000000"/>
                      <w:spacing w:val="-10"/>
                      <w:sz w:val="21"/>
                      <w:szCs w:val="21"/>
                      <w:highlight w:val="none"/>
                      <w:lang w:val="en-US" w:eastAsia="zh-CN"/>
                    </w:rPr>
                  </w:pPr>
                  <w:r>
                    <w:rPr>
                      <w:rFonts w:hint="eastAsia"/>
                      <w:color w:val="000000" w:themeColor="text1"/>
                      <w:spacing w:val="-10"/>
                      <w:lang w:val="en-US" w:eastAsia="zh-CN"/>
                      <w14:textFill>
                        <w14:solidFill>
                          <w14:schemeClr w14:val="tx1"/>
                        </w14:solidFill>
                      </w14:textFill>
                    </w:rPr>
                    <w:t>40</w:t>
                  </w:r>
                </w:p>
              </w:tc>
              <w:tc>
                <w:tcPr>
                  <w:tcW w:w="666" w:type="pct"/>
                  <w:vMerge w:val="restart"/>
                  <w:tcBorders>
                    <w:top w:val="single" w:color="000000" w:sz="4" w:space="0"/>
                    <w:left w:val="single" w:color="000000" w:sz="4" w:space="0"/>
                    <w:right w:val="single" w:color="000000" w:sz="4" w:space="0"/>
                  </w:tcBorders>
                  <w:shd w:val="clear" w:color="auto" w:fill="FFFFFF"/>
                  <w:noWrap w:val="0"/>
                  <w:vAlign w:val="center"/>
                </w:tcPr>
                <w:p w14:paraId="378A3DDE">
                  <w:pPr>
                    <w:jc w:val="center"/>
                    <w:rPr>
                      <w:b w:val="0"/>
                      <w:color w:val="000000"/>
                      <w:spacing w:val="-10"/>
                      <w:highlight w:val="none"/>
                    </w:rPr>
                  </w:pPr>
                  <w:r>
                    <w:rPr>
                      <w:b w:val="0"/>
                      <w:color w:val="000000"/>
                      <w:spacing w:val="-10"/>
                      <w:highlight w:val="none"/>
                    </w:rPr>
                    <w:t>潜水</w:t>
                  </w:r>
                  <w:r>
                    <w:rPr>
                      <w:rFonts w:hint="eastAsia"/>
                      <w:b w:val="0"/>
                      <w:color w:val="000000"/>
                      <w:spacing w:val="-10"/>
                      <w:highlight w:val="none"/>
                    </w:rPr>
                    <w:t>含水层</w:t>
                  </w:r>
                </w:p>
              </w:tc>
              <w:tc>
                <w:tcPr>
                  <w:tcW w:w="784" w:type="pct"/>
                  <w:vMerge w:val="restart"/>
                  <w:tcBorders>
                    <w:top w:val="single" w:color="000000" w:sz="4" w:space="0"/>
                    <w:left w:val="single" w:color="000000" w:sz="4" w:space="0"/>
                    <w:right w:val="single" w:color="000000" w:sz="4" w:space="0"/>
                  </w:tcBorders>
                  <w:shd w:val="clear" w:color="auto" w:fill="FFFFFF"/>
                  <w:noWrap w:val="0"/>
                  <w:vAlign w:val="center"/>
                </w:tcPr>
                <w:p w14:paraId="7F457792">
                  <w:pPr>
                    <w:jc w:val="center"/>
                    <w:rPr>
                      <w:b w:val="0"/>
                      <w:color w:val="000000"/>
                      <w:spacing w:val="-10"/>
                      <w:highlight w:val="none"/>
                    </w:rPr>
                  </w:pPr>
                  <w:r>
                    <w:rPr>
                      <w:b w:val="0"/>
                      <w:color w:val="000000"/>
                      <w:spacing w:val="-10"/>
                      <w:highlight w:val="none"/>
                    </w:rPr>
                    <w:t>Ⅲ类</w:t>
                  </w:r>
                </w:p>
              </w:tc>
              <w:tc>
                <w:tcPr>
                  <w:tcW w:w="791" w:type="pct"/>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1283F874">
                  <w:pPr>
                    <w:jc w:val="center"/>
                    <w:rPr>
                      <w:rFonts w:hint="default" w:eastAsia="宋体"/>
                      <w:b w:val="0"/>
                      <w:color w:val="000000"/>
                      <w:spacing w:val="-10"/>
                      <w:highlight w:val="none"/>
                      <w:lang w:val="en-US" w:eastAsia="zh-CN"/>
                    </w:rPr>
                  </w:pPr>
                  <w:r>
                    <w:rPr>
                      <w:rFonts w:hint="eastAsia"/>
                      <w:b w:val="0"/>
                      <w:color w:val="000000"/>
                      <w:spacing w:val="-10"/>
                      <w:highlight w:val="none"/>
                      <w:lang w:val="en-US" w:eastAsia="zh-CN"/>
                    </w:rPr>
                    <w:t>E/44.731km</w:t>
                  </w:r>
                </w:p>
              </w:tc>
            </w:tr>
            <w:tr w14:paraId="47E95A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14" w:hRule="atLeast"/>
                <w:jc w:val="center"/>
              </w:trPr>
              <w:tc>
                <w:tcPr>
                  <w:tcW w:w="214" w:type="pct"/>
                  <w:tcBorders>
                    <w:top w:val="single" w:color="auto" w:sz="4" w:space="0"/>
                    <w:left w:val="single" w:color="000000" w:sz="4" w:space="0"/>
                    <w:right w:val="single" w:color="000000" w:sz="4" w:space="0"/>
                  </w:tcBorders>
                  <w:shd w:val="clear" w:color="auto" w:fill="FFFFFF"/>
                  <w:noWrap w:val="0"/>
                  <w:vAlign w:val="center"/>
                </w:tcPr>
                <w:p w14:paraId="36033209">
                  <w:pPr>
                    <w:jc w:val="center"/>
                    <w:rPr>
                      <w:rFonts w:hint="default" w:ascii="Times New Roman" w:hAnsi="Times New Roman" w:eastAsia="宋体" w:cs="Times New Roman"/>
                      <w:b w:val="0"/>
                      <w:color w:val="000000"/>
                      <w:spacing w:val="-10"/>
                      <w:sz w:val="21"/>
                      <w:szCs w:val="21"/>
                      <w:highlight w:val="none"/>
                    </w:rPr>
                  </w:pPr>
                  <w:r>
                    <w:rPr>
                      <w:rFonts w:hint="default" w:ascii="Times New Roman" w:hAnsi="Times New Roman" w:eastAsia="宋体" w:cs="Times New Roman"/>
                      <w:b w:val="0"/>
                      <w:color w:val="000000"/>
                      <w:spacing w:val="-10"/>
                      <w:sz w:val="21"/>
                      <w:szCs w:val="21"/>
                      <w:highlight w:val="none"/>
                    </w:rPr>
                    <w:t>2</w:t>
                  </w:r>
                  <w:r>
                    <w:rPr>
                      <w:rFonts w:hint="default" w:ascii="Times New Roman" w:hAnsi="Times New Roman" w:eastAsia="宋体" w:cs="Times New Roman"/>
                      <w:b w:val="0"/>
                      <w:color w:val="000000"/>
                      <w:spacing w:val="-10"/>
                      <w:sz w:val="21"/>
                      <w:szCs w:val="21"/>
                      <w:highlight w:val="none"/>
                      <w:lang w:val="en-US" w:eastAsia="zh-CN"/>
                    </w:rPr>
                    <w:t>#</w:t>
                  </w:r>
                </w:p>
              </w:tc>
              <w:tc>
                <w:tcPr>
                  <w:tcW w:w="1848" w:type="pct"/>
                  <w:tcBorders>
                    <w:top w:val="single" w:color="auto" w:sz="4" w:space="0"/>
                    <w:left w:val="single" w:color="000000" w:sz="4" w:space="0"/>
                    <w:right w:val="single" w:color="000000" w:sz="4" w:space="0"/>
                  </w:tcBorders>
                  <w:shd w:val="clear" w:color="auto" w:fill="FFFFFF"/>
                  <w:noWrap w:val="0"/>
                  <w:vAlign w:val="center"/>
                </w:tcPr>
                <w:p w14:paraId="11299D5C">
                  <w:pPr>
                    <w:keepNext w:val="0"/>
                    <w:keepLines w:val="0"/>
                    <w:widowControl/>
                    <w:suppressLineNumbers w:val="0"/>
                    <w:jc w:val="center"/>
                    <w:rPr>
                      <w:rFonts w:hint="default" w:ascii="Times New Roman" w:hAnsi="Times New Roman" w:eastAsia="宋体" w:cs="Times New Roman"/>
                      <w:b w:val="0"/>
                      <w:color w:val="000000"/>
                      <w:spacing w:val="-6"/>
                      <w:sz w:val="21"/>
                      <w:szCs w:val="21"/>
                      <w:highlight w:val="none"/>
                      <w:lang w:val="en-US" w:eastAsia="zh-CN"/>
                    </w:rPr>
                  </w:pPr>
                  <w:r>
                    <w:rPr>
                      <w:rFonts w:hint="default" w:ascii="Times New Roman" w:hAnsi="Times New Roman" w:eastAsia="宋体" w:cs="Times New Roman"/>
                      <w:b w:val="0"/>
                      <w:color w:val="000000"/>
                      <w:spacing w:val="0"/>
                      <w:kern w:val="0"/>
                      <w:sz w:val="21"/>
                      <w:szCs w:val="21"/>
                      <w:highlight w:val="none"/>
                      <w:lang w:val="en-US" w:eastAsia="zh-CN"/>
                    </w:rPr>
                    <w:t>上库石油石化园上游地下水井</w:t>
                  </w:r>
                </w:p>
              </w:tc>
              <w:tc>
                <w:tcPr>
                  <w:tcW w:w="695" w:type="pct"/>
                  <w:tcBorders>
                    <w:top w:val="single" w:color="auto" w:sz="4" w:space="0"/>
                    <w:left w:val="single" w:color="000000" w:sz="4" w:space="0"/>
                    <w:right w:val="single" w:color="000000" w:sz="4" w:space="0"/>
                  </w:tcBorders>
                  <w:shd w:val="clear" w:color="auto" w:fill="FFFFFF"/>
                  <w:noWrap w:val="0"/>
                  <w:vAlign w:val="center"/>
                </w:tcPr>
                <w:p w14:paraId="04A11DB5">
                  <w:pPr>
                    <w:jc w:val="center"/>
                    <w:rPr>
                      <w:rFonts w:hint="default" w:ascii="Times New Roman" w:hAnsi="Times New Roman" w:eastAsia="宋体" w:cs="Times New Roman"/>
                      <w:b w:val="0"/>
                      <w:color w:val="000000"/>
                      <w:spacing w:val="-10"/>
                      <w:sz w:val="21"/>
                      <w:szCs w:val="21"/>
                      <w:highlight w:val="none"/>
                      <w:lang w:val="en-US" w:eastAsia="zh-CN"/>
                    </w:rPr>
                  </w:pPr>
                  <w:r>
                    <w:rPr>
                      <w:rFonts w:hint="default" w:ascii="Times New Roman" w:hAnsi="Times New Roman" w:eastAsia="宋体" w:cs="Times New Roman"/>
                      <w:b w:val="0"/>
                      <w:color w:val="000000"/>
                      <w:spacing w:val="-10"/>
                      <w:sz w:val="21"/>
                      <w:szCs w:val="21"/>
                      <w:highlight w:val="none"/>
                      <w:lang w:val="en-US" w:eastAsia="zh-CN"/>
                    </w:rPr>
                    <w:t>180</w:t>
                  </w:r>
                </w:p>
              </w:tc>
              <w:tc>
                <w:tcPr>
                  <w:tcW w:w="666" w:type="pct"/>
                  <w:vMerge w:val="continue"/>
                  <w:tcBorders>
                    <w:left w:val="single" w:color="000000" w:sz="4" w:space="0"/>
                    <w:right w:val="single" w:color="000000" w:sz="4" w:space="0"/>
                  </w:tcBorders>
                  <w:shd w:val="clear" w:color="auto" w:fill="FFFFFF"/>
                  <w:noWrap w:val="0"/>
                  <w:vAlign w:val="center"/>
                </w:tcPr>
                <w:p w14:paraId="51D27010">
                  <w:pPr>
                    <w:jc w:val="center"/>
                    <w:rPr>
                      <w:b w:val="0"/>
                      <w:color w:val="000000"/>
                      <w:spacing w:val="-10"/>
                      <w:highlight w:val="none"/>
                    </w:rPr>
                  </w:pPr>
                </w:p>
              </w:tc>
              <w:tc>
                <w:tcPr>
                  <w:tcW w:w="784" w:type="pct"/>
                  <w:vMerge w:val="continue"/>
                  <w:tcBorders>
                    <w:left w:val="single" w:color="000000" w:sz="4" w:space="0"/>
                    <w:right w:val="single" w:color="000000" w:sz="4" w:space="0"/>
                  </w:tcBorders>
                  <w:shd w:val="clear" w:color="auto" w:fill="FFFFFF"/>
                  <w:noWrap w:val="0"/>
                  <w:vAlign w:val="center"/>
                </w:tcPr>
                <w:p w14:paraId="633B3BE5">
                  <w:pPr>
                    <w:jc w:val="center"/>
                    <w:rPr>
                      <w:b w:val="0"/>
                      <w:color w:val="000000"/>
                      <w:spacing w:val="-10"/>
                      <w:highlight w:val="none"/>
                    </w:rPr>
                  </w:pPr>
                </w:p>
              </w:tc>
              <w:tc>
                <w:tcPr>
                  <w:tcW w:w="791" w:type="pct"/>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10CEA09E">
                  <w:pPr>
                    <w:jc w:val="center"/>
                    <w:rPr>
                      <w:rFonts w:hint="eastAsia"/>
                      <w:b w:val="0"/>
                      <w:color w:val="000000"/>
                      <w:highlight w:val="none"/>
                      <w:lang w:val="en-US" w:eastAsia="zh-CN"/>
                    </w:rPr>
                  </w:pPr>
                  <w:r>
                    <w:rPr>
                      <w:rFonts w:hint="eastAsia"/>
                      <w:b w:val="0"/>
                      <w:color w:val="000000"/>
                      <w:highlight w:val="none"/>
                      <w:lang w:val="en-US" w:eastAsia="zh-CN"/>
                    </w:rPr>
                    <w:t>N</w:t>
                  </w:r>
                  <w:r>
                    <w:rPr>
                      <w:rFonts w:hint="eastAsia"/>
                      <w:b w:val="0"/>
                      <w:color w:val="000000"/>
                      <w:highlight w:val="none"/>
                    </w:rPr>
                    <w:t>/</w:t>
                  </w:r>
                  <w:r>
                    <w:rPr>
                      <w:rFonts w:hint="eastAsia"/>
                      <w:b w:val="0"/>
                      <w:color w:val="000000"/>
                      <w:highlight w:val="none"/>
                      <w:lang w:val="en-US" w:eastAsia="zh-CN"/>
                    </w:rPr>
                    <w:t>7.387</w:t>
                  </w:r>
                  <w:r>
                    <w:rPr>
                      <w:rFonts w:hint="eastAsia"/>
                      <w:b w:val="0"/>
                      <w:color w:val="000000"/>
                      <w:highlight w:val="none"/>
                    </w:rPr>
                    <w:t>km</w:t>
                  </w:r>
                </w:p>
              </w:tc>
            </w:tr>
            <w:tr w14:paraId="46AA03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177" w:hRule="atLeast"/>
                <w:jc w:val="center"/>
              </w:trPr>
              <w:tc>
                <w:tcPr>
                  <w:tcW w:w="2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F5C3C">
                  <w:pPr>
                    <w:jc w:val="center"/>
                    <w:rPr>
                      <w:rFonts w:hint="default" w:ascii="Times New Roman" w:hAnsi="Times New Roman" w:eastAsia="宋体" w:cs="Times New Roman"/>
                      <w:b w:val="0"/>
                      <w:color w:val="000000"/>
                      <w:spacing w:val="-10"/>
                      <w:sz w:val="21"/>
                      <w:szCs w:val="21"/>
                      <w:highlight w:val="none"/>
                      <w:lang w:val="en-US" w:eastAsia="zh-CN"/>
                    </w:rPr>
                  </w:pPr>
                  <w:r>
                    <w:rPr>
                      <w:rFonts w:hint="default" w:ascii="Times New Roman" w:hAnsi="Times New Roman" w:eastAsia="宋体" w:cs="Times New Roman"/>
                      <w:b w:val="0"/>
                      <w:color w:val="000000"/>
                      <w:spacing w:val="-10"/>
                      <w:sz w:val="21"/>
                      <w:szCs w:val="21"/>
                      <w:highlight w:val="none"/>
                      <w:lang w:val="en-US" w:eastAsia="zh-CN"/>
                    </w:rPr>
                    <w:t>3#</w:t>
                  </w:r>
                </w:p>
              </w:tc>
              <w:tc>
                <w:tcPr>
                  <w:tcW w:w="18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8A1B6B">
                  <w:pPr>
                    <w:keepNext w:val="0"/>
                    <w:keepLines w:val="0"/>
                    <w:widowControl/>
                    <w:suppressLineNumbers w:val="0"/>
                    <w:jc w:val="center"/>
                    <w:rPr>
                      <w:rFonts w:hint="default" w:ascii="Times New Roman" w:hAnsi="Times New Roman" w:eastAsia="宋体" w:cs="Times New Roman"/>
                      <w:b w:val="0"/>
                      <w:color w:val="000000"/>
                      <w:spacing w:val="-6"/>
                      <w:sz w:val="21"/>
                      <w:szCs w:val="21"/>
                      <w:highlight w:val="none"/>
                      <w:lang w:val="en-US" w:eastAsia="zh-CN"/>
                    </w:rPr>
                  </w:pPr>
                  <w:r>
                    <w:rPr>
                      <w:rFonts w:hint="default" w:ascii="Times New Roman" w:hAnsi="Times New Roman" w:eastAsia="宋体" w:cs="Times New Roman"/>
                      <w:b w:val="0"/>
                      <w:color w:val="000000"/>
                      <w:spacing w:val="0"/>
                      <w:kern w:val="0"/>
                      <w:sz w:val="21"/>
                      <w:szCs w:val="21"/>
                      <w:highlight w:val="none"/>
                      <w:lang w:val="en-US" w:eastAsia="zh-CN"/>
                    </w:rPr>
                    <w:t>上库石油石化园内地下水井</w:t>
                  </w:r>
                </w:p>
              </w:tc>
              <w:tc>
                <w:tcPr>
                  <w:tcW w:w="6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E6CF3C">
                  <w:pPr>
                    <w:jc w:val="center"/>
                    <w:rPr>
                      <w:rFonts w:hint="default" w:ascii="Times New Roman" w:hAnsi="Times New Roman" w:eastAsia="宋体" w:cs="Times New Roman"/>
                      <w:b w:val="0"/>
                      <w:color w:val="000000"/>
                      <w:spacing w:val="-10"/>
                      <w:sz w:val="21"/>
                      <w:szCs w:val="21"/>
                      <w:highlight w:val="none"/>
                      <w:lang w:val="en-US" w:eastAsia="zh-CN"/>
                    </w:rPr>
                  </w:pPr>
                  <w:r>
                    <w:rPr>
                      <w:rFonts w:hint="default" w:ascii="Times New Roman" w:hAnsi="Times New Roman" w:eastAsia="宋体" w:cs="Times New Roman"/>
                      <w:b w:val="0"/>
                      <w:color w:val="000000"/>
                      <w:spacing w:val="-10"/>
                      <w:sz w:val="21"/>
                      <w:szCs w:val="21"/>
                      <w:highlight w:val="none"/>
                      <w:lang w:val="en-US" w:eastAsia="zh-CN"/>
                    </w:rPr>
                    <w:t>40</w:t>
                  </w:r>
                </w:p>
              </w:tc>
              <w:tc>
                <w:tcPr>
                  <w:tcW w:w="666" w:type="pct"/>
                  <w:vMerge w:val="continue"/>
                  <w:tcBorders>
                    <w:left w:val="single" w:color="000000" w:sz="4" w:space="0"/>
                    <w:right w:val="single" w:color="000000" w:sz="4" w:space="0"/>
                  </w:tcBorders>
                  <w:shd w:val="clear" w:color="auto" w:fill="FFFFFF"/>
                  <w:noWrap w:val="0"/>
                  <w:vAlign w:val="center"/>
                </w:tcPr>
                <w:p w14:paraId="74984807">
                  <w:pPr>
                    <w:jc w:val="center"/>
                    <w:rPr>
                      <w:b w:val="0"/>
                      <w:color w:val="000000"/>
                      <w:spacing w:val="-10"/>
                      <w:highlight w:val="none"/>
                    </w:rPr>
                  </w:pPr>
                </w:p>
              </w:tc>
              <w:tc>
                <w:tcPr>
                  <w:tcW w:w="784" w:type="pct"/>
                  <w:vMerge w:val="continue"/>
                  <w:tcBorders>
                    <w:left w:val="single" w:color="000000" w:sz="4" w:space="0"/>
                    <w:right w:val="single" w:color="000000" w:sz="4" w:space="0"/>
                  </w:tcBorders>
                  <w:shd w:val="clear" w:color="auto" w:fill="FFFFFF"/>
                  <w:noWrap w:val="0"/>
                  <w:vAlign w:val="center"/>
                </w:tcPr>
                <w:p w14:paraId="6AEA4A20">
                  <w:pPr>
                    <w:jc w:val="center"/>
                    <w:rPr>
                      <w:b w:val="0"/>
                      <w:color w:val="000000"/>
                      <w:spacing w:val="-10"/>
                      <w:highlight w:val="none"/>
                    </w:rPr>
                  </w:pPr>
                </w:p>
              </w:tc>
              <w:tc>
                <w:tcPr>
                  <w:tcW w:w="7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28E94F">
                  <w:pPr>
                    <w:jc w:val="center"/>
                    <w:rPr>
                      <w:b w:val="0"/>
                      <w:color w:val="000000"/>
                      <w:spacing w:val="-10"/>
                      <w:highlight w:val="none"/>
                    </w:rPr>
                  </w:pPr>
                  <w:r>
                    <w:rPr>
                      <w:rFonts w:hint="eastAsia"/>
                      <w:b w:val="0"/>
                      <w:color w:val="000000"/>
                      <w:highlight w:val="none"/>
                      <w:lang w:val="en-US" w:eastAsia="zh-CN"/>
                    </w:rPr>
                    <w:t>NW</w:t>
                  </w:r>
                  <w:r>
                    <w:rPr>
                      <w:rFonts w:hint="eastAsia"/>
                      <w:b w:val="0"/>
                      <w:color w:val="000000"/>
                      <w:highlight w:val="none"/>
                    </w:rPr>
                    <w:t>/</w:t>
                  </w:r>
                  <w:r>
                    <w:rPr>
                      <w:rFonts w:hint="eastAsia"/>
                      <w:b w:val="0"/>
                      <w:color w:val="000000"/>
                      <w:highlight w:val="none"/>
                      <w:lang w:val="en-US" w:eastAsia="zh-CN"/>
                    </w:rPr>
                    <w:t>4.027</w:t>
                  </w:r>
                  <w:r>
                    <w:rPr>
                      <w:rFonts w:hint="eastAsia"/>
                      <w:b w:val="0"/>
                      <w:color w:val="000000"/>
                      <w:highlight w:val="none"/>
                    </w:rPr>
                    <w:t>km</w:t>
                  </w:r>
                </w:p>
              </w:tc>
            </w:tr>
            <w:tr w14:paraId="553E6D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72" w:hRule="atLeast"/>
                <w:jc w:val="center"/>
              </w:trPr>
              <w:tc>
                <w:tcPr>
                  <w:tcW w:w="2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F3F5A">
                  <w:pPr>
                    <w:jc w:val="center"/>
                    <w:rPr>
                      <w:rFonts w:hint="default" w:ascii="Times New Roman" w:hAnsi="Times New Roman" w:eastAsia="宋体" w:cs="Times New Roman"/>
                      <w:b w:val="0"/>
                      <w:color w:val="000000"/>
                      <w:spacing w:val="-10"/>
                      <w:sz w:val="21"/>
                      <w:szCs w:val="21"/>
                      <w:highlight w:val="none"/>
                      <w:lang w:val="en-US" w:eastAsia="zh-CN"/>
                    </w:rPr>
                  </w:pPr>
                  <w:r>
                    <w:rPr>
                      <w:rFonts w:hint="default" w:ascii="Times New Roman" w:hAnsi="Times New Roman" w:eastAsia="宋体" w:cs="Times New Roman"/>
                      <w:b w:val="0"/>
                      <w:color w:val="000000"/>
                      <w:spacing w:val="-10"/>
                      <w:sz w:val="21"/>
                      <w:szCs w:val="21"/>
                      <w:highlight w:val="none"/>
                      <w:lang w:val="en-US" w:eastAsia="zh-CN"/>
                    </w:rPr>
                    <w:t>4#</w:t>
                  </w:r>
                </w:p>
              </w:tc>
              <w:tc>
                <w:tcPr>
                  <w:tcW w:w="18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AFC2EC">
                  <w:pPr>
                    <w:keepNext w:val="0"/>
                    <w:keepLines w:val="0"/>
                    <w:widowControl/>
                    <w:suppressLineNumbers w:val="0"/>
                    <w:jc w:val="center"/>
                    <w:rPr>
                      <w:rFonts w:hint="default" w:ascii="Times New Roman" w:hAnsi="Times New Roman" w:eastAsia="宋体" w:cs="Times New Roman"/>
                      <w:b w:val="0"/>
                      <w:color w:val="000000"/>
                      <w:spacing w:val="-6"/>
                      <w:sz w:val="21"/>
                      <w:szCs w:val="21"/>
                      <w:highlight w:val="none"/>
                      <w:lang w:val="en-US" w:eastAsia="zh-CN"/>
                    </w:rPr>
                  </w:pPr>
                  <w:r>
                    <w:rPr>
                      <w:rFonts w:hint="default" w:ascii="Times New Roman" w:hAnsi="Times New Roman" w:eastAsia="宋体" w:cs="Times New Roman"/>
                      <w:b w:val="0"/>
                      <w:color w:val="000000"/>
                      <w:spacing w:val="0"/>
                      <w:kern w:val="0"/>
                      <w:sz w:val="21"/>
                      <w:szCs w:val="21"/>
                      <w:highlight w:val="none"/>
                      <w:lang w:val="en-US" w:eastAsia="zh-CN"/>
                    </w:rPr>
                    <w:t>上库石油石化园上游地下水井</w:t>
                  </w:r>
                </w:p>
              </w:tc>
              <w:tc>
                <w:tcPr>
                  <w:tcW w:w="6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ADE50A">
                  <w:pPr>
                    <w:jc w:val="center"/>
                    <w:rPr>
                      <w:rFonts w:hint="default" w:ascii="Times New Roman" w:hAnsi="Times New Roman" w:eastAsia="宋体" w:cs="Times New Roman"/>
                      <w:b w:val="0"/>
                      <w:color w:val="000000"/>
                      <w:spacing w:val="-10"/>
                      <w:sz w:val="21"/>
                      <w:szCs w:val="21"/>
                      <w:highlight w:val="none"/>
                      <w:lang w:val="en-US" w:eastAsia="zh-CN"/>
                    </w:rPr>
                  </w:pPr>
                  <w:r>
                    <w:rPr>
                      <w:rFonts w:hint="default" w:ascii="Times New Roman" w:hAnsi="Times New Roman" w:eastAsia="宋体" w:cs="Times New Roman"/>
                      <w:b w:val="0"/>
                      <w:color w:val="000000"/>
                      <w:spacing w:val="-10"/>
                      <w:sz w:val="21"/>
                      <w:szCs w:val="21"/>
                      <w:highlight w:val="none"/>
                      <w:lang w:val="en-US" w:eastAsia="zh-CN"/>
                    </w:rPr>
                    <w:t>130</w:t>
                  </w:r>
                </w:p>
              </w:tc>
              <w:tc>
                <w:tcPr>
                  <w:tcW w:w="666" w:type="pct"/>
                  <w:vMerge w:val="continue"/>
                  <w:tcBorders>
                    <w:left w:val="single" w:color="000000" w:sz="4" w:space="0"/>
                    <w:right w:val="single" w:color="000000" w:sz="4" w:space="0"/>
                  </w:tcBorders>
                  <w:shd w:val="clear" w:color="auto" w:fill="FFFFFF"/>
                  <w:noWrap w:val="0"/>
                  <w:vAlign w:val="center"/>
                </w:tcPr>
                <w:p w14:paraId="68373B6D">
                  <w:pPr>
                    <w:jc w:val="center"/>
                    <w:rPr>
                      <w:b w:val="0"/>
                      <w:color w:val="000000"/>
                      <w:spacing w:val="-10"/>
                      <w:highlight w:val="none"/>
                    </w:rPr>
                  </w:pPr>
                </w:p>
              </w:tc>
              <w:tc>
                <w:tcPr>
                  <w:tcW w:w="784" w:type="pct"/>
                  <w:vMerge w:val="continue"/>
                  <w:tcBorders>
                    <w:left w:val="single" w:color="000000" w:sz="4" w:space="0"/>
                    <w:right w:val="single" w:color="000000" w:sz="4" w:space="0"/>
                  </w:tcBorders>
                  <w:shd w:val="clear" w:color="auto" w:fill="FFFFFF"/>
                  <w:noWrap w:val="0"/>
                  <w:vAlign w:val="center"/>
                </w:tcPr>
                <w:p w14:paraId="2C1410DB">
                  <w:pPr>
                    <w:jc w:val="center"/>
                    <w:rPr>
                      <w:b w:val="0"/>
                      <w:color w:val="000000"/>
                      <w:spacing w:val="-10"/>
                      <w:highlight w:val="none"/>
                    </w:rPr>
                  </w:pPr>
                </w:p>
              </w:tc>
              <w:tc>
                <w:tcPr>
                  <w:tcW w:w="7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EC7235">
                  <w:pPr>
                    <w:jc w:val="center"/>
                    <w:rPr>
                      <w:b w:val="0"/>
                      <w:color w:val="000000"/>
                      <w:spacing w:val="-10"/>
                      <w:highlight w:val="none"/>
                    </w:rPr>
                  </w:pPr>
                  <w:r>
                    <w:rPr>
                      <w:rFonts w:hint="eastAsia"/>
                      <w:b w:val="0"/>
                      <w:color w:val="000000"/>
                      <w:highlight w:val="none"/>
                      <w:lang w:val="en-US" w:eastAsia="zh-CN"/>
                    </w:rPr>
                    <w:t>N</w:t>
                  </w:r>
                  <w:r>
                    <w:rPr>
                      <w:rFonts w:hint="eastAsia"/>
                      <w:b w:val="0"/>
                      <w:color w:val="000000"/>
                      <w:highlight w:val="none"/>
                    </w:rPr>
                    <w:t>/</w:t>
                  </w:r>
                  <w:r>
                    <w:rPr>
                      <w:rFonts w:hint="eastAsia"/>
                      <w:b w:val="0"/>
                      <w:color w:val="000000"/>
                      <w:highlight w:val="none"/>
                      <w:lang w:val="en-US" w:eastAsia="zh-CN"/>
                    </w:rPr>
                    <w:t>5.242</w:t>
                  </w:r>
                  <w:r>
                    <w:rPr>
                      <w:rFonts w:hint="eastAsia"/>
                      <w:b w:val="0"/>
                      <w:color w:val="000000"/>
                      <w:highlight w:val="none"/>
                    </w:rPr>
                    <w:t>km</w:t>
                  </w:r>
                </w:p>
              </w:tc>
            </w:tr>
            <w:tr w14:paraId="1C9A5C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8" w:hRule="atLeast"/>
                <w:jc w:val="center"/>
              </w:trPr>
              <w:tc>
                <w:tcPr>
                  <w:tcW w:w="2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D62778">
                  <w:pPr>
                    <w:jc w:val="center"/>
                    <w:rPr>
                      <w:rFonts w:hint="default" w:ascii="Times New Roman" w:hAnsi="Times New Roman" w:eastAsia="宋体" w:cs="Times New Roman"/>
                      <w:b w:val="0"/>
                      <w:color w:val="000000"/>
                      <w:spacing w:val="-10"/>
                      <w:sz w:val="21"/>
                      <w:szCs w:val="21"/>
                      <w:highlight w:val="none"/>
                      <w:lang w:val="en-US" w:eastAsia="zh-CN"/>
                    </w:rPr>
                  </w:pPr>
                  <w:r>
                    <w:rPr>
                      <w:rFonts w:hint="default" w:ascii="Times New Roman" w:hAnsi="Times New Roman" w:eastAsia="宋体" w:cs="Times New Roman"/>
                      <w:b w:val="0"/>
                      <w:color w:val="000000"/>
                      <w:spacing w:val="-10"/>
                      <w:sz w:val="21"/>
                      <w:szCs w:val="21"/>
                      <w:highlight w:val="none"/>
                      <w:lang w:val="en-US" w:eastAsia="zh-CN"/>
                    </w:rPr>
                    <w:t>5#</w:t>
                  </w:r>
                </w:p>
              </w:tc>
              <w:tc>
                <w:tcPr>
                  <w:tcW w:w="18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DD0764">
                  <w:pPr>
                    <w:keepNext w:val="0"/>
                    <w:keepLines w:val="0"/>
                    <w:widowControl/>
                    <w:suppressLineNumbers w:val="0"/>
                    <w:jc w:val="center"/>
                    <w:rPr>
                      <w:rFonts w:hint="default" w:ascii="Times New Roman" w:hAnsi="Times New Roman" w:eastAsia="宋体" w:cs="Times New Roman"/>
                      <w:b w:val="0"/>
                      <w:color w:val="000000"/>
                      <w:spacing w:val="-6"/>
                      <w:sz w:val="21"/>
                      <w:szCs w:val="21"/>
                      <w:highlight w:val="none"/>
                      <w:lang w:val="en-US" w:eastAsia="zh-CN"/>
                    </w:rPr>
                  </w:pPr>
                  <w:r>
                    <w:rPr>
                      <w:rFonts w:hint="default" w:ascii="Times New Roman" w:hAnsi="Times New Roman" w:eastAsia="宋体" w:cs="Times New Roman"/>
                      <w:b w:val="0"/>
                      <w:color w:val="000000"/>
                      <w:spacing w:val="0"/>
                      <w:kern w:val="0"/>
                      <w:sz w:val="21"/>
                      <w:szCs w:val="21"/>
                      <w:highlight w:val="none"/>
                      <w:lang w:val="en-US" w:eastAsia="zh-CN"/>
                    </w:rPr>
                    <w:t>上库石油石化园上游地下水井</w:t>
                  </w:r>
                </w:p>
              </w:tc>
              <w:tc>
                <w:tcPr>
                  <w:tcW w:w="6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C12BF1">
                  <w:pPr>
                    <w:jc w:val="center"/>
                    <w:rPr>
                      <w:rFonts w:hint="default" w:ascii="Times New Roman" w:hAnsi="Times New Roman" w:eastAsia="宋体" w:cs="Times New Roman"/>
                      <w:b w:val="0"/>
                      <w:color w:val="000000"/>
                      <w:spacing w:val="-10"/>
                      <w:sz w:val="21"/>
                      <w:szCs w:val="21"/>
                      <w:highlight w:val="none"/>
                      <w:lang w:val="en-US" w:eastAsia="zh-CN"/>
                    </w:rPr>
                  </w:pPr>
                  <w:r>
                    <w:rPr>
                      <w:rFonts w:hint="default" w:ascii="Times New Roman" w:hAnsi="Times New Roman" w:eastAsia="宋体" w:cs="Times New Roman"/>
                      <w:b w:val="0"/>
                      <w:color w:val="000000"/>
                      <w:spacing w:val="-10"/>
                      <w:sz w:val="21"/>
                      <w:szCs w:val="21"/>
                      <w:highlight w:val="none"/>
                      <w:lang w:val="en-US" w:eastAsia="zh-CN"/>
                    </w:rPr>
                    <w:t>40</w:t>
                  </w:r>
                </w:p>
              </w:tc>
              <w:tc>
                <w:tcPr>
                  <w:tcW w:w="666" w:type="pct"/>
                  <w:vMerge w:val="continue"/>
                  <w:tcBorders>
                    <w:left w:val="single" w:color="000000" w:sz="4" w:space="0"/>
                    <w:bottom w:val="single" w:color="000000" w:sz="4" w:space="0"/>
                    <w:right w:val="single" w:color="000000" w:sz="4" w:space="0"/>
                  </w:tcBorders>
                  <w:shd w:val="clear" w:color="auto" w:fill="FFFFFF"/>
                  <w:noWrap w:val="0"/>
                  <w:vAlign w:val="center"/>
                </w:tcPr>
                <w:p w14:paraId="3FFFD05C">
                  <w:pPr>
                    <w:jc w:val="center"/>
                    <w:rPr>
                      <w:b w:val="0"/>
                      <w:color w:val="000000"/>
                      <w:spacing w:val="-10"/>
                      <w:highlight w:val="none"/>
                    </w:rPr>
                  </w:pPr>
                </w:p>
              </w:tc>
              <w:tc>
                <w:tcPr>
                  <w:tcW w:w="784" w:type="pct"/>
                  <w:vMerge w:val="continue"/>
                  <w:tcBorders>
                    <w:left w:val="single" w:color="000000" w:sz="4" w:space="0"/>
                    <w:bottom w:val="single" w:color="000000" w:sz="4" w:space="0"/>
                    <w:right w:val="single" w:color="000000" w:sz="4" w:space="0"/>
                  </w:tcBorders>
                  <w:shd w:val="clear" w:color="auto" w:fill="FFFFFF"/>
                  <w:noWrap w:val="0"/>
                  <w:vAlign w:val="center"/>
                </w:tcPr>
                <w:p w14:paraId="6A51FDBF">
                  <w:pPr>
                    <w:jc w:val="center"/>
                    <w:rPr>
                      <w:b w:val="0"/>
                      <w:color w:val="000000"/>
                      <w:spacing w:val="-10"/>
                      <w:highlight w:val="none"/>
                    </w:rPr>
                  </w:pPr>
                </w:p>
              </w:tc>
              <w:tc>
                <w:tcPr>
                  <w:tcW w:w="7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C5BE2F">
                  <w:pPr>
                    <w:jc w:val="center"/>
                    <w:rPr>
                      <w:b w:val="0"/>
                      <w:color w:val="000000"/>
                      <w:spacing w:val="-10"/>
                      <w:highlight w:val="none"/>
                    </w:rPr>
                  </w:pPr>
                  <w:r>
                    <w:rPr>
                      <w:rFonts w:hint="eastAsia"/>
                      <w:b w:val="0"/>
                      <w:color w:val="000000"/>
                      <w:highlight w:val="none"/>
                      <w:lang w:val="en-US" w:eastAsia="zh-CN"/>
                    </w:rPr>
                    <w:t>NW</w:t>
                  </w:r>
                  <w:r>
                    <w:rPr>
                      <w:rFonts w:hint="eastAsia"/>
                      <w:b w:val="0"/>
                      <w:color w:val="000000"/>
                      <w:highlight w:val="none"/>
                    </w:rPr>
                    <w:t>/</w:t>
                  </w:r>
                  <w:r>
                    <w:rPr>
                      <w:rFonts w:hint="eastAsia"/>
                      <w:b w:val="0"/>
                      <w:color w:val="000000"/>
                      <w:highlight w:val="none"/>
                      <w:lang w:val="en-US" w:eastAsia="zh-CN"/>
                    </w:rPr>
                    <w:t>2.5</w:t>
                  </w:r>
                  <w:r>
                    <w:rPr>
                      <w:rFonts w:hint="eastAsia"/>
                      <w:b w:val="0"/>
                      <w:color w:val="000000"/>
                      <w:highlight w:val="none"/>
                    </w:rPr>
                    <w:t>km</w:t>
                  </w:r>
                </w:p>
              </w:tc>
            </w:tr>
            <w:tr w14:paraId="5D2034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8" w:hRule="atLeast"/>
                <w:jc w:val="center"/>
              </w:trPr>
              <w:tc>
                <w:tcPr>
                  <w:tcW w:w="214" w:type="pct"/>
                  <w:tcBorders>
                    <w:top w:val="single" w:color="000000" w:sz="4" w:space="0"/>
                    <w:left w:val="single" w:color="000000" w:sz="4" w:space="0"/>
                    <w:right w:val="single" w:color="000000" w:sz="4" w:space="0"/>
                  </w:tcBorders>
                  <w:shd w:val="clear" w:color="auto" w:fill="FFFFFF"/>
                  <w:noWrap w:val="0"/>
                  <w:vAlign w:val="center"/>
                </w:tcPr>
                <w:p w14:paraId="6F22607C">
                  <w:pPr>
                    <w:jc w:val="center"/>
                    <w:rPr>
                      <w:rFonts w:hint="default" w:ascii="Times New Roman" w:hAnsi="Times New Roman" w:eastAsia="宋体" w:cs="Times New Roman"/>
                      <w:b w:val="0"/>
                      <w:color w:val="000000"/>
                      <w:spacing w:val="-10"/>
                      <w:sz w:val="21"/>
                      <w:szCs w:val="21"/>
                      <w:highlight w:val="none"/>
                      <w:lang w:val="en-US" w:eastAsia="zh-CN"/>
                    </w:rPr>
                  </w:pPr>
                  <w:r>
                    <w:rPr>
                      <w:rFonts w:hint="eastAsia" w:cs="Times New Roman"/>
                      <w:b w:val="0"/>
                      <w:color w:val="000000"/>
                      <w:spacing w:val="-10"/>
                      <w:sz w:val="21"/>
                      <w:szCs w:val="21"/>
                      <w:highlight w:val="none"/>
                      <w:lang w:val="en-US" w:eastAsia="zh-CN"/>
                    </w:rPr>
                    <w:t>监测因子</w:t>
                  </w:r>
                </w:p>
              </w:tc>
              <w:tc>
                <w:tcPr>
                  <w:tcW w:w="4785" w:type="pct"/>
                  <w:gridSpan w:val="5"/>
                  <w:tcBorders>
                    <w:top w:val="single" w:color="000000" w:sz="4" w:space="0"/>
                    <w:left w:val="single" w:color="000000" w:sz="4" w:space="0"/>
                    <w:right w:val="single" w:color="000000" w:sz="4" w:space="0"/>
                  </w:tcBorders>
                  <w:shd w:val="clear" w:color="auto" w:fill="FFFFFF"/>
                  <w:noWrap w:val="0"/>
                  <w:vAlign w:val="center"/>
                </w:tcPr>
                <w:p w14:paraId="190B4F40">
                  <w:pPr>
                    <w:jc w:val="center"/>
                    <w:rPr>
                      <w:rFonts w:hint="eastAsia"/>
                      <w:b w:val="0"/>
                      <w:color w:val="000000"/>
                      <w:highlight w:val="none"/>
                      <w:lang w:val="en-US" w:eastAsia="zh-CN"/>
                    </w:rPr>
                  </w:pPr>
                  <w:r>
                    <w:rPr>
                      <w:rFonts w:hint="eastAsia"/>
                      <w:b w:val="0"/>
                      <w:color w:val="000000"/>
                      <w:highlight w:val="none"/>
                    </w:rPr>
                    <w:t>pH、总硬度、溶解性总固体、硫酸盐、氯化物、铁、锰、铜、锌、铝、挥发酚、氨氮、硫化物、总大肠菌群、硝酸盐</w:t>
                  </w:r>
                  <w:r>
                    <w:rPr>
                      <w:rFonts w:hint="eastAsia"/>
                      <w:b w:val="0"/>
                      <w:color w:val="000000"/>
                      <w:highlight w:val="none"/>
                      <w:lang w:val="en-US" w:eastAsia="zh-CN"/>
                    </w:rPr>
                    <w:t>氮</w:t>
                  </w:r>
                  <w:r>
                    <w:rPr>
                      <w:rFonts w:hint="eastAsia"/>
                      <w:b w:val="0"/>
                      <w:color w:val="000000"/>
                      <w:highlight w:val="none"/>
                    </w:rPr>
                    <w:t>、亚硝酸盐</w:t>
                  </w:r>
                  <w:r>
                    <w:rPr>
                      <w:rFonts w:hint="eastAsia"/>
                      <w:b w:val="0"/>
                      <w:color w:val="000000"/>
                      <w:highlight w:val="none"/>
                      <w:lang w:val="en-US" w:eastAsia="zh-CN"/>
                    </w:rPr>
                    <w:t>氮</w:t>
                  </w:r>
                  <w:r>
                    <w:rPr>
                      <w:rFonts w:hint="eastAsia"/>
                      <w:b w:val="0"/>
                      <w:color w:val="000000"/>
                      <w:highlight w:val="none"/>
                    </w:rPr>
                    <w:t>、氟化物、氰化物、</w:t>
                  </w:r>
                  <w:r>
                    <w:rPr>
                      <w:rFonts w:hint="eastAsia"/>
                      <w:b w:val="0"/>
                      <w:color w:val="000000"/>
                      <w:highlight w:val="none"/>
                      <w:lang w:val="en-US" w:eastAsia="zh-CN"/>
                    </w:rPr>
                    <w:t>汞、</w:t>
                  </w:r>
                  <w:r>
                    <w:rPr>
                      <w:rFonts w:hint="eastAsia"/>
                      <w:b w:val="0"/>
                      <w:color w:val="000000"/>
                      <w:highlight w:val="none"/>
                    </w:rPr>
                    <w:t>砷</w:t>
                  </w:r>
                  <w:r>
                    <w:rPr>
                      <w:rFonts w:hint="eastAsia"/>
                      <w:b w:val="0"/>
                      <w:color w:val="000000"/>
                      <w:highlight w:val="none"/>
                      <w:lang w:eastAsia="zh-CN"/>
                    </w:rPr>
                    <w:t>、</w:t>
                  </w:r>
                  <w:r>
                    <w:rPr>
                      <w:rFonts w:hint="eastAsia"/>
                      <w:b w:val="0"/>
                      <w:color w:val="000000"/>
                      <w:highlight w:val="none"/>
                    </w:rPr>
                    <w:t>硒、镉、六价铬、铅</w:t>
                  </w:r>
                  <w:r>
                    <w:rPr>
                      <w:rFonts w:hint="eastAsia"/>
                      <w:b w:val="0"/>
                      <w:color w:val="000000"/>
                      <w:highlight w:val="none"/>
                      <w:lang w:eastAsia="zh-CN"/>
                    </w:rPr>
                    <w:t>、</w:t>
                  </w:r>
                  <w:r>
                    <w:rPr>
                      <w:rFonts w:hint="eastAsia"/>
                      <w:b w:val="0"/>
                      <w:color w:val="000000"/>
                      <w:highlight w:val="none"/>
                    </w:rPr>
                    <w:t>苯、甲苯、二甲苯、共计2</w:t>
                  </w:r>
                  <w:r>
                    <w:rPr>
                      <w:rFonts w:hint="eastAsia"/>
                      <w:b w:val="0"/>
                      <w:color w:val="000000"/>
                      <w:highlight w:val="none"/>
                      <w:lang w:val="en-US" w:eastAsia="zh-CN"/>
                    </w:rPr>
                    <w:t>7</w:t>
                  </w:r>
                  <w:r>
                    <w:rPr>
                      <w:rFonts w:hint="eastAsia"/>
                      <w:b w:val="0"/>
                      <w:color w:val="000000"/>
                      <w:highlight w:val="none"/>
                    </w:rPr>
                    <w:t>项常规指标以及K</w:t>
                  </w:r>
                  <w:r>
                    <w:rPr>
                      <w:rFonts w:hint="eastAsia"/>
                      <w:b w:val="0"/>
                      <w:color w:val="000000"/>
                      <w:highlight w:val="none"/>
                      <w:vertAlign w:val="superscript"/>
                    </w:rPr>
                    <w:t>+</w:t>
                  </w:r>
                  <w:r>
                    <w:rPr>
                      <w:rFonts w:hint="eastAsia"/>
                      <w:b w:val="0"/>
                      <w:color w:val="000000"/>
                      <w:highlight w:val="none"/>
                    </w:rPr>
                    <w:t>、Na</w:t>
                  </w:r>
                  <w:r>
                    <w:rPr>
                      <w:rFonts w:hint="eastAsia"/>
                      <w:b w:val="0"/>
                      <w:color w:val="000000"/>
                      <w:highlight w:val="none"/>
                      <w:vertAlign w:val="superscript"/>
                    </w:rPr>
                    <w:t>+</w:t>
                  </w:r>
                  <w:r>
                    <w:rPr>
                      <w:rFonts w:hint="eastAsia"/>
                      <w:b w:val="0"/>
                      <w:color w:val="000000"/>
                      <w:highlight w:val="none"/>
                    </w:rPr>
                    <w:t>、Ca</w:t>
                  </w:r>
                  <w:r>
                    <w:rPr>
                      <w:rFonts w:hint="eastAsia"/>
                      <w:b w:val="0"/>
                      <w:color w:val="000000"/>
                      <w:sz w:val="21"/>
                      <w:highlight w:val="none"/>
                      <w:vertAlign w:val="superscript"/>
                    </w:rPr>
                    <w:t>2+</w:t>
                  </w:r>
                  <w:r>
                    <w:rPr>
                      <w:rFonts w:hint="eastAsia"/>
                      <w:b w:val="0"/>
                      <w:color w:val="000000"/>
                      <w:highlight w:val="none"/>
                    </w:rPr>
                    <w:t>、Mg</w:t>
                  </w:r>
                  <w:r>
                    <w:rPr>
                      <w:rFonts w:hint="eastAsia"/>
                      <w:b w:val="0"/>
                      <w:color w:val="000000"/>
                      <w:sz w:val="21"/>
                      <w:highlight w:val="none"/>
                      <w:vertAlign w:val="superscript"/>
                    </w:rPr>
                    <w:t>2+</w:t>
                  </w:r>
                  <w:r>
                    <w:rPr>
                      <w:rFonts w:hint="eastAsia"/>
                      <w:b w:val="0"/>
                      <w:color w:val="000000"/>
                      <w:highlight w:val="none"/>
                    </w:rPr>
                    <w:t>、CO</w:t>
                  </w:r>
                  <w:r>
                    <w:rPr>
                      <w:rFonts w:hint="eastAsia"/>
                      <w:b w:val="0"/>
                      <w:color w:val="000000"/>
                      <w:sz w:val="21"/>
                      <w:highlight w:val="none"/>
                      <w:vertAlign w:val="superscript"/>
                      <w:lang w:val="en-US" w:eastAsia="zh-CN"/>
                    </w:rPr>
                    <w:t>2</w:t>
                  </w:r>
                  <w:r>
                    <w:rPr>
                      <w:rFonts w:hint="eastAsia"/>
                      <w:b w:val="0"/>
                      <w:color w:val="000000"/>
                      <w:sz w:val="21"/>
                      <w:highlight w:val="none"/>
                      <w:vertAlign w:val="superscript"/>
                    </w:rPr>
                    <w:t>-</w:t>
                  </w:r>
                  <w:r>
                    <w:rPr>
                      <w:rFonts w:hint="eastAsia"/>
                      <w:b w:val="0"/>
                      <w:color w:val="000000"/>
                      <w:highlight w:val="none"/>
                    </w:rPr>
                    <w:t>、HCO</w:t>
                  </w:r>
                  <w:r>
                    <w:rPr>
                      <w:b w:val="0"/>
                      <w:color w:val="000000"/>
                      <w:highlight w:val="none"/>
                      <w:vertAlign w:val="superscript"/>
                    </w:rPr>
                    <w:t>3</w:t>
                  </w:r>
                  <w:r>
                    <w:rPr>
                      <w:rFonts w:hint="eastAsia"/>
                      <w:b w:val="0"/>
                      <w:color w:val="000000"/>
                      <w:sz w:val="21"/>
                      <w:highlight w:val="none"/>
                      <w:vertAlign w:val="superscript"/>
                    </w:rPr>
                    <w:t>-</w:t>
                  </w:r>
                  <w:r>
                    <w:rPr>
                      <w:rFonts w:hint="eastAsia"/>
                      <w:b w:val="0"/>
                      <w:color w:val="000000"/>
                      <w:highlight w:val="none"/>
                    </w:rPr>
                    <w:t>、Cl</w:t>
                  </w:r>
                  <w:r>
                    <w:rPr>
                      <w:rFonts w:hint="eastAsia"/>
                      <w:b w:val="0"/>
                      <w:color w:val="000000"/>
                      <w:sz w:val="21"/>
                      <w:highlight w:val="none"/>
                      <w:vertAlign w:val="superscript"/>
                    </w:rPr>
                    <w:t>-</w:t>
                  </w:r>
                  <w:r>
                    <w:rPr>
                      <w:rFonts w:hint="eastAsia"/>
                      <w:b w:val="0"/>
                      <w:color w:val="000000"/>
                      <w:highlight w:val="none"/>
                    </w:rPr>
                    <w:t>、SO</w:t>
                  </w:r>
                  <w:r>
                    <w:rPr>
                      <w:rFonts w:hint="eastAsia"/>
                      <w:b w:val="0"/>
                      <w:color w:val="000000"/>
                      <w:sz w:val="21"/>
                      <w:highlight w:val="none"/>
                      <w:vertAlign w:val="subscript"/>
                    </w:rPr>
                    <w:t>4</w:t>
                  </w:r>
                  <w:r>
                    <w:rPr>
                      <w:rFonts w:hint="eastAsia"/>
                      <w:b w:val="0"/>
                      <w:color w:val="000000"/>
                      <w:sz w:val="21"/>
                      <w:highlight w:val="none"/>
                      <w:vertAlign w:val="superscript"/>
                    </w:rPr>
                    <w:t>2-</w:t>
                  </w:r>
                </w:p>
              </w:tc>
            </w:tr>
          </w:tbl>
          <w:p w14:paraId="291F21A0">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cs="Times New Roman"/>
                <w:color w:val="000000"/>
                <w:sz w:val="24"/>
                <w:szCs w:val="24"/>
                <w:highlight w:val="none"/>
              </w:rPr>
            </w:pPr>
            <w:r>
              <w:rPr>
                <w:rFonts w:hint="eastAsia" w:cs="Times New Roman"/>
                <w:color w:val="000000"/>
                <w:sz w:val="24"/>
                <w:szCs w:val="24"/>
                <w:highlight w:val="none"/>
                <w:lang w:val="en-US" w:eastAsia="zh-CN"/>
              </w:rPr>
              <w:t>2、</w:t>
            </w:r>
            <w:r>
              <w:rPr>
                <w:rFonts w:hint="default" w:ascii="Times New Roman" w:hAnsi="Times New Roman" w:cs="Times New Roman"/>
                <w:color w:val="000000"/>
                <w:sz w:val="24"/>
                <w:szCs w:val="24"/>
                <w:highlight w:val="none"/>
              </w:rPr>
              <w:t>采样及监测分析方法</w:t>
            </w:r>
          </w:p>
          <w:p w14:paraId="5E9527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采样按照《环境影响评价技术导则地下水环境》（HJ610-2016）执行，监测分析方法按照《地下水环境监测技术规范》（HJ164-2020）及《地下水质量标准》（GB/T14848-2017</w:t>
            </w:r>
            <w:r>
              <w:rPr>
                <w:rFonts w:hint="eastAsia" w:cs="Times New Roman"/>
                <w:color w:val="000000"/>
                <w:sz w:val="24"/>
                <w:szCs w:val="24"/>
                <w:highlight w:val="none"/>
                <w:lang w:eastAsia="zh-CN"/>
              </w:rPr>
              <w:t>）</w:t>
            </w:r>
            <w:r>
              <w:rPr>
                <w:rFonts w:hint="default" w:ascii="Times New Roman" w:hAnsi="Times New Roman" w:cs="Times New Roman"/>
                <w:color w:val="000000"/>
                <w:sz w:val="24"/>
                <w:szCs w:val="24"/>
                <w:highlight w:val="none"/>
              </w:rPr>
              <w:t>中有关标准和规范执行。</w:t>
            </w:r>
          </w:p>
          <w:p w14:paraId="744AD5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sz w:val="24"/>
                <w:szCs w:val="24"/>
                <w:highlight w:val="none"/>
              </w:rPr>
            </w:pPr>
            <w:r>
              <w:rPr>
                <w:rFonts w:hint="eastAsia" w:cs="Times New Roman"/>
                <w:color w:val="000000"/>
                <w:sz w:val="24"/>
                <w:szCs w:val="24"/>
                <w:highlight w:val="none"/>
                <w:lang w:val="en-US" w:eastAsia="zh-CN"/>
              </w:rPr>
              <w:t>3、</w:t>
            </w:r>
            <w:r>
              <w:rPr>
                <w:rFonts w:hint="default" w:ascii="Times New Roman" w:hAnsi="Times New Roman" w:cs="Times New Roman"/>
                <w:color w:val="000000"/>
                <w:sz w:val="24"/>
                <w:szCs w:val="24"/>
                <w:highlight w:val="none"/>
              </w:rPr>
              <w:t>评价方法</w:t>
            </w:r>
          </w:p>
          <w:p w14:paraId="11F7B7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地下水水质现状评价采用标准指数法。</w:t>
            </w:r>
          </w:p>
          <w:p w14:paraId="6859D5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sz w:val="24"/>
                <w:szCs w:val="24"/>
                <w:highlight w:val="none"/>
              </w:rPr>
            </w:pPr>
            <w:r>
              <w:rPr>
                <w:rFonts w:hint="eastAsia" w:cs="Times New Roman"/>
                <w:color w:val="000000"/>
                <w:sz w:val="24"/>
                <w:szCs w:val="24"/>
                <w:highlight w:val="none"/>
                <w:lang w:eastAsia="zh-CN"/>
              </w:rPr>
              <w:t>（</w:t>
            </w:r>
            <w:r>
              <w:rPr>
                <w:rFonts w:hint="eastAsia" w:cs="Times New Roman"/>
                <w:color w:val="000000"/>
                <w:sz w:val="24"/>
                <w:szCs w:val="24"/>
                <w:highlight w:val="none"/>
                <w:lang w:val="en-US" w:eastAsia="zh-CN"/>
              </w:rPr>
              <w:t>1</w:t>
            </w:r>
            <w:r>
              <w:rPr>
                <w:rFonts w:hint="eastAsia" w:cs="Times New Roman"/>
                <w:color w:val="000000"/>
                <w:sz w:val="24"/>
                <w:szCs w:val="24"/>
                <w:highlight w:val="none"/>
                <w:lang w:eastAsia="zh-CN"/>
              </w:rPr>
              <w:t>）</w:t>
            </w:r>
            <w:r>
              <w:rPr>
                <w:rFonts w:hint="default" w:ascii="Times New Roman" w:hAnsi="Times New Roman" w:cs="Times New Roman"/>
                <w:color w:val="000000"/>
                <w:sz w:val="24"/>
                <w:szCs w:val="24"/>
                <w:highlight w:val="none"/>
              </w:rPr>
              <w:t>对于评价标准为定值的水质因子，其标准指数计算公式：</w:t>
            </w:r>
          </w:p>
          <w:p w14:paraId="34C510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P</w:t>
            </w:r>
            <w:r>
              <w:rPr>
                <w:rFonts w:hint="default" w:ascii="Times New Roman" w:hAnsi="Times New Roman" w:cs="Times New Roman"/>
                <w:color w:val="000000"/>
                <w:sz w:val="24"/>
                <w:szCs w:val="24"/>
                <w:highlight w:val="none"/>
                <w:vertAlign w:val="subscript"/>
              </w:rPr>
              <w:t>i</w:t>
            </w:r>
            <w:r>
              <w:rPr>
                <w:rFonts w:hint="default" w:ascii="Times New Roman" w:hAnsi="Times New Roman" w:cs="Times New Roman"/>
                <w:color w:val="000000"/>
                <w:sz w:val="24"/>
                <w:szCs w:val="24"/>
                <w:highlight w:val="none"/>
              </w:rPr>
              <w:t>=C</w:t>
            </w:r>
            <w:r>
              <w:rPr>
                <w:rFonts w:hint="default" w:ascii="Times New Roman" w:hAnsi="Times New Roman" w:cs="Times New Roman"/>
                <w:color w:val="000000"/>
                <w:sz w:val="24"/>
                <w:szCs w:val="24"/>
                <w:highlight w:val="none"/>
                <w:vertAlign w:val="subscript"/>
              </w:rPr>
              <w:t>i</w:t>
            </w:r>
            <w:r>
              <w:rPr>
                <w:rFonts w:hint="default" w:ascii="Times New Roman" w:hAnsi="Times New Roman" w:cs="Times New Roman"/>
                <w:color w:val="000000"/>
                <w:sz w:val="24"/>
                <w:szCs w:val="24"/>
                <w:highlight w:val="none"/>
              </w:rPr>
              <w:t>/C</w:t>
            </w:r>
            <w:r>
              <w:rPr>
                <w:rFonts w:hint="default" w:ascii="Times New Roman" w:hAnsi="Times New Roman" w:cs="Times New Roman"/>
                <w:color w:val="000000"/>
                <w:sz w:val="24"/>
                <w:szCs w:val="24"/>
                <w:highlight w:val="none"/>
                <w:vertAlign w:val="subscript"/>
              </w:rPr>
              <w:t>oi</w:t>
            </w:r>
            <w:r>
              <w:rPr>
                <w:rFonts w:hint="default" w:ascii="Times New Roman" w:hAnsi="Times New Roman" w:cs="Times New Roman"/>
                <w:color w:val="000000"/>
                <w:sz w:val="24"/>
                <w:szCs w:val="24"/>
                <w:highlight w:val="none"/>
              </w:rPr>
              <w:t>×100%</w:t>
            </w:r>
          </w:p>
          <w:p w14:paraId="35E120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式中：P</w:t>
            </w:r>
            <w:r>
              <w:rPr>
                <w:rFonts w:hint="default" w:ascii="Times New Roman" w:hAnsi="Times New Roman" w:cs="Times New Roman"/>
                <w:color w:val="000000"/>
                <w:sz w:val="24"/>
                <w:szCs w:val="24"/>
                <w:highlight w:val="none"/>
                <w:vertAlign w:val="subscript"/>
              </w:rPr>
              <w:t>i</w:t>
            </w:r>
            <w:r>
              <w:rPr>
                <w:rFonts w:hint="default" w:ascii="Times New Roman" w:hAnsi="Times New Roman" w:cs="Times New Roman"/>
                <w:color w:val="000000"/>
                <w:sz w:val="24"/>
                <w:szCs w:val="24"/>
                <w:highlight w:val="none"/>
              </w:rPr>
              <w:t>——第i个水质因子的标准指数，无量纲；</w:t>
            </w:r>
          </w:p>
          <w:p w14:paraId="46649BFA">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C</w:t>
            </w:r>
            <w:r>
              <w:rPr>
                <w:rFonts w:hint="default" w:ascii="Times New Roman" w:hAnsi="Times New Roman" w:cs="Times New Roman"/>
                <w:color w:val="000000"/>
                <w:sz w:val="24"/>
                <w:szCs w:val="24"/>
                <w:highlight w:val="none"/>
                <w:vertAlign w:val="subscript"/>
              </w:rPr>
              <w:t>i</w:t>
            </w:r>
            <w:r>
              <w:rPr>
                <w:rFonts w:hint="default" w:ascii="Times New Roman" w:hAnsi="Times New Roman" w:cs="Times New Roman"/>
                <w:color w:val="000000"/>
                <w:sz w:val="24"/>
                <w:szCs w:val="24"/>
                <w:highlight w:val="none"/>
              </w:rPr>
              <w:t>——第i个水质因子的监测浓度，mg/L；</w:t>
            </w:r>
          </w:p>
          <w:p w14:paraId="3B03C60C">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C</w:t>
            </w:r>
            <w:r>
              <w:rPr>
                <w:rFonts w:hint="default" w:ascii="Times New Roman" w:hAnsi="Times New Roman" w:cs="Times New Roman"/>
                <w:color w:val="000000"/>
                <w:sz w:val="24"/>
                <w:szCs w:val="24"/>
                <w:highlight w:val="none"/>
                <w:vertAlign w:val="subscript"/>
              </w:rPr>
              <w:t>si</w:t>
            </w:r>
            <w:r>
              <w:rPr>
                <w:rFonts w:hint="default" w:ascii="Times New Roman" w:hAnsi="Times New Roman" w:cs="Times New Roman"/>
                <w:color w:val="000000"/>
                <w:sz w:val="24"/>
                <w:szCs w:val="24"/>
                <w:highlight w:val="none"/>
              </w:rPr>
              <w:t>——第i个水质因子的标准浓度，mg/L。</w:t>
            </w:r>
          </w:p>
          <w:p w14:paraId="5B7285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sz w:val="24"/>
                <w:szCs w:val="24"/>
                <w:highlight w:val="none"/>
              </w:rPr>
            </w:pPr>
            <w:r>
              <w:rPr>
                <w:rFonts w:hint="eastAsia" w:cs="Times New Roman"/>
                <w:color w:val="000000"/>
                <w:sz w:val="24"/>
                <w:szCs w:val="24"/>
                <w:highlight w:val="none"/>
                <w:lang w:eastAsia="zh-CN"/>
              </w:rPr>
              <w:t>（</w:t>
            </w:r>
            <w:r>
              <w:rPr>
                <w:rFonts w:hint="eastAsia" w:cs="Times New Roman"/>
                <w:color w:val="000000"/>
                <w:sz w:val="24"/>
                <w:szCs w:val="24"/>
                <w:highlight w:val="none"/>
                <w:lang w:val="en-US" w:eastAsia="zh-CN"/>
              </w:rPr>
              <w:t>2</w:t>
            </w:r>
            <w:r>
              <w:rPr>
                <w:rFonts w:hint="eastAsia" w:cs="Times New Roman"/>
                <w:color w:val="000000"/>
                <w:sz w:val="24"/>
                <w:szCs w:val="24"/>
                <w:highlight w:val="none"/>
                <w:lang w:eastAsia="zh-CN"/>
              </w:rPr>
              <w:t>）</w:t>
            </w:r>
            <w:r>
              <w:rPr>
                <w:rFonts w:hint="default" w:ascii="Times New Roman" w:hAnsi="Times New Roman" w:cs="Times New Roman"/>
                <w:color w:val="000000"/>
                <w:sz w:val="24"/>
                <w:szCs w:val="24"/>
                <w:highlight w:val="none"/>
              </w:rPr>
              <w:t>对于评价标准为区间值的水质因子</w:t>
            </w:r>
            <w:r>
              <w:rPr>
                <w:rFonts w:hint="eastAsia" w:cs="Times New Roman"/>
                <w:color w:val="000000"/>
                <w:sz w:val="24"/>
                <w:szCs w:val="24"/>
                <w:highlight w:val="none"/>
                <w:lang w:eastAsia="zh-CN"/>
              </w:rPr>
              <w:t>（</w:t>
            </w:r>
            <w:r>
              <w:rPr>
                <w:rFonts w:hint="default" w:ascii="Times New Roman" w:hAnsi="Times New Roman" w:cs="Times New Roman"/>
                <w:color w:val="000000"/>
                <w:sz w:val="24"/>
                <w:szCs w:val="24"/>
                <w:highlight w:val="none"/>
              </w:rPr>
              <w:t>如pH值</w:t>
            </w:r>
            <w:r>
              <w:rPr>
                <w:rFonts w:hint="eastAsia" w:cs="Times New Roman"/>
                <w:color w:val="000000"/>
                <w:sz w:val="24"/>
                <w:szCs w:val="24"/>
                <w:highlight w:val="none"/>
                <w:lang w:eastAsia="zh-CN"/>
              </w:rPr>
              <w:t>）</w:t>
            </w:r>
            <w:r>
              <w:rPr>
                <w:rFonts w:hint="default" w:ascii="Times New Roman" w:hAnsi="Times New Roman" w:cs="Times New Roman"/>
                <w:color w:val="000000"/>
                <w:sz w:val="24"/>
                <w:szCs w:val="24"/>
                <w:highlight w:val="none"/>
              </w:rPr>
              <w:t>，其标准指数计算公式：</w:t>
            </w:r>
          </w:p>
          <w:p w14:paraId="532F7B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pH</w:t>
            </w:r>
            <w:r>
              <w:rPr>
                <w:rFonts w:hint="default" w:ascii="Times New Roman" w:hAnsi="Times New Roman" w:cs="Times New Roman"/>
                <w:color w:val="000000"/>
                <w:sz w:val="24"/>
                <w:szCs w:val="24"/>
                <w:highlight w:val="none"/>
                <w:vertAlign w:val="subscript"/>
              </w:rPr>
              <w:t>i</w:t>
            </w:r>
            <w:r>
              <w:rPr>
                <w:rFonts w:hint="default" w:ascii="Times New Roman" w:hAnsi="Times New Roman" w:cs="Times New Roman"/>
                <w:color w:val="000000"/>
                <w:sz w:val="24"/>
                <w:szCs w:val="24"/>
                <w:highlight w:val="none"/>
              </w:rPr>
              <w:t>≤7.0时；P</w:t>
            </w:r>
            <w:r>
              <w:rPr>
                <w:rFonts w:hint="default" w:ascii="Times New Roman" w:hAnsi="Times New Roman" w:cs="Times New Roman"/>
                <w:color w:val="000000"/>
                <w:sz w:val="24"/>
                <w:szCs w:val="24"/>
                <w:highlight w:val="none"/>
                <w:vertAlign w:val="subscript"/>
              </w:rPr>
              <w:t>pH</w:t>
            </w:r>
            <w:r>
              <w:rPr>
                <w:rFonts w:hint="default" w:ascii="Times New Roman" w:hAnsi="Times New Roman" w:cs="Times New Roman"/>
                <w:color w:val="000000"/>
                <w:sz w:val="24"/>
                <w:szCs w:val="24"/>
                <w:highlight w:val="none"/>
              </w:rPr>
              <w:t>=（7.0-pH</w:t>
            </w:r>
            <w:r>
              <w:rPr>
                <w:rFonts w:hint="default" w:ascii="Times New Roman" w:hAnsi="Times New Roman" w:cs="Times New Roman"/>
                <w:color w:val="000000"/>
                <w:sz w:val="24"/>
                <w:szCs w:val="24"/>
                <w:highlight w:val="none"/>
                <w:vertAlign w:val="subscript"/>
              </w:rPr>
              <w:t>i</w:t>
            </w:r>
            <w:r>
              <w:rPr>
                <w:rFonts w:hint="default" w:ascii="Times New Roman" w:hAnsi="Times New Roman" w:cs="Times New Roman"/>
                <w:color w:val="000000"/>
                <w:sz w:val="24"/>
                <w:szCs w:val="24"/>
                <w:highlight w:val="none"/>
              </w:rPr>
              <w:t>）/（7.0-pH</w:t>
            </w:r>
            <w:r>
              <w:rPr>
                <w:rFonts w:hint="default" w:ascii="Times New Roman" w:hAnsi="Times New Roman" w:cs="Times New Roman"/>
                <w:color w:val="000000"/>
                <w:sz w:val="24"/>
                <w:szCs w:val="24"/>
                <w:highlight w:val="none"/>
                <w:vertAlign w:val="subscript"/>
              </w:rPr>
              <w:t>sd</w:t>
            </w:r>
            <w:r>
              <w:rPr>
                <w:rFonts w:hint="default" w:ascii="Times New Roman" w:hAnsi="Times New Roman" w:cs="Times New Roman"/>
                <w:color w:val="000000"/>
                <w:sz w:val="24"/>
                <w:szCs w:val="24"/>
                <w:highlight w:val="none"/>
              </w:rPr>
              <w:t>）</w:t>
            </w:r>
          </w:p>
          <w:p w14:paraId="5C331DF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pH</w:t>
            </w:r>
            <w:r>
              <w:rPr>
                <w:rFonts w:hint="default" w:ascii="Times New Roman" w:hAnsi="Times New Roman" w:cs="Times New Roman"/>
                <w:color w:val="000000"/>
                <w:sz w:val="24"/>
                <w:szCs w:val="24"/>
                <w:highlight w:val="none"/>
                <w:vertAlign w:val="subscript"/>
              </w:rPr>
              <w:t>i</w:t>
            </w:r>
            <w:r>
              <w:rPr>
                <w:rFonts w:hint="default" w:ascii="Times New Roman" w:hAnsi="Times New Roman" w:cs="Times New Roman"/>
                <w:color w:val="000000"/>
                <w:sz w:val="24"/>
                <w:szCs w:val="24"/>
                <w:highlight w:val="none"/>
              </w:rPr>
              <w:t>&gt;7.0时；P</w:t>
            </w:r>
            <w:r>
              <w:rPr>
                <w:rFonts w:hint="default" w:ascii="Times New Roman" w:hAnsi="Times New Roman" w:cs="Times New Roman"/>
                <w:color w:val="000000"/>
                <w:sz w:val="24"/>
                <w:szCs w:val="24"/>
                <w:highlight w:val="none"/>
                <w:vertAlign w:val="subscript"/>
              </w:rPr>
              <w:t>pH</w:t>
            </w:r>
            <w:r>
              <w:rPr>
                <w:rFonts w:hint="default" w:ascii="Times New Roman" w:hAnsi="Times New Roman" w:cs="Times New Roman"/>
                <w:color w:val="000000"/>
                <w:sz w:val="24"/>
                <w:szCs w:val="24"/>
                <w:highlight w:val="none"/>
              </w:rPr>
              <w:t>=（pH</w:t>
            </w:r>
            <w:r>
              <w:rPr>
                <w:rFonts w:hint="default" w:ascii="Times New Roman" w:hAnsi="Times New Roman" w:cs="Times New Roman"/>
                <w:color w:val="000000"/>
                <w:sz w:val="24"/>
                <w:szCs w:val="24"/>
                <w:highlight w:val="none"/>
                <w:vertAlign w:val="subscript"/>
              </w:rPr>
              <w:t>i</w:t>
            </w:r>
            <w:r>
              <w:rPr>
                <w:rFonts w:hint="default" w:ascii="Times New Roman" w:hAnsi="Times New Roman" w:cs="Times New Roman"/>
                <w:color w:val="000000"/>
                <w:sz w:val="24"/>
                <w:szCs w:val="24"/>
                <w:highlight w:val="none"/>
              </w:rPr>
              <w:t>-7.0）/（pH</w:t>
            </w:r>
            <w:r>
              <w:rPr>
                <w:rFonts w:hint="default" w:ascii="Times New Roman" w:hAnsi="Times New Roman" w:cs="Times New Roman"/>
                <w:color w:val="000000"/>
                <w:sz w:val="24"/>
                <w:szCs w:val="24"/>
                <w:highlight w:val="none"/>
                <w:vertAlign w:val="subscript"/>
              </w:rPr>
              <w:t>su</w:t>
            </w:r>
            <w:r>
              <w:rPr>
                <w:rFonts w:hint="default" w:ascii="Times New Roman" w:hAnsi="Times New Roman" w:cs="Times New Roman"/>
                <w:color w:val="000000"/>
                <w:sz w:val="24"/>
                <w:szCs w:val="24"/>
                <w:highlight w:val="none"/>
              </w:rPr>
              <w:t>-7.0）</w:t>
            </w:r>
          </w:p>
          <w:p w14:paraId="6A45F7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式中：P</w:t>
            </w:r>
            <w:r>
              <w:rPr>
                <w:rFonts w:hint="default" w:ascii="Times New Roman" w:hAnsi="Times New Roman" w:cs="Times New Roman"/>
                <w:color w:val="000000"/>
                <w:sz w:val="24"/>
                <w:szCs w:val="24"/>
                <w:highlight w:val="none"/>
                <w:vertAlign w:val="subscript"/>
              </w:rPr>
              <w:t>pH</w:t>
            </w:r>
            <w:r>
              <w:rPr>
                <w:rFonts w:hint="default" w:ascii="Times New Roman" w:hAnsi="Times New Roman" w:cs="Times New Roman"/>
                <w:color w:val="000000"/>
                <w:sz w:val="24"/>
                <w:szCs w:val="24"/>
                <w:highlight w:val="none"/>
              </w:rPr>
              <w:t>—i监测点的pH评价指数；</w:t>
            </w:r>
          </w:p>
          <w:p w14:paraId="3FD316E0">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pH</w:t>
            </w:r>
            <w:r>
              <w:rPr>
                <w:rFonts w:hint="default" w:ascii="Times New Roman" w:hAnsi="Times New Roman" w:cs="Times New Roman"/>
                <w:color w:val="000000"/>
                <w:sz w:val="24"/>
                <w:szCs w:val="24"/>
                <w:highlight w:val="none"/>
                <w:vertAlign w:val="subscript"/>
              </w:rPr>
              <w:t>i</w:t>
            </w:r>
            <w:r>
              <w:rPr>
                <w:rFonts w:hint="default" w:ascii="Times New Roman" w:hAnsi="Times New Roman" w:cs="Times New Roman"/>
                <w:color w:val="000000"/>
                <w:sz w:val="24"/>
                <w:szCs w:val="24"/>
                <w:highlight w:val="none"/>
              </w:rPr>
              <w:t>—i监测点的水样pH监测值；</w:t>
            </w:r>
          </w:p>
          <w:p w14:paraId="2A0E9B2B">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pH</w:t>
            </w:r>
            <w:r>
              <w:rPr>
                <w:rFonts w:hint="default" w:ascii="Times New Roman" w:hAnsi="Times New Roman" w:cs="Times New Roman"/>
                <w:color w:val="000000"/>
                <w:sz w:val="24"/>
                <w:szCs w:val="24"/>
                <w:highlight w:val="none"/>
                <w:vertAlign w:val="subscript"/>
              </w:rPr>
              <w:t>sd</w:t>
            </w:r>
            <w:r>
              <w:rPr>
                <w:rFonts w:hint="default" w:ascii="Times New Roman" w:hAnsi="Times New Roman" w:cs="Times New Roman"/>
                <w:color w:val="000000"/>
                <w:sz w:val="24"/>
                <w:szCs w:val="24"/>
                <w:highlight w:val="none"/>
              </w:rPr>
              <w:t>—评价标准值的下限值；</w:t>
            </w:r>
          </w:p>
          <w:p w14:paraId="07414606">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pH</w:t>
            </w:r>
            <w:r>
              <w:rPr>
                <w:rFonts w:hint="default" w:ascii="Times New Roman" w:hAnsi="Times New Roman" w:cs="Times New Roman"/>
                <w:color w:val="000000"/>
                <w:sz w:val="24"/>
                <w:szCs w:val="24"/>
                <w:highlight w:val="none"/>
                <w:vertAlign w:val="subscript"/>
              </w:rPr>
              <w:t>su</w:t>
            </w:r>
            <w:r>
              <w:rPr>
                <w:rFonts w:hint="default" w:ascii="Times New Roman" w:hAnsi="Times New Roman" w:cs="Times New Roman"/>
                <w:color w:val="000000"/>
                <w:sz w:val="24"/>
                <w:szCs w:val="24"/>
                <w:highlight w:val="none"/>
              </w:rPr>
              <w:t>—评价标准值的上限值。</w:t>
            </w:r>
          </w:p>
          <w:p w14:paraId="30C167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sz w:val="24"/>
                <w:szCs w:val="24"/>
                <w:highlight w:val="none"/>
              </w:rPr>
            </w:pPr>
            <w:r>
              <w:rPr>
                <w:rFonts w:hint="eastAsia" w:cs="Times New Roman"/>
                <w:color w:val="000000"/>
                <w:sz w:val="24"/>
                <w:szCs w:val="24"/>
                <w:highlight w:val="none"/>
                <w:lang w:val="en-US" w:eastAsia="zh-CN"/>
              </w:rPr>
              <w:t>4、</w:t>
            </w:r>
            <w:r>
              <w:rPr>
                <w:rFonts w:hint="default" w:ascii="Times New Roman" w:hAnsi="Times New Roman" w:cs="Times New Roman"/>
                <w:color w:val="000000"/>
                <w:sz w:val="24"/>
                <w:szCs w:val="24"/>
                <w:highlight w:val="none"/>
              </w:rPr>
              <w:t>评价标准</w:t>
            </w:r>
          </w:p>
          <w:p w14:paraId="2A6E88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评价区地下水环境功能区划为Ⅲ类，水质现状评价选用《地下水质量标准》（GB/T14848-2017）中的Ⅲ类标准。</w:t>
            </w:r>
          </w:p>
          <w:p w14:paraId="2CB535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sz w:val="24"/>
                <w:szCs w:val="24"/>
                <w:highlight w:val="none"/>
                <w:lang w:eastAsia="zh-CN"/>
              </w:rPr>
            </w:pPr>
            <w:r>
              <w:rPr>
                <w:rFonts w:hint="eastAsia" w:cs="Times New Roman"/>
                <w:color w:val="000000"/>
                <w:sz w:val="24"/>
                <w:szCs w:val="24"/>
                <w:highlight w:val="none"/>
                <w:lang w:val="en-US" w:eastAsia="zh-CN"/>
              </w:rPr>
              <w:t>5、</w:t>
            </w:r>
            <w:r>
              <w:rPr>
                <w:rFonts w:hint="default" w:ascii="Times New Roman" w:hAnsi="Times New Roman" w:cs="Times New Roman"/>
                <w:color w:val="000000"/>
                <w:sz w:val="24"/>
                <w:szCs w:val="24"/>
                <w:highlight w:val="none"/>
              </w:rPr>
              <w:t>监测结果</w:t>
            </w:r>
          </w:p>
          <w:p w14:paraId="098DE5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00"/>
                <w:sz w:val="24"/>
                <w:szCs w:val="24"/>
                <w:highlight w:val="none"/>
                <w:lang w:eastAsia="zh-CN"/>
              </w:rPr>
            </w:pPr>
            <w:r>
              <w:rPr>
                <w:rFonts w:hint="default" w:ascii="Times New Roman" w:hAnsi="Times New Roman" w:eastAsia="宋体" w:cs="Times New Roman"/>
                <w:color w:val="000000"/>
                <w:sz w:val="24"/>
                <w:szCs w:val="24"/>
                <w:highlight w:val="none"/>
              </w:rPr>
              <w:t>监测结果见表3</w:t>
            </w:r>
            <w:r>
              <w:rPr>
                <w:rFonts w:hint="eastAsia" w:cs="Times New Roman"/>
                <w:color w:val="000000"/>
                <w:sz w:val="24"/>
                <w:szCs w:val="24"/>
                <w:highlight w:val="none"/>
                <w:lang w:val="en-US" w:eastAsia="zh-CN"/>
              </w:rPr>
              <w:t>-5</w:t>
            </w:r>
            <w:r>
              <w:rPr>
                <w:rFonts w:hint="eastAsia" w:cs="Times New Roman"/>
                <w:color w:val="000000"/>
                <w:sz w:val="24"/>
                <w:szCs w:val="24"/>
                <w:highlight w:val="none"/>
                <w:lang w:eastAsia="zh-CN"/>
              </w:rPr>
              <w:t>：</w:t>
            </w:r>
          </w:p>
          <w:p w14:paraId="1247F2A4">
            <w:pPr>
              <w:pStyle w:val="23"/>
              <w:bidi w:val="0"/>
            </w:pPr>
          </w:p>
          <w:p w14:paraId="754FE352">
            <w:pPr>
              <w:pStyle w:val="23"/>
              <w:bidi w:val="0"/>
            </w:pPr>
          </w:p>
          <w:p w14:paraId="4660FD3F">
            <w:pPr>
              <w:pStyle w:val="23"/>
              <w:bidi w:val="0"/>
            </w:pPr>
          </w:p>
          <w:p w14:paraId="074CE0D4">
            <w:pPr>
              <w:pStyle w:val="23"/>
              <w:bidi w:val="0"/>
            </w:pPr>
          </w:p>
          <w:p w14:paraId="63DDE185">
            <w:pPr>
              <w:pStyle w:val="23"/>
              <w:bidi w:val="0"/>
            </w:pPr>
          </w:p>
          <w:p w14:paraId="390BCFA9">
            <w:pPr>
              <w:pStyle w:val="23"/>
              <w:bidi w:val="0"/>
            </w:pPr>
          </w:p>
          <w:p w14:paraId="7CC75B82">
            <w:pPr>
              <w:pStyle w:val="23"/>
              <w:bidi w:val="0"/>
              <w:rPr>
                <w:rFonts w:hint="eastAsia"/>
                <w:lang w:eastAsia="zh-CN"/>
              </w:rPr>
            </w:pPr>
            <w:r>
              <w:t>表</w:t>
            </w:r>
            <w:r>
              <w:fldChar w:fldCharType="begin"/>
            </w:r>
            <w:r>
              <w:instrText xml:space="preserve"> STYLEREF 1 \s \* ARABIC </w:instrText>
            </w:r>
            <w:r>
              <w:fldChar w:fldCharType="separate"/>
            </w:r>
            <w:r>
              <w:t>3</w:t>
            </w:r>
            <w:r>
              <w:fldChar w:fldCharType="end"/>
            </w:r>
            <w:r>
              <w:rPr>
                <w:rFonts w:hint="eastAsia"/>
                <w:lang w:val="en-US" w:eastAsia="zh-CN"/>
              </w:rPr>
              <w:t>-5</w:t>
            </w:r>
            <w:r>
              <w:rPr>
                <w:rFonts w:hint="eastAsia"/>
                <w:lang w:eastAsia="zh-CN"/>
              </w:rPr>
              <w:t>地下水现状监测结果（</w:t>
            </w:r>
            <w:r>
              <w:rPr>
                <w:rFonts w:hint="eastAsia"/>
                <w:lang w:val="en-US" w:eastAsia="zh-CN"/>
              </w:rPr>
              <w:t>2025年7月3日</w:t>
            </w:r>
            <w:r>
              <w:rPr>
                <w:rFonts w:hint="eastAsia"/>
                <w:lang w:eastAsia="zh-CN"/>
              </w:rPr>
              <w:t>）</w:t>
            </w:r>
          </w:p>
          <w:tbl>
            <w:tblPr>
              <w:tblStyle w:val="15"/>
              <w:tblW w:w="4976"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862"/>
              <w:gridCol w:w="536"/>
              <w:gridCol w:w="1336"/>
              <w:gridCol w:w="1336"/>
              <w:gridCol w:w="1154"/>
              <w:gridCol w:w="1224"/>
              <w:gridCol w:w="1138"/>
              <w:gridCol w:w="766"/>
            </w:tblGrid>
            <w:tr w14:paraId="20B528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vMerge w:val="restart"/>
                  <w:tcBorders>
                    <w:top w:val="single" w:color="000000" w:sz="4" w:space="0"/>
                    <w:left w:val="single" w:color="000000" w:sz="4" w:space="0"/>
                    <w:tl2br w:val="nil"/>
                    <w:tr2bl w:val="nil"/>
                  </w:tcBorders>
                  <w:shd w:val="clear" w:color="auto" w:fill="FFFFFF"/>
                  <w:noWrap w:val="0"/>
                  <w:vAlign w:val="center"/>
                </w:tcPr>
                <w:p w14:paraId="41594BD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序号</w:t>
                  </w:r>
                </w:p>
              </w:tc>
              <w:tc>
                <w:tcPr>
                  <w:tcW w:w="1886" w:type="dxa"/>
                  <w:gridSpan w:val="2"/>
                  <w:vMerge w:val="restart"/>
                  <w:tcBorders>
                    <w:top w:val="single" w:color="000000" w:sz="4" w:space="0"/>
                    <w:tl2br w:val="nil"/>
                    <w:tr2bl w:val="nil"/>
                  </w:tcBorders>
                  <w:shd w:val="clear" w:color="auto" w:fill="FFFFFF"/>
                  <w:noWrap w:val="0"/>
                  <w:vAlign w:val="center"/>
                </w:tcPr>
                <w:p w14:paraId="11CF0DC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检测项目</w:t>
                  </w:r>
                </w:p>
              </w:tc>
              <w:tc>
                <w:tcPr>
                  <w:tcW w:w="1337" w:type="dxa"/>
                  <w:vMerge w:val="restart"/>
                  <w:tcBorders>
                    <w:top w:val="single" w:color="000000" w:sz="4" w:space="0"/>
                    <w:tl2br w:val="nil"/>
                    <w:tr2bl w:val="nil"/>
                  </w:tcBorders>
                  <w:shd w:val="clear" w:color="auto" w:fill="FFFFFF"/>
                  <w:noWrap w:val="0"/>
                  <w:vAlign w:val="center"/>
                </w:tcPr>
                <w:p w14:paraId="4643B7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单位</w:t>
                  </w:r>
                </w:p>
              </w:tc>
              <w:tc>
                <w:tcPr>
                  <w:tcW w:w="3519" w:type="dxa"/>
                  <w:gridSpan w:val="3"/>
                  <w:tcBorders>
                    <w:top w:val="single" w:color="000000" w:sz="4" w:space="0"/>
                    <w:tl2br w:val="nil"/>
                    <w:tr2bl w:val="nil"/>
                  </w:tcBorders>
                  <w:shd w:val="clear" w:color="auto" w:fill="FFFFFF"/>
                  <w:noWrap w:val="0"/>
                  <w:vAlign w:val="center"/>
                </w:tcPr>
                <w:p w14:paraId="57210F56">
                  <w:pPr>
                    <w:keepNext w:val="0"/>
                    <w:keepLines w:val="0"/>
                    <w:widowControl/>
                    <w:suppressLineNumbers w:val="0"/>
                    <w:jc w:val="center"/>
                    <w:textAlignment w:val="cente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检测结果</w:t>
                  </w:r>
                </w:p>
              </w:tc>
              <w:tc>
                <w:tcPr>
                  <w:tcW w:w="768" w:type="dxa"/>
                  <w:vMerge w:val="restart"/>
                  <w:tcBorders>
                    <w:top w:val="single" w:color="000000" w:sz="4" w:space="0"/>
                    <w:right w:val="single" w:color="000000" w:sz="4" w:space="0"/>
                    <w:tl2br w:val="nil"/>
                    <w:tr2bl w:val="nil"/>
                  </w:tcBorders>
                  <w:shd w:val="clear" w:color="auto" w:fill="FFFFFF"/>
                  <w:noWrap w:val="0"/>
                  <w:vAlign w:val="center"/>
                </w:tcPr>
                <w:p w14:paraId="1A3DAA27">
                  <w:pPr>
                    <w:keepNext w:val="0"/>
                    <w:keepLines w:val="0"/>
                    <w:widowControl/>
                    <w:suppressLineNumbers w:val="0"/>
                    <w:jc w:val="center"/>
                    <w:textAlignment w:val="cente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标准</w:t>
                  </w:r>
                </w:p>
              </w:tc>
            </w:tr>
            <w:tr w14:paraId="62B1C0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vMerge w:val="continue"/>
                  <w:tcBorders>
                    <w:left w:val="single" w:color="000000" w:sz="4" w:space="0"/>
                    <w:tl2br w:val="nil"/>
                    <w:tr2bl w:val="nil"/>
                  </w:tcBorders>
                  <w:shd w:val="clear" w:color="auto" w:fill="FFFFFF"/>
                  <w:noWrap w:val="0"/>
                  <w:vAlign w:val="center"/>
                </w:tcPr>
                <w:p w14:paraId="2275A3A2">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c>
                <w:tcPr>
                  <w:tcW w:w="1886" w:type="dxa"/>
                  <w:gridSpan w:val="2"/>
                  <w:vMerge w:val="continue"/>
                  <w:tcBorders>
                    <w:tl2br w:val="nil"/>
                    <w:tr2bl w:val="nil"/>
                  </w:tcBorders>
                  <w:shd w:val="clear" w:color="auto" w:fill="FFFFFF"/>
                  <w:noWrap w:val="0"/>
                  <w:vAlign w:val="center"/>
                </w:tcPr>
                <w:p w14:paraId="22C6D681">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c>
                <w:tcPr>
                  <w:tcW w:w="1337" w:type="dxa"/>
                  <w:vMerge w:val="continue"/>
                  <w:tcBorders>
                    <w:tl2br w:val="nil"/>
                    <w:tr2bl w:val="nil"/>
                  </w:tcBorders>
                  <w:shd w:val="clear" w:color="auto" w:fill="FFFFFF"/>
                  <w:noWrap w:val="0"/>
                  <w:vAlign w:val="center"/>
                </w:tcPr>
                <w:p w14:paraId="55FC32EF">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c>
                <w:tcPr>
                  <w:tcW w:w="1154" w:type="dxa"/>
                  <w:tcBorders>
                    <w:tl2br w:val="nil"/>
                    <w:tr2bl w:val="nil"/>
                  </w:tcBorders>
                  <w:shd w:val="clear" w:color="auto" w:fill="FFFFFF"/>
                  <w:noWrap w:val="0"/>
                  <w:vAlign w:val="center"/>
                </w:tcPr>
                <w:p w14:paraId="4B3AE6C4">
                  <w:pPr>
                    <w:keepNext w:val="0"/>
                    <w:keepLines w:val="0"/>
                    <w:widowControl/>
                    <w:suppressLineNumbers w:val="0"/>
                    <w:jc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color w:val="000000"/>
                      <w:spacing w:val="17"/>
                      <w:kern w:val="0"/>
                      <w:sz w:val="21"/>
                      <w:szCs w:val="21"/>
                      <w:highlight w:val="none"/>
                      <w:lang w:val="en-US" w:eastAsia="zh-CN" w:bidi="ar"/>
                    </w:rPr>
                    <w:t>1#</w:t>
                  </w:r>
                  <w:r>
                    <w:rPr>
                      <w:rFonts w:hint="default" w:ascii="Times New Roman" w:hAnsi="Times New Roman" w:eastAsia="宋体" w:cs="Times New Roman"/>
                      <w:b w:val="0"/>
                      <w:color w:val="000000"/>
                      <w:spacing w:val="17"/>
                      <w:sz w:val="21"/>
                      <w:szCs w:val="21"/>
                      <w:highlight w:val="none"/>
                      <w:lang w:val="en-US" w:eastAsia="zh-CN"/>
                    </w:rPr>
                    <w:t>上库大道南侧水井</w:t>
                  </w:r>
                </w:p>
              </w:tc>
              <w:tc>
                <w:tcPr>
                  <w:tcW w:w="1225" w:type="dxa"/>
                  <w:tcBorders>
                    <w:tl2br w:val="nil"/>
                    <w:tr2bl w:val="nil"/>
                  </w:tcBorders>
                  <w:shd w:val="clear" w:color="auto" w:fill="FFFFFF"/>
                  <w:noWrap w:val="0"/>
                  <w:vAlign w:val="center"/>
                </w:tcPr>
                <w:p w14:paraId="376452D7">
                  <w:pPr>
                    <w:keepNext w:val="0"/>
                    <w:keepLines w:val="0"/>
                    <w:widowControl/>
                    <w:suppressLineNumbers w:val="0"/>
                    <w:jc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2#</w:t>
                  </w:r>
                  <w:r>
                    <w:rPr>
                      <w:rFonts w:hint="default" w:ascii="Times New Roman" w:hAnsi="Times New Roman" w:eastAsia="宋体" w:cs="Times New Roman"/>
                      <w:b w:val="0"/>
                      <w:color w:val="000000"/>
                      <w:kern w:val="0"/>
                      <w:sz w:val="21"/>
                      <w:szCs w:val="21"/>
                      <w:highlight w:val="none"/>
                      <w:lang w:val="en-US" w:eastAsia="zh-CN"/>
                    </w:rPr>
                    <w:t>上库石油石化园上游地下水井</w:t>
                  </w:r>
                </w:p>
              </w:tc>
              <w:tc>
                <w:tcPr>
                  <w:tcW w:w="1140" w:type="dxa"/>
                  <w:tcBorders>
                    <w:tl2br w:val="nil"/>
                    <w:tr2bl w:val="nil"/>
                  </w:tcBorders>
                  <w:shd w:val="clear" w:color="auto" w:fill="FFFFFF"/>
                  <w:noWrap w:val="0"/>
                  <w:vAlign w:val="center"/>
                </w:tcPr>
                <w:p w14:paraId="22557E9D">
                  <w:pPr>
                    <w:keepNext w:val="0"/>
                    <w:keepLines w:val="0"/>
                    <w:widowControl/>
                    <w:suppressLineNumbers w:val="0"/>
                    <w:jc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spacing w:val="-6"/>
                      <w:kern w:val="0"/>
                      <w:position w:val="0"/>
                      <w:sz w:val="21"/>
                      <w:szCs w:val="21"/>
                      <w:highlight w:val="none"/>
                      <w:lang w:val="en-US" w:eastAsia="zh-CN"/>
                    </w:rPr>
                    <w:t>3#上库石油石化园内地下水井</w:t>
                  </w:r>
                </w:p>
              </w:tc>
              <w:tc>
                <w:tcPr>
                  <w:tcW w:w="768" w:type="dxa"/>
                  <w:vMerge w:val="continue"/>
                  <w:tcBorders>
                    <w:right w:val="single" w:color="000000" w:sz="4" w:space="0"/>
                    <w:tl2br w:val="nil"/>
                    <w:tr2bl w:val="nil"/>
                  </w:tcBorders>
                  <w:shd w:val="clear" w:color="auto" w:fill="FFFFFF"/>
                  <w:noWrap w:val="0"/>
                  <w:vAlign w:val="center"/>
                </w:tcPr>
                <w:p w14:paraId="253B823F">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r>
            <w:tr w14:paraId="0A7E0B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14C65FF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w:t>
                  </w:r>
                </w:p>
              </w:tc>
              <w:tc>
                <w:tcPr>
                  <w:tcW w:w="1886" w:type="dxa"/>
                  <w:gridSpan w:val="2"/>
                  <w:tcBorders>
                    <w:tl2br w:val="nil"/>
                    <w:tr2bl w:val="nil"/>
                  </w:tcBorders>
                  <w:shd w:val="clear" w:color="auto" w:fill="FFFFFF"/>
                  <w:noWrap w:val="0"/>
                  <w:vAlign w:val="center"/>
                </w:tcPr>
                <w:p w14:paraId="196CE8A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pH值</w:t>
                  </w:r>
                </w:p>
              </w:tc>
              <w:tc>
                <w:tcPr>
                  <w:tcW w:w="1337" w:type="dxa"/>
                  <w:tcBorders>
                    <w:tl2br w:val="nil"/>
                    <w:tr2bl w:val="nil"/>
                  </w:tcBorders>
                  <w:shd w:val="clear" w:color="auto" w:fill="FFFFFF"/>
                  <w:noWrap w:val="0"/>
                  <w:vAlign w:val="center"/>
                </w:tcPr>
                <w:p w14:paraId="786B2B0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无量纲</w:t>
                  </w:r>
                </w:p>
              </w:tc>
              <w:tc>
                <w:tcPr>
                  <w:tcW w:w="1154" w:type="dxa"/>
                  <w:tcBorders>
                    <w:tl2br w:val="nil"/>
                    <w:tr2bl w:val="nil"/>
                  </w:tcBorders>
                  <w:shd w:val="clear" w:color="auto" w:fill="FFFFFF"/>
                  <w:noWrap w:val="0"/>
                  <w:vAlign w:val="center"/>
                </w:tcPr>
                <w:p w14:paraId="4A5F8D6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8.1</w:t>
                  </w:r>
                </w:p>
              </w:tc>
              <w:tc>
                <w:tcPr>
                  <w:tcW w:w="1225" w:type="dxa"/>
                  <w:tcBorders>
                    <w:tl2br w:val="nil"/>
                    <w:tr2bl w:val="nil"/>
                  </w:tcBorders>
                  <w:shd w:val="clear" w:color="auto" w:fill="FFFFFF"/>
                  <w:noWrap w:val="0"/>
                  <w:vAlign w:val="center"/>
                </w:tcPr>
                <w:p w14:paraId="07702A39">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8.2</w:t>
                  </w:r>
                </w:p>
              </w:tc>
              <w:tc>
                <w:tcPr>
                  <w:tcW w:w="1140" w:type="dxa"/>
                  <w:tcBorders>
                    <w:tl2br w:val="nil"/>
                    <w:tr2bl w:val="nil"/>
                  </w:tcBorders>
                  <w:shd w:val="clear" w:color="auto" w:fill="FFFFFF"/>
                  <w:noWrap w:val="0"/>
                  <w:vAlign w:val="center"/>
                </w:tcPr>
                <w:p w14:paraId="2362F227">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7.6</w:t>
                  </w:r>
                </w:p>
              </w:tc>
              <w:tc>
                <w:tcPr>
                  <w:tcW w:w="768" w:type="dxa"/>
                  <w:tcBorders>
                    <w:right w:val="single" w:color="000000" w:sz="4" w:space="0"/>
                    <w:tl2br w:val="nil"/>
                    <w:tr2bl w:val="nil"/>
                  </w:tcBorders>
                  <w:shd w:val="clear" w:color="auto" w:fill="FFFFFF"/>
                  <w:noWrap w:val="0"/>
                  <w:vAlign w:val="center"/>
                </w:tcPr>
                <w:p w14:paraId="6E5624E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6.5～8.5</w:t>
                  </w:r>
                </w:p>
              </w:tc>
            </w:tr>
            <w:tr w14:paraId="028793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62" w:type="dxa"/>
                  <w:tcBorders>
                    <w:left w:val="single" w:color="000000" w:sz="4" w:space="0"/>
                    <w:tl2br w:val="nil"/>
                    <w:tr2bl w:val="nil"/>
                  </w:tcBorders>
                  <w:shd w:val="clear" w:color="auto" w:fill="FFFFFF"/>
                  <w:noWrap w:val="0"/>
                  <w:vAlign w:val="center"/>
                </w:tcPr>
                <w:p w14:paraId="66AB69D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w:t>
                  </w:r>
                </w:p>
              </w:tc>
              <w:tc>
                <w:tcPr>
                  <w:tcW w:w="1886" w:type="dxa"/>
                  <w:gridSpan w:val="2"/>
                  <w:tcBorders>
                    <w:tl2br w:val="nil"/>
                    <w:tr2bl w:val="nil"/>
                  </w:tcBorders>
                  <w:shd w:val="clear" w:color="auto" w:fill="FFFFFF"/>
                  <w:noWrap w:val="0"/>
                  <w:vAlign w:val="center"/>
                </w:tcPr>
                <w:p w14:paraId="68E7BF2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总硬度</w:t>
                  </w:r>
                </w:p>
              </w:tc>
              <w:tc>
                <w:tcPr>
                  <w:tcW w:w="1337" w:type="dxa"/>
                  <w:tcBorders>
                    <w:tl2br w:val="nil"/>
                    <w:tr2bl w:val="nil"/>
                  </w:tcBorders>
                  <w:shd w:val="clear" w:color="auto" w:fill="FFFFFF"/>
                  <w:noWrap w:val="0"/>
                  <w:vAlign w:val="center"/>
                </w:tcPr>
                <w:p w14:paraId="425EEB7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18D1960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634</w:t>
                  </w:r>
                </w:p>
              </w:tc>
              <w:tc>
                <w:tcPr>
                  <w:tcW w:w="1225" w:type="dxa"/>
                  <w:tcBorders>
                    <w:tl2br w:val="nil"/>
                    <w:tr2bl w:val="nil"/>
                  </w:tcBorders>
                  <w:shd w:val="clear" w:color="auto" w:fill="FFFFFF"/>
                  <w:noWrap w:val="0"/>
                  <w:vAlign w:val="center"/>
                </w:tcPr>
                <w:p w14:paraId="22FFDD9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1.10×10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³</w:t>
                  </w:r>
                </w:p>
              </w:tc>
              <w:tc>
                <w:tcPr>
                  <w:tcW w:w="1140" w:type="dxa"/>
                  <w:tcBorders>
                    <w:tl2br w:val="nil"/>
                    <w:tr2bl w:val="nil"/>
                  </w:tcBorders>
                  <w:shd w:val="clear" w:color="auto" w:fill="FFFFFF"/>
                  <w:noWrap w:val="0"/>
                  <w:vAlign w:val="center"/>
                </w:tcPr>
                <w:p w14:paraId="7A46F9CB">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3.06×10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³</w:t>
                  </w:r>
                </w:p>
              </w:tc>
              <w:tc>
                <w:tcPr>
                  <w:tcW w:w="768" w:type="dxa"/>
                  <w:tcBorders>
                    <w:right w:val="single" w:color="000000" w:sz="4" w:space="0"/>
                    <w:tl2br w:val="nil"/>
                    <w:tr2bl w:val="nil"/>
                  </w:tcBorders>
                  <w:shd w:val="clear" w:color="auto" w:fill="FFFFFF"/>
                  <w:noWrap w:val="0"/>
                  <w:vAlign w:val="center"/>
                </w:tcPr>
                <w:p w14:paraId="3C98B65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450</w:t>
                  </w:r>
                </w:p>
              </w:tc>
            </w:tr>
            <w:tr w14:paraId="3FB7A2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4FFF425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w:t>
                  </w:r>
                </w:p>
              </w:tc>
              <w:tc>
                <w:tcPr>
                  <w:tcW w:w="1886" w:type="dxa"/>
                  <w:gridSpan w:val="2"/>
                  <w:tcBorders>
                    <w:tl2br w:val="nil"/>
                    <w:tr2bl w:val="nil"/>
                  </w:tcBorders>
                  <w:shd w:val="clear" w:color="auto" w:fill="FFFFFF"/>
                  <w:noWrap w:val="0"/>
                  <w:vAlign w:val="center"/>
                </w:tcPr>
                <w:p w14:paraId="2896F4D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溶解性总固体</w:t>
                  </w:r>
                </w:p>
              </w:tc>
              <w:tc>
                <w:tcPr>
                  <w:tcW w:w="1337" w:type="dxa"/>
                  <w:tcBorders>
                    <w:tl2br w:val="nil"/>
                    <w:tr2bl w:val="nil"/>
                  </w:tcBorders>
                  <w:shd w:val="clear" w:color="auto" w:fill="FFFFFF"/>
                  <w:noWrap w:val="0"/>
                  <w:vAlign w:val="center"/>
                </w:tcPr>
                <w:p w14:paraId="2FD9AD1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2C8C94C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1169</w:t>
                  </w:r>
                </w:p>
              </w:tc>
              <w:tc>
                <w:tcPr>
                  <w:tcW w:w="1225" w:type="dxa"/>
                  <w:tcBorders>
                    <w:tl2br w:val="nil"/>
                    <w:tr2bl w:val="nil"/>
                  </w:tcBorders>
                  <w:shd w:val="clear" w:color="auto" w:fill="FFFFFF"/>
                  <w:noWrap w:val="0"/>
                  <w:vAlign w:val="center"/>
                </w:tcPr>
                <w:p w14:paraId="2B529C1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2285</w:t>
                  </w:r>
                </w:p>
              </w:tc>
              <w:tc>
                <w:tcPr>
                  <w:tcW w:w="1140" w:type="dxa"/>
                  <w:tcBorders>
                    <w:tl2br w:val="nil"/>
                    <w:tr2bl w:val="nil"/>
                  </w:tcBorders>
                  <w:shd w:val="clear" w:color="auto" w:fill="FFFFFF"/>
                  <w:noWrap w:val="0"/>
                  <w:vAlign w:val="center"/>
                </w:tcPr>
                <w:p w14:paraId="132992AA">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6780</w:t>
                  </w:r>
                </w:p>
              </w:tc>
              <w:tc>
                <w:tcPr>
                  <w:tcW w:w="768" w:type="dxa"/>
                  <w:tcBorders>
                    <w:right w:val="single" w:color="000000" w:sz="4" w:space="0"/>
                    <w:tl2br w:val="nil"/>
                    <w:tr2bl w:val="nil"/>
                  </w:tcBorders>
                  <w:shd w:val="clear" w:color="auto" w:fill="FFFFFF"/>
                  <w:noWrap w:val="0"/>
                  <w:vAlign w:val="center"/>
                </w:tcPr>
                <w:p w14:paraId="6AE9F2B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1000</w:t>
                  </w:r>
                </w:p>
              </w:tc>
            </w:tr>
            <w:tr w14:paraId="161401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7A1E9175">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4</w:t>
                  </w:r>
                </w:p>
              </w:tc>
              <w:tc>
                <w:tcPr>
                  <w:tcW w:w="1886" w:type="dxa"/>
                  <w:gridSpan w:val="2"/>
                  <w:tcBorders>
                    <w:tl2br w:val="nil"/>
                    <w:tr2bl w:val="nil"/>
                  </w:tcBorders>
                  <w:shd w:val="clear" w:color="auto" w:fill="FFFFFF"/>
                  <w:noWrap w:val="0"/>
                  <w:vAlign w:val="center"/>
                </w:tcPr>
                <w:p w14:paraId="424201A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高锰酸盐指数（耗氧量）</w:t>
                  </w:r>
                </w:p>
              </w:tc>
              <w:tc>
                <w:tcPr>
                  <w:tcW w:w="1337" w:type="dxa"/>
                  <w:tcBorders>
                    <w:tl2br w:val="nil"/>
                    <w:tr2bl w:val="nil"/>
                  </w:tcBorders>
                  <w:shd w:val="clear" w:color="auto" w:fill="FFFFFF"/>
                  <w:noWrap w:val="0"/>
                  <w:vAlign w:val="center"/>
                </w:tcPr>
                <w:p w14:paraId="060D7D3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5DF79E3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0.9</w:t>
                  </w:r>
                </w:p>
              </w:tc>
              <w:tc>
                <w:tcPr>
                  <w:tcW w:w="1225" w:type="dxa"/>
                  <w:tcBorders>
                    <w:tl2br w:val="nil"/>
                    <w:tr2bl w:val="nil"/>
                  </w:tcBorders>
                  <w:shd w:val="clear" w:color="auto" w:fill="FFFFFF"/>
                  <w:noWrap w:val="0"/>
                  <w:vAlign w:val="center"/>
                </w:tcPr>
                <w:p w14:paraId="53D449A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1.2</w:t>
                  </w:r>
                </w:p>
              </w:tc>
              <w:tc>
                <w:tcPr>
                  <w:tcW w:w="1140" w:type="dxa"/>
                  <w:tcBorders>
                    <w:tl2br w:val="nil"/>
                    <w:tr2bl w:val="nil"/>
                  </w:tcBorders>
                  <w:shd w:val="clear" w:color="auto" w:fill="FFFFFF"/>
                  <w:noWrap w:val="0"/>
                  <w:vAlign w:val="center"/>
                </w:tcPr>
                <w:p w14:paraId="31EDDED1">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1.7</w:t>
                  </w:r>
                </w:p>
              </w:tc>
              <w:tc>
                <w:tcPr>
                  <w:tcW w:w="768" w:type="dxa"/>
                  <w:tcBorders>
                    <w:right w:val="single" w:color="000000" w:sz="4" w:space="0"/>
                    <w:tl2br w:val="nil"/>
                    <w:tr2bl w:val="nil"/>
                  </w:tcBorders>
                  <w:shd w:val="clear" w:color="auto" w:fill="FFFFFF"/>
                  <w:noWrap w:val="0"/>
                  <w:vAlign w:val="center"/>
                </w:tcPr>
                <w:p w14:paraId="4553240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3.0</w:t>
                  </w:r>
                </w:p>
              </w:tc>
            </w:tr>
            <w:tr w14:paraId="315B54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694A36C9">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5</w:t>
                  </w:r>
                </w:p>
              </w:tc>
              <w:tc>
                <w:tcPr>
                  <w:tcW w:w="1886" w:type="dxa"/>
                  <w:gridSpan w:val="2"/>
                  <w:tcBorders>
                    <w:tl2br w:val="nil"/>
                    <w:tr2bl w:val="nil"/>
                  </w:tcBorders>
                  <w:shd w:val="clear" w:color="auto" w:fill="FFFFFF"/>
                  <w:noWrap w:val="0"/>
                  <w:vAlign w:val="center"/>
                </w:tcPr>
                <w:p w14:paraId="04CED20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总大肠菌群</w:t>
                  </w:r>
                </w:p>
              </w:tc>
              <w:tc>
                <w:tcPr>
                  <w:tcW w:w="1337" w:type="dxa"/>
                  <w:tcBorders>
                    <w:tl2br w:val="nil"/>
                    <w:tr2bl w:val="nil"/>
                  </w:tcBorders>
                  <w:shd w:val="clear" w:color="auto" w:fill="FFFFFF"/>
                  <w:noWrap w:val="0"/>
                  <w:vAlign w:val="center"/>
                </w:tcPr>
                <w:p w14:paraId="69DEED9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spacing w:val="-6"/>
                      <w:kern w:val="0"/>
                      <w:sz w:val="21"/>
                      <w:szCs w:val="21"/>
                      <w:highlight w:val="none"/>
                      <w:u w:val="none"/>
                      <w:lang w:val="en-US" w:eastAsia="zh-CN" w:bidi="ar"/>
                    </w:rPr>
                    <w:t>MPN/100m</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L</w:t>
                  </w:r>
                </w:p>
              </w:tc>
              <w:tc>
                <w:tcPr>
                  <w:tcW w:w="1154" w:type="dxa"/>
                  <w:tcBorders>
                    <w:tl2br w:val="nil"/>
                    <w:tr2bl w:val="nil"/>
                  </w:tcBorders>
                  <w:shd w:val="clear" w:color="auto" w:fill="FFFFFF"/>
                  <w:noWrap w:val="0"/>
                  <w:vAlign w:val="center"/>
                </w:tcPr>
                <w:p w14:paraId="0E3A498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未检出</w:t>
                  </w:r>
                </w:p>
              </w:tc>
              <w:tc>
                <w:tcPr>
                  <w:tcW w:w="1225" w:type="dxa"/>
                  <w:tcBorders>
                    <w:tl2br w:val="nil"/>
                    <w:tr2bl w:val="nil"/>
                  </w:tcBorders>
                  <w:shd w:val="clear" w:color="auto" w:fill="FFFFFF"/>
                  <w:noWrap w:val="0"/>
                  <w:vAlign w:val="center"/>
                </w:tcPr>
                <w:p w14:paraId="540166B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未检出</w:t>
                  </w:r>
                </w:p>
              </w:tc>
              <w:tc>
                <w:tcPr>
                  <w:tcW w:w="1140" w:type="dxa"/>
                  <w:tcBorders>
                    <w:tl2br w:val="nil"/>
                    <w:tr2bl w:val="nil"/>
                  </w:tcBorders>
                  <w:shd w:val="clear" w:color="auto" w:fill="FFFFFF"/>
                  <w:noWrap w:val="0"/>
                  <w:vAlign w:val="center"/>
                </w:tcPr>
                <w:p w14:paraId="3C04BFA8">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未检出</w:t>
                  </w:r>
                </w:p>
              </w:tc>
              <w:tc>
                <w:tcPr>
                  <w:tcW w:w="768" w:type="dxa"/>
                  <w:tcBorders>
                    <w:right w:val="single" w:color="000000" w:sz="4" w:space="0"/>
                    <w:tl2br w:val="nil"/>
                    <w:tr2bl w:val="nil"/>
                  </w:tcBorders>
                  <w:shd w:val="clear" w:color="auto" w:fill="FFFFFF"/>
                  <w:noWrap w:val="0"/>
                  <w:vAlign w:val="center"/>
                </w:tcPr>
                <w:p w14:paraId="23D6A3F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w:t>
                  </w:r>
                </w:p>
              </w:tc>
            </w:tr>
            <w:tr w14:paraId="2E0B1B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1725E9F3">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6</w:t>
                  </w:r>
                </w:p>
              </w:tc>
              <w:tc>
                <w:tcPr>
                  <w:tcW w:w="1886" w:type="dxa"/>
                  <w:gridSpan w:val="2"/>
                  <w:tcBorders>
                    <w:tl2br w:val="nil"/>
                    <w:tr2bl w:val="nil"/>
                  </w:tcBorders>
                  <w:shd w:val="clear" w:color="auto" w:fill="FFFFFF"/>
                  <w:noWrap w:val="0"/>
                  <w:vAlign w:val="center"/>
                </w:tcPr>
                <w:p w14:paraId="38B4AB2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氯化物（Cl</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1337" w:type="dxa"/>
                  <w:tcBorders>
                    <w:tl2br w:val="nil"/>
                    <w:tr2bl w:val="nil"/>
                  </w:tcBorders>
                  <w:shd w:val="clear" w:color="auto" w:fill="FFFFFF"/>
                  <w:noWrap w:val="0"/>
                  <w:vAlign w:val="center"/>
                </w:tcPr>
                <w:p w14:paraId="3B72042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0B7AF92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340</w:t>
                  </w:r>
                </w:p>
              </w:tc>
              <w:tc>
                <w:tcPr>
                  <w:tcW w:w="1225" w:type="dxa"/>
                  <w:tcBorders>
                    <w:tl2br w:val="nil"/>
                    <w:tr2bl w:val="nil"/>
                  </w:tcBorders>
                  <w:shd w:val="clear" w:color="auto" w:fill="FFFFFF"/>
                  <w:noWrap w:val="0"/>
                  <w:vAlign w:val="center"/>
                </w:tcPr>
                <w:p w14:paraId="6A85F10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688</w:t>
                  </w:r>
                </w:p>
              </w:tc>
              <w:tc>
                <w:tcPr>
                  <w:tcW w:w="1140" w:type="dxa"/>
                  <w:tcBorders>
                    <w:tl2br w:val="nil"/>
                    <w:tr2bl w:val="nil"/>
                  </w:tcBorders>
                  <w:shd w:val="clear" w:color="auto" w:fill="FFFFFF"/>
                  <w:noWrap w:val="0"/>
                  <w:vAlign w:val="center"/>
                </w:tcPr>
                <w:p w14:paraId="64D3D445">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3.54×10³</w:t>
                  </w:r>
                </w:p>
              </w:tc>
              <w:tc>
                <w:tcPr>
                  <w:tcW w:w="768" w:type="dxa"/>
                  <w:tcBorders>
                    <w:right w:val="single" w:color="000000" w:sz="4" w:space="0"/>
                    <w:tl2br w:val="nil"/>
                    <w:tr2bl w:val="nil"/>
                  </w:tcBorders>
                  <w:shd w:val="clear" w:color="auto" w:fill="FFFFFF"/>
                  <w:noWrap w:val="0"/>
                  <w:vAlign w:val="center"/>
                </w:tcPr>
                <w:p w14:paraId="01D5A62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250</w:t>
                  </w:r>
                </w:p>
              </w:tc>
            </w:tr>
            <w:tr w14:paraId="2F7899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68700C05">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7</w:t>
                  </w:r>
                </w:p>
              </w:tc>
              <w:tc>
                <w:tcPr>
                  <w:tcW w:w="1886" w:type="dxa"/>
                  <w:gridSpan w:val="2"/>
                  <w:tcBorders>
                    <w:tl2br w:val="nil"/>
                    <w:tr2bl w:val="nil"/>
                  </w:tcBorders>
                  <w:shd w:val="clear" w:color="auto" w:fill="FFFFFF"/>
                  <w:noWrap w:val="0"/>
                  <w:vAlign w:val="center"/>
                </w:tcPr>
                <w:p w14:paraId="3D2855F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硫酸盐（SO</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4</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2-</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1337" w:type="dxa"/>
                  <w:tcBorders>
                    <w:tl2br w:val="nil"/>
                    <w:tr2bl w:val="nil"/>
                  </w:tcBorders>
                  <w:shd w:val="clear" w:color="auto" w:fill="FFFFFF"/>
                  <w:noWrap w:val="0"/>
                  <w:vAlign w:val="center"/>
                </w:tcPr>
                <w:p w14:paraId="1EC33A3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4421169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486</w:t>
                  </w:r>
                </w:p>
              </w:tc>
              <w:tc>
                <w:tcPr>
                  <w:tcW w:w="1225" w:type="dxa"/>
                  <w:tcBorders>
                    <w:tl2br w:val="nil"/>
                    <w:tr2bl w:val="nil"/>
                  </w:tcBorders>
                  <w:shd w:val="clear" w:color="auto" w:fill="FFFFFF"/>
                  <w:noWrap w:val="0"/>
                  <w:vAlign w:val="center"/>
                </w:tcPr>
                <w:p w14:paraId="4441E6C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926</w:t>
                  </w:r>
                </w:p>
              </w:tc>
              <w:tc>
                <w:tcPr>
                  <w:tcW w:w="1140" w:type="dxa"/>
                  <w:tcBorders>
                    <w:tl2br w:val="nil"/>
                    <w:tr2bl w:val="nil"/>
                  </w:tcBorders>
                  <w:shd w:val="clear" w:color="auto" w:fill="FFFFFF"/>
                  <w:noWrap w:val="0"/>
                  <w:vAlign w:val="center"/>
                </w:tcPr>
                <w:p w14:paraId="7D6ED02F">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1620</w:t>
                  </w:r>
                </w:p>
              </w:tc>
              <w:tc>
                <w:tcPr>
                  <w:tcW w:w="768" w:type="dxa"/>
                  <w:tcBorders>
                    <w:right w:val="single" w:color="000000" w:sz="4" w:space="0"/>
                    <w:tl2br w:val="nil"/>
                    <w:tr2bl w:val="nil"/>
                  </w:tcBorders>
                  <w:shd w:val="clear" w:color="auto" w:fill="FFFFFF"/>
                  <w:noWrap w:val="0"/>
                  <w:vAlign w:val="center"/>
                </w:tcPr>
                <w:p w14:paraId="09825B7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250</w:t>
                  </w:r>
                </w:p>
              </w:tc>
            </w:tr>
            <w:tr w14:paraId="1CBA1B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4258CBB8">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8</w:t>
                  </w:r>
                </w:p>
              </w:tc>
              <w:tc>
                <w:tcPr>
                  <w:tcW w:w="1886" w:type="dxa"/>
                  <w:gridSpan w:val="2"/>
                  <w:tcBorders>
                    <w:tl2br w:val="nil"/>
                    <w:tr2bl w:val="nil"/>
                  </w:tcBorders>
                  <w:shd w:val="clear" w:color="auto" w:fill="FFFFFF"/>
                  <w:noWrap w:val="0"/>
                  <w:vAlign w:val="center"/>
                </w:tcPr>
                <w:p w14:paraId="0433892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硝酸盐氮</w:t>
                  </w:r>
                </w:p>
              </w:tc>
              <w:tc>
                <w:tcPr>
                  <w:tcW w:w="1337" w:type="dxa"/>
                  <w:tcBorders>
                    <w:tl2br w:val="nil"/>
                    <w:tr2bl w:val="nil"/>
                  </w:tcBorders>
                  <w:shd w:val="clear" w:color="auto" w:fill="FFFFFF"/>
                  <w:noWrap w:val="0"/>
                  <w:vAlign w:val="center"/>
                </w:tcPr>
                <w:p w14:paraId="7D4AABC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4487DF5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2.44</w:t>
                  </w:r>
                </w:p>
              </w:tc>
              <w:tc>
                <w:tcPr>
                  <w:tcW w:w="1225" w:type="dxa"/>
                  <w:tcBorders>
                    <w:tl2br w:val="nil"/>
                    <w:tr2bl w:val="nil"/>
                  </w:tcBorders>
                  <w:shd w:val="clear" w:color="auto" w:fill="FFFFFF"/>
                  <w:noWrap w:val="0"/>
                  <w:vAlign w:val="center"/>
                </w:tcPr>
                <w:p w14:paraId="43A736B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7.77</w:t>
                  </w:r>
                </w:p>
              </w:tc>
              <w:tc>
                <w:tcPr>
                  <w:tcW w:w="1140" w:type="dxa"/>
                  <w:tcBorders>
                    <w:tl2br w:val="nil"/>
                    <w:tr2bl w:val="nil"/>
                  </w:tcBorders>
                  <w:shd w:val="clear" w:color="auto" w:fill="FFFFFF"/>
                  <w:noWrap w:val="0"/>
                  <w:vAlign w:val="center"/>
                </w:tcPr>
                <w:p w14:paraId="700CAF63">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7.92</w:t>
                  </w:r>
                </w:p>
              </w:tc>
              <w:tc>
                <w:tcPr>
                  <w:tcW w:w="768" w:type="dxa"/>
                  <w:tcBorders>
                    <w:right w:val="single" w:color="000000" w:sz="4" w:space="0"/>
                    <w:tl2br w:val="nil"/>
                    <w:tr2bl w:val="nil"/>
                  </w:tcBorders>
                  <w:shd w:val="clear" w:color="auto" w:fill="FFFFFF"/>
                  <w:noWrap w:val="0"/>
                  <w:vAlign w:val="center"/>
                </w:tcPr>
                <w:p w14:paraId="35C3403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20</w:t>
                  </w:r>
                </w:p>
              </w:tc>
            </w:tr>
            <w:tr w14:paraId="2D4D3C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0184C1A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9</w:t>
                  </w:r>
                </w:p>
              </w:tc>
              <w:tc>
                <w:tcPr>
                  <w:tcW w:w="1886" w:type="dxa"/>
                  <w:gridSpan w:val="2"/>
                  <w:tcBorders>
                    <w:tl2br w:val="nil"/>
                    <w:tr2bl w:val="nil"/>
                  </w:tcBorders>
                  <w:shd w:val="clear" w:color="auto" w:fill="FFFFFF"/>
                  <w:noWrap w:val="0"/>
                  <w:vAlign w:val="center"/>
                </w:tcPr>
                <w:p w14:paraId="5B0B8D1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亚硝酸盐氮</w:t>
                  </w:r>
                </w:p>
              </w:tc>
              <w:tc>
                <w:tcPr>
                  <w:tcW w:w="1337" w:type="dxa"/>
                  <w:tcBorders>
                    <w:tl2br w:val="nil"/>
                    <w:tr2bl w:val="nil"/>
                  </w:tcBorders>
                  <w:shd w:val="clear" w:color="auto" w:fill="FFFFFF"/>
                  <w:noWrap w:val="0"/>
                  <w:vAlign w:val="center"/>
                </w:tcPr>
                <w:p w14:paraId="6E5677D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2A50A57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0.005</w:t>
                  </w:r>
                </w:p>
              </w:tc>
              <w:tc>
                <w:tcPr>
                  <w:tcW w:w="1225" w:type="dxa"/>
                  <w:tcBorders>
                    <w:tl2br w:val="nil"/>
                    <w:tr2bl w:val="nil"/>
                  </w:tcBorders>
                  <w:shd w:val="clear" w:color="auto" w:fill="FFFFFF"/>
                  <w:noWrap w:val="0"/>
                  <w:vAlign w:val="center"/>
                </w:tcPr>
                <w:p w14:paraId="16A3304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0.003L</w:t>
                  </w:r>
                </w:p>
              </w:tc>
              <w:tc>
                <w:tcPr>
                  <w:tcW w:w="1140" w:type="dxa"/>
                  <w:tcBorders>
                    <w:tl2br w:val="nil"/>
                    <w:tr2bl w:val="nil"/>
                  </w:tcBorders>
                  <w:shd w:val="clear" w:color="auto" w:fill="FFFFFF"/>
                  <w:noWrap w:val="0"/>
                  <w:vAlign w:val="center"/>
                </w:tcPr>
                <w:p w14:paraId="717B57FE">
                  <w:pPr>
                    <w:keepNext w:val="0"/>
                    <w:keepLines w:val="0"/>
                    <w:widowControl/>
                    <w:suppressLineNumbers w:val="0"/>
                    <w:jc w:val="center"/>
                    <w:textAlignment w:val="top"/>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0.343</w:t>
                  </w:r>
                </w:p>
              </w:tc>
              <w:tc>
                <w:tcPr>
                  <w:tcW w:w="768" w:type="dxa"/>
                  <w:tcBorders>
                    <w:right w:val="single" w:color="000000" w:sz="4" w:space="0"/>
                    <w:tl2br w:val="nil"/>
                    <w:tr2bl w:val="nil"/>
                  </w:tcBorders>
                  <w:shd w:val="clear" w:color="auto" w:fill="FFFFFF"/>
                  <w:noWrap w:val="0"/>
                  <w:vAlign w:val="center"/>
                </w:tcPr>
                <w:p w14:paraId="06915AA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4DB72F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43A7869C">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c>
                <w:tcPr>
                  <w:tcW w:w="1886" w:type="dxa"/>
                  <w:gridSpan w:val="2"/>
                  <w:tcBorders>
                    <w:tl2br w:val="nil"/>
                    <w:tr2bl w:val="nil"/>
                  </w:tcBorders>
                  <w:shd w:val="clear" w:color="auto" w:fill="FFFFFF"/>
                  <w:noWrap w:val="0"/>
                  <w:vAlign w:val="center"/>
                </w:tcPr>
                <w:p w14:paraId="1926364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氟化物</w:t>
                  </w:r>
                </w:p>
              </w:tc>
              <w:tc>
                <w:tcPr>
                  <w:tcW w:w="1337" w:type="dxa"/>
                  <w:tcBorders>
                    <w:tl2br w:val="nil"/>
                    <w:tr2bl w:val="nil"/>
                  </w:tcBorders>
                  <w:shd w:val="clear" w:color="auto" w:fill="FFFFFF"/>
                  <w:noWrap w:val="0"/>
                  <w:vAlign w:val="center"/>
                </w:tcPr>
                <w:p w14:paraId="00B6DD7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05E4C41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0.45</w:t>
                  </w:r>
                </w:p>
              </w:tc>
              <w:tc>
                <w:tcPr>
                  <w:tcW w:w="1225" w:type="dxa"/>
                  <w:tcBorders>
                    <w:tl2br w:val="nil"/>
                    <w:tr2bl w:val="nil"/>
                  </w:tcBorders>
                  <w:shd w:val="clear" w:color="auto" w:fill="FFFFFF"/>
                  <w:noWrap w:val="0"/>
                  <w:vAlign w:val="center"/>
                </w:tcPr>
                <w:p w14:paraId="05876B5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0.28</w:t>
                  </w:r>
                </w:p>
              </w:tc>
              <w:tc>
                <w:tcPr>
                  <w:tcW w:w="1140" w:type="dxa"/>
                  <w:tcBorders>
                    <w:tl2br w:val="nil"/>
                    <w:tr2bl w:val="nil"/>
                  </w:tcBorders>
                  <w:shd w:val="clear" w:color="auto" w:fill="FFFFFF"/>
                  <w:noWrap w:val="0"/>
                  <w:vAlign w:val="center"/>
                </w:tcPr>
                <w:p w14:paraId="2F560057">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1.48</w:t>
                  </w:r>
                </w:p>
              </w:tc>
              <w:tc>
                <w:tcPr>
                  <w:tcW w:w="768" w:type="dxa"/>
                  <w:tcBorders>
                    <w:right w:val="single" w:color="000000" w:sz="4" w:space="0"/>
                    <w:tl2br w:val="nil"/>
                    <w:tr2bl w:val="nil"/>
                  </w:tcBorders>
                  <w:shd w:val="clear" w:color="auto" w:fill="FFFFFF"/>
                  <w:noWrap w:val="0"/>
                  <w:vAlign w:val="center"/>
                </w:tcPr>
                <w:p w14:paraId="28EF4A2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3F718F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008243B3">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11</w:t>
                  </w:r>
                </w:p>
              </w:tc>
              <w:tc>
                <w:tcPr>
                  <w:tcW w:w="1886" w:type="dxa"/>
                  <w:gridSpan w:val="2"/>
                  <w:tcBorders>
                    <w:tl2br w:val="nil"/>
                    <w:tr2bl w:val="nil"/>
                  </w:tcBorders>
                  <w:shd w:val="clear" w:color="auto" w:fill="FFFFFF"/>
                  <w:noWrap w:val="0"/>
                  <w:vAlign w:val="center"/>
                </w:tcPr>
                <w:p w14:paraId="1DEE23B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氨氮</w:t>
                  </w:r>
                </w:p>
              </w:tc>
              <w:tc>
                <w:tcPr>
                  <w:tcW w:w="1337" w:type="dxa"/>
                  <w:tcBorders>
                    <w:tl2br w:val="nil"/>
                    <w:tr2bl w:val="nil"/>
                  </w:tcBorders>
                  <w:shd w:val="clear" w:color="auto" w:fill="FFFFFF"/>
                  <w:noWrap w:val="0"/>
                  <w:vAlign w:val="center"/>
                </w:tcPr>
                <w:p w14:paraId="31A6FD3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3F2D4E8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0.032</w:t>
                  </w:r>
                </w:p>
              </w:tc>
              <w:tc>
                <w:tcPr>
                  <w:tcW w:w="1225" w:type="dxa"/>
                  <w:tcBorders>
                    <w:tl2br w:val="nil"/>
                    <w:tr2bl w:val="nil"/>
                  </w:tcBorders>
                  <w:shd w:val="clear" w:color="auto" w:fill="FFFFFF"/>
                  <w:noWrap w:val="0"/>
                  <w:vAlign w:val="center"/>
                </w:tcPr>
                <w:p w14:paraId="79388BF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0.140</w:t>
                  </w:r>
                </w:p>
              </w:tc>
              <w:tc>
                <w:tcPr>
                  <w:tcW w:w="1140" w:type="dxa"/>
                  <w:tcBorders>
                    <w:tl2br w:val="nil"/>
                    <w:tr2bl w:val="nil"/>
                  </w:tcBorders>
                  <w:shd w:val="clear" w:color="auto" w:fill="FFFFFF"/>
                  <w:noWrap w:val="0"/>
                  <w:vAlign w:val="center"/>
                </w:tcPr>
                <w:p w14:paraId="29A70D34">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0.025L</w:t>
                  </w:r>
                </w:p>
              </w:tc>
              <w:tc>
                <w:tcPr>
                  <w:tcW w:w="768" w:type="dxa"/>
                  <w:tcBorders>
                    <w:right w:val="single" w:color="000000" w:sz="4" w:space="0"/>
                    <w:tl2br w:val="nil"/>
                    <w:tr2bl w:val="nil"/>
                  </w:tcBorders>
                  <w:shd w:val="clear" w:color="auto" w:fill="FFFFFF"/>
                  <w:noWrap w:val="0"/>
                  <w:vAlign w:val="center"/>
                </w:tcPr>
                <w:p w14:paraId="7DFC52F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0.5</w:t>
                  </w:r>
                </w:p>
              </w:tc>
            </w:tr>
            <w:tr w14:paraId="18FDF4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44199577">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12</w:t>
                  </w:r>
                </w:p>
              </w:tc>
              <w:tc>
                <w:tcPr>
                  <w:tcW w:w="1886" w:type="dxa"/>
                  <w:gridSpan w:val="2"/>
                  <w:tcBorders>
                    <w:tl2br w:val="nil"/>
                    <w:tr2bl w:val="nil"/>
                  </w:tcBorders>
                  <w:shd w:val="clear" w:color="auto" w:fill="FFFFFF"/>
                  <w:noWrap w:val="0"/>
                  <w:vAlign w:val="center"/>
                </w:tcPr>
                <w:p w14:paraId="6ABB544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硫化物</w:t>
                  </w:r>
                </w:p>
              </w:tc>
              <w:tc>
                <w:tcPr>
                  <w:tcW w:w="1337" w:type="dxa"/>
                  <w:tcBorders>
                    <w:tl2br w:val="nil"/>
                    <w:tr2bl w:val="nil"/>
                  </w:tcBorders>
                  <w:shd w:val="clear" w:color="auto" w:fill="FFFFFF"/>
                  <w:noWrap w:val="0"/>
                  <w:vAlign w:val="center"/>
                </w:tcPr>
                <w:p w14:paraId="447E039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4E0D2B4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0.003L</w:t>
                  </w:r>
                </w:p>
              </w:tc>
              <w:tc>
                <w:tcPr>
                  <w:tcW w:w="1225" w:type="dxa"/>
                  <w:tcBorders>
                    <w:tl2br w:val="nil"/>
                    <w:tr2bl w:val="nil"/>
                  </w:tcBorders>
                  <w:shd w:val="clear" w:color="auto" w:fill="FFFFFF"/>
                  <w:noWrap w:val="0"/>
                  <w:vAlign w:val="center"/>
                </w:tcPr>
                <w:p w14:paraId="4B6204A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0.003L</w:t>
                  </w:r>
                </w:p>
              </w:tc>
              <w:tc>
                <w:tcPr>
                  <w:tcW w:w="1140" w:type="dxa"/>
                  <w:tcBorders>
                    <w:tl2br w:val="nil"/>
                    <w:tr2bl w:val="nil"/>
                  </w:tcBorders>
                  <w:shd w:val="clear" w:color="auto" w:fill="FFFFFF"/>
                  <w:noWrap w:val="0"/>
                  <w:vAlign w:val="center"/>
                </w:tcPr>
                <w:p w14:paraId="1F8B08D6">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0.003L</w:t>
                  </w:r>
                </w:p>
              </w:tc>
              <w:tc>
                <w:tcPr>
                  <w:tcW w:w="768" w:type="dxa"/>
                  <w:tcBorders>
                    <w:right w:val="single" w:color="000000" w:sz="4" w:space="0"/>
                    <w:tl2br w:val="nil"/>
                    <w:tr2bl w:val="nil"/>
                  </w:tcBorders>
                  <w:shd w:val="clear" w:color="auto" w:fill="FFFFFF"/>
                  <w:noWrap w:val="0"/>
                  <w:vAlign w:val="center"/>
                </w:tcPr>
                <w:p w14:paraId="6B014BA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0.02</w:t>
                  </w:r>
                </w:p>
              </w:tc>
            </w:tr>
            <w:tr w14:paraId="70A43A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6263A7F5">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13</w:t>
                  </w:r>
                </w:p>
              </w:tc>
              <w:tc>
                <w:tcPr>
                  <w:tcW w:w="1886" w:type="dxa"/>
                  <w:gridSpan w:val="2"/>
                  <w:tcBorders>
                    <w:tl2br w:val="nil"/>
                    <w:tr2bl w:val="nil"/>
                  </w:tcBorders>
                  <w:shd w:val="clear" w:color="auto" w:fill="FFFFFF"/>
                  <w:noWrap w:val="0"/>
                  <w:vAlign w:val="center"/>
                </w:tcPr>
                <w:p w14:paraId="40F9023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spacing w:val="-6"/>
                      <w:kern w:val="0"/>
                      <w:sz w:val="21"/>
                      <w:szCs w:val="21"/>
                      <w:highlight w:val="none"/>
                      <w:u w:val="none"/>
                      <w:lang w:val="en-US" w:eastAsia="zh-CN" w:bidi="ar"/>
                    </w:rPr>
                    <w:t>阴离子表面活性剂</w:t>
                  </w:r>
                </w:p>
              </w:tc>
              <w:tc>
                <w:tcPr>
                  <w:tcW w:w="1337" w:type="dxa"/>
                  <w:tcBorders>
                    <w:tl2br w:val="nil"/>
                    <w:tr2bl w:val="nil"/>
                  </w:tcBorders>
                  <w:shd w:val="clear" w:color="auto" w:fill="FFFFFF"/>
                  <w:noWrap w:val="0"/>
                  <w:vAlign w:val="center"/>
                </w:tcPr>
                <w:p w14:paraId="6227008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27CA985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0.05L</w:t>
                  </w:r>
                </w:p>
              </w:tc>
              <w:tc>
                <w:tcPr>
                  <w:tcW w:w="1225" w:type="dxa"/>
                  <w:tcBorders>
                    <w:tl2br w:val="nil"/>
                    <w:tr2bl w:val="nil"/>
                  </w:tcBorders>
                  <w:shd w:val="clear" w:color="auto" w:fill="FFFFFF"/>
                  <w:noWrap w:val="0"/>
                  <w:vAlign w:val="center"/>
                </w:tcPr>
                <w:p w14:paraId="3AC7B44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0.05L</w:t>
                  </w:r>
                </w:p>
              </w:tc>
              <w:tc>
                <w:tcPr>
                  <w:tcW w:w="1140" w:type="dxa"/>
                  <w:tcBorders>
                    <w:tl2br w:val="nil"/>
                    <w:tr2bl w:val="nil"/>
                  </w:tcBorders>
                  <w:shd w:val="clear" w:color="auto" w:fill="FFFFFF"/>
                  <w:noWrap w:val="0"/>
                  <w:vAlign w:val="center"/>
                </w:tcPr>
                <w:p w14:paraId="614A9DF7">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0.119</w:t>
                  </w:r>
                </w:p>
              </w:tc>
              <w:tc>
                <w:tcPr>
                  <w:tcW w:w="768" w:type="dxa"/>
                  <w:tcBorders>
                    <w:right w:val="single" w:color="000000" w:sz="4" w:space="0"/>
                    <w:tl2br w:val="nil"/>
                    <w:tr2bl w:val="nil"/>
                  </w:tcBorders>
                  <w:shd w:val="clear" w:color="auto" w:fill="FFFFFF"/>
                  <w:noWrap w:val="0"/>
                  <w:vAlign w:val="center"/>
                </w:tcPr>
                <w:p w14:paraId="47CF8D9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0.3</w:t>
                  </w:r>
                </w:p>
              </w:tc>
            </w:tr>
            <w:tr w14:paraId="65A03E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5A03C2FD">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14</w:t>
                  </w:r>
                </w:p>
              </w:tc>
              <w:tc>
                <w:tcPr>
                  <w:tcW w:w="1886" w:type="dxa"/>
                  <w:gridSpan w:val="2"/>
                  <w:tcBorders>
                    <w:tl2br w:val="nil"/>
                    <w:tr2bl w:val="nil"/>
                  </w:tcBorders>
                  <w:shd w:val="clear" w:color="auto" w:fill="FFFFFF"/>
                  <w:noWrap w:val="0"/>
                  <w:vAlign w:val="center"/>
                </w:tcPr>
                <w:p w14:paraId="3B0909E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六价铬</w:t>
                  </w:r>
                </w:p>
              </w:tc>
              <w:tc>
                <w:tcPr>
                  <w:tcW w:w="1337" w:type="dxa"/>
                  <w:tcBorders>
                    <w:tl2br w:val="nil"/>
                    <w:tr2bl w:val="nil"/>
                  </w:tcBorders>
                  <w:shd w:val="clear" w:color="auto" w:fill="FFFFFF"/>
                  <w:noWrap w:val="0"/>
                  <w:vAlign w:val="center"/>
                </w:tcPr>
                <w:p w14:paraId="5D1B2F7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5249647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0.004L</w:t>
                  </w:r>
                </w:p>
              </w:tc>
              <w:tc>
                <w:tcPr>
                  <w:tcW w:w="1225" w:type="dxa"/>
                  <w:tcBorders>
                    <w:tl2br w:val="nil"/>
                    <w:tr2bl w:val="nil"/>
                  </w:tcBorders>
                  <w:shd w:val="clear" w:color="auto" w:fill="FFFFFF"/>
                  <w:noWrap w:val="0"/>
                  <w:vAlign w:val="center"/>
                </w:tcPr>
                <w:p w14:paraId="45F31D7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0.022</w:t>
                  </w:r>
                </w:p>
              </w:tc>
              <w:tc>
                <w:tcPr>
                  <w:tcW w:w="1140" w:type="dxa"/>
                  <w:tcBorders>
                    <w:tl2br w:val="nil"/>
                    <w:tr2bl w:val="nil"/>
                  </w:tcBorders>
                  <w:shd w:val="clear" w:color="auto" w:fill="FFFFFF"/>
                  <w:noWrap w:val="0"/>
                  <w:vAlign w:val="center"/>
                </w:tcPr>
                <w:p w14:paraId="5705E95F">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0.004L</w:t>
                  </w:r>
                </w:p>
              </w:tc>
              <w:tc>
                <w:tcPr>
                  <w:tcW w:w="768" w:type="dxa"/>
                  <w:tcBorders>
                    <w:right w:val="single" w:color="000000" w:sz="4" w:space="0"/>
                    <w:tl2br w:val="nil"/>
                    <w:tr2bl w:val="nil"/>
                  </w:tcBorders>
                  <w:shd w:val="clear" w:color="auto" w:fill="FFFFFF"/>
                  <w:noWrap w:val="0"/>
                  <w:vAlign w:val="center"/>
                </w:tcPr>
                <w:p w14:paraId="501F15E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0.05</w:t>
                  </w:r>
                </w:p>
              </w:tc>
            </w:tr>
            <w:tr w14:paraId="252C70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03DA5D37">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15</w:t>
                  </w:r>
                </w:p>
              </w:tc>
              <w:tc>
                <w:tcPr>
                  <w:tcW w:w="1886" w:type="dxa"/>
                  <w:gridSpan w:val="2"/>
                  <w:tcBorders>
                    <w:tl2br w:val="nil"/>
                    <w:tr2bl w:val="nil"/>
                  </w:tcBorders>
                  <w:shd w:val="clear" w:color="auto" w:fill="FFFFFF"/>
                  <w:noWrap w:val="0"/>
                  <w:vAlign w:val="center"/>
                </w:tcPr>
                <w:p w14:paraId="6F4D0D6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氰化物</w:t>
                  </w:r>
                </w:p>
              </w:tc>
              <w:tc>
                <w:tcPr>
                  <w:tcW w:w="1337" w:type="dxa"/>
                  <w:tcBorders>
                    <w:tl2br w:val="nil"/>
                    <w:tr2bl w:val="nil"/>
                  </w:tcBorders>
                  <w:shd w:val="clear" w:color="auto" w:fill="FFFFFF"/>
                  <w:noWrap w:val="0"/>
                  <w:vAlign w:val="center"/>
                </w:tcPr>
                <w:p w14:paraId="48DBF98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080CF59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0.001L</w:t>
                  </w:r>
                </w:p>
              </w:tc>
              <w:tc>
                <w:tcPr>
                  <w:tcW w:w="1225" w:type="dxa"/>
                  <w:tcBorders>
                    <w:tl2br w:val="nil"/>
                    <w:tr2bl w:val="nil"/>
                  </w:tcBorders>
                  <w:shd w:val="clear" w:color="auto" w:fill="FFFFFF"/>
                  <w:noWrap w:val="0"/>
                  <w:vAlign w:val="center"/>
                </w:tcPr>
                <w:p w14:paraId="7B1EA98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0.001L</w:t>
                  </w:r>
                </w:p>
              </w:tc>
              <w:tc>
                <w:tcPr>
                  <w:tcW w:w="1140" w:type="dxa"/>
                  <w:tcBorders>
                    <w:tl2br w:val="nil"/>
                    <w:tr2bl w:val="nil"/>
                  </w:tcBorders>
                  <w:shd w:val="clear" w:color="auto" w:fill="FFFFFF"/>
                  <w:noWrap w:val="0"/>
                  <w:vAlign w:val="center"/>
                </w:tcPr>
                <w:p w14:paraId="47ACF29E">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0.001L</w:t>
                  </w:r>
                </w:p>
              </w:tc>
              <w:tc>
                <w:tcPr>
                  <w:tcW w:w="768" w:type="dxa"/>
                  <w:tcBorders>
                    <w:right w:val="single" w:color="000000" w:sz="4" w:space="0"/>
                    <w:tl2br w:val="nil"/>
                    <w:tr2bl w:val="nil"/>
                  </w:tcBorders>
                  <w:shd w:val="clear" w:color="auto" w:fill="FFFFFF"/>
                  <w:noWrap w:val="0"/>
                  <w:vAlign w:val="center"/>
                </w:tcPr>
                <w:p w14:paraId="656DAE6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0.05</w:t>
                  </w:r>
                </w:p>
              </w:tc>
            </w:tr>
            <w:tr w14:paraId="379389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5224AE8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16</w:t>
                  </w:r>
                </w:p>
              </w:tc>
              <w:tc>
                <w:tcPr>
                  <w:tcW w:w="1886" w:type="dxa"/>
                  <w:gridSpan w:val="2"/>
                  <w:tcBorders>
                    <w:tl2br w:val="nil"/>
                    <w:tr2bl w:val="nil"/>
                  </w:tcBorders>
                  <w:shd w:val="clear" w:color="auto" w:fill="FFFFFF"/>
                  <w:noWrap w:val="0"/>
                  <w:vAlign w:val="center"/>
                </w:tcPr>
                <w:p w14:paraId="0731BB0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挥发酚</w:t>
                  </w:r>
                </w:p>
              </w:tc>
              <w:tc>
                <w:tcPr>
                  <w:tcW w:w="1337" w:type="dxa"/>
                  <w:tcBorders>
                    <w:tl2br w:val="nil"/>
                    <w:tr2bl w:val="nil"/>
                  </w:tcBorders>
                  <w:shd w:val="clear" w:color="auto" w:fill="FFFFFF"/>
                  <w:noWrap w:val="0"/>
                  <w:vAlign w:val="center"/>
                </w:tcPr>
                <w:p w14:paraId="600ECC4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1501354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0.0003L</w:t>
                  </w:r>
                </w:p>
              </w:tc>
              <w:tc>
                <w:tcPr>
                  <w:tcW w:w="1225" w:type="dxa"/>
                  <w:tcBorders>
                    <w:tl2br w:val="nil"/>
                    <w:tr2bl w:val="nil"/>
                  </w:tcBorders>
                  <w:shd w:val="clear" w:color="auto" w:fill="FFFFFF"/>
                  <w:noWrap w:val="0"/>
                  <w:vAlign w:val="center"/>
                </w:tcPr>
                <w:p w14:paraId="348B95D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0.0003L</w:t>
                  </w:r>
                </w:p>
              </w:tc>
              <w:tc>
                <w:tcPr>
                  <w:tcW w:w="1140" w:type="dxa"/>
                  <w:tcBorders>
                    <w:tl2br w:val="nil"/>
                    <w:tr2bl w:val="nil"/>
                  </w:tcBorders>
                  <w:shd w:val="clear" w:color="auto" w:fill="FFFFFF"/>
                  <w:noWrap w:val="0"/>
                  <w:vAlign w:val="center"/>
                </w:tcPr>
                <w:p w14:paraId="5A4177E8">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0.0003L</w:t>
                  </w:r>
                </w:p>
              </w:tc>
              <w:tc>
                <w:tcPr>
                  <w:tcW w:w="768" w:type="dxa"/>
                  <w:tcBorders>
                    <w:right w:val="single" w:color="000000" w:sz="4" w:space="0"/>
                    <w:tl2br w:val="nil"/>
                    <w:tr2bl w:val="nil"/>
                  </w:tcBorders>
                  <w:shd w:val="clear" w:color="auto" w:fill="FFFFFF"/>
                  <w:noWrap w:val="0"/>
                  <w:vAlign w:val="center"/>
                </w:tcPr>
                <w:p w14:paraId="03DFB34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0.002</w:t>
                  </w:r>
                </w:p>
              </w:tc>
            </w:tr>
            <w:tr w14:paraId="6706F9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6CB1CC1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17</w:t>
                  </w:r>
                </w:p>
              </w:tc>
              <w:tc>
                <w:tcPr>
                  <w:tcW w:w="1886" w:type="dxa"/>
                  <w:gridSpan w:val="2"/>
                  <w:tcBorders>
                    <w:tl2br w:val="nil"/>
                    <w:tr2bl w:val="nil"/>
                  </w:tcBorders>
                  <w:shd w:val="clear" w:color="auto" w:fill="FFFFFF"/>
                  <w:noWrap w:val="0"/>
                  <w:vAlign w:val="center"/>
                </w:tcPr>
                <w:p w14:paraId="29305F1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汞</w:t>
                  </w:r>
                </w:p>
              </w:tc>
              <w:tc>
                <w:tcPr>
                  <w:tcW w:w="1337" w:type="dxa"/>
                  <w:tcBorders>
                    <w:tl2br w:val="nil"/>
                    <w:tr2bl w:val="nil"/>
                  </w:tcBorders>
                  <w:shd w:val="clear" w:color="auto" w:fill="FFFFFF"/>
                  <w:noWrap w:val="0"/>
                  <w:vAlign w:val="center"/>
                </w:tcPr>
                <w:p w14:paraId="07E9811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4E46022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4.00×10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-5</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1225" w:type="dxa"/>
                  <w:tcBorders>
                    <w:tl2br w:val="nil"/>
                    <w:tr2bl w:val="nil"/>
                  </w:tcBorders>
                  <w:shd w:val="clear" w:color="auto" w:fill="FFFFFF"/>
                  <w:noWrap w:val="0"/>
                  <w:vAlign w:val="center"/>
                </w:tcPr>
                <w:p w14:paraId="0E33DD1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4.00×10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-5</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1140" w:type="dxa"/>
                  <w:tcBorders>
                    <w:tl2br w:val="nil"/>
                    <w:tr2bl w:val="nil"/>
                  </w:tcBorders>
                  <w:shd w:val="clear" w:color="auto" w:fill="FFFFFF"/>
                  <w:noWrap w:val="0"/>
                  <w:vAlign w:val="center"/>
                </w:tcPr>
                <w:p w14:paraId="56E1AE21">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4.56×10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-5</w:t>
                  </w:r>
                </w:p>
              </w:tc>
              <w:tc>
                <w:tcPr>
                  <w:tcW w:w="768" w:type="dxa"/>
                  <w:tcBorders>
                    <w:right w:val="single" w:color="000000" w:sz="4" w:space="0"/>
                    <w:tl2br w:val="nil"/>
                    <w:tr2bl w:val="nil"/>
                  </w:tcBorders>
                  <w:shd w:val="clear" w:color="auto" w:fill="FFFFFF"/>
                  <w:noWrap w:val="0"/>
                  <w:vAlign w:val="center"/>
                </w:tcPr>
                <w:p w14:paraId="145812B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0.001</w:t>
                  </w:r>
                </w:p>
              </w:tc>
            </w:tr>
            <w:tr w14:paraId="4B7074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2E7AA55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18</w:t>
                  </w:r>
                </w:p>
              </w:tc>
              <w:tc>
                <w:tcPr>
                  <w:tcW w:w="1886" w:type="dxa"/>
                  <w:gridSpan w:val="2"/>
                  <w:tcBorders>
                    <w:tl2br w:val="nil"/>
                    <w:tr2bl w:val="nil"/>
                  </w:tcBorders>
                  <w:shd w:val="clear" w:color="auto" w:fill="FFFFFF"/>
                  <w:noWrap w:val="0"/>
                  <w:vAlign w:val="center"/>
                </w:tcPr>
                <w:p w14:paraId="21F0492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砷</w:t>
                  </w:r>
                </w:p>
              </w:tc>
              <w:tc>
                <w:tcPr>
                  <w:tcW w:w="1337" w:type="dxa"/>
                  <w:tcBorders>
                    <w:tl2br w:val="nil"/>
                    <w:tr2bl w:val="nil"/>
                  </w:tcBorders>
                  <w:shd w:val="clear" w:color="auto" w:fill="FFFFFF"/>
                  <w:noWrap w:val="0"/>
                  <w:vAlign w:val="center"/>
                </w:tcPr>
                <w:p w14:paraId="77A38FB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2D9128A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3.0×10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4</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1225" w:type="dxa"/>
                  <w:tcBorders>
                    <w:tl2br w:val="nil"/>
                    <w:tr2bl w:val="nil"/>
                  </w:tcBorders>
                  <w:shd w:val="clear" w:color="auto" w:fill="FFFFFF"/>
                  <w:noWrap w:val="0"/>
                  <w:vAlign w:val="center"/>
                </w:tcPr>
                <w:p w14:paraId="7EF66B3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3.0×10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4</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1140" w:type="dxa"/>
                  <w:tcBorders>
                    <w:tl2br w:val="nil"/>
                    <w:tr2bl w:val="nil"/>
                  </w:tcBorders>
                  <w:shd w:val="clear" w:color="auto" w:fill="FFFFFF"/>
                  <w:noWrap w:val="0"/>
                  <w:vAlign w:val="center"/>
                </w:tcPr>
                <w:p w14:paraId="2CB35281">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1.4×10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4</w:t>
                  </w:r>
                </w:p>
              </w:tc>
              <w:tc>
                <w:tcPr>
                  <w:tcW w:w="768" w:type="dxa"/>
                  <w:tcBorders>
                    <w:right w:val="single" w:color="000000" w:sz="4" w:space="0"/>
                    <w:tl2br w:val="nil"/>
                    <w:tr2bl w:val="nil"/>
                  </w:tcBorders>
                  <w:shd w:val="clear" w:color="auto" w:fill="FFFFFF"/>
                  <w:noWrap w:val="0"/>
                  <w:vAlign w:val="center"/>
                </w:tcPr>
                <w:p w14:paraId="5A1C5C9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0.01</w:t>
                  </w:r>
                </w:p>
              </w:tc>
            </w:tr>
            <w:tr w14:paraId="13B664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5BA5300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19</w:t>
                  </w:r>
                </w:p>
              </w:tc>
              <w:tc>
                <w:tcPr>
                  <w:tcW w:w="1886" w:type="dxa"/>
                  <w:gridSpan w:val="2"/>
                  <w:tcBorders>
                    <w:tl2br w:val="nil"/>
                    <w:tr2bl w:val="nil"/>
                  </w:tcBorders>
                  <w:shd w:val="clear" w:color="auto" w:fill="FFFFFF"/>
                  <w:noWrap w:val="0"/>
                  <w:vAlign w:val="center"/>
                </w:tcPr>
                <w:p w14:paraId="4C1E527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default" w:ascii="Times New Roman" w:hAnsi="Times New Roman" w:eastAsia="宋体" w:cs="Times New Roman"/>
                      <w:b w:val="0"/>
                      <w:i w:val="0"/>
                      <w:iCs w:val="0"/>
                      <w:color w:val="000000"/>
                      <w:sz w:val="21"/>
                      <w:szCs w:val="21"/>
                      <w:highlight w:val="none"/>
                      <w:u w:val="none"/>
                      <w:lang w:val="en-US" w:eastAsia="zh-CN"/>
                    </w:rPr>
                    <w:t>硒</w:t>
                  </w:r>
                </w:p>
              </w:tc>
              <w:tc>
                <w:tcPr>
                  <w:tcW w:w="1337" w:type="dxa"/>
                  <w:tcBorders>
                    <w:tl2br w:val="nil"/>
                    <w:tr2bl w:val="nil"/>
                  </w:tcBorders>
                  <w:shd w:val="clear" w:color="auto" w:fill="FFFFFF"/>
                  <w:noWrap w:val="0"/>
                  <w:vAlign w:val="center"/>
                </w:tcPr>
                <w:p w14:paraId="2E1B146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57A6C3A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4.0×10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4</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1225" w:type="dxa"/>
                  <w:tcBorders>
                    <w:tl2br w:val="nil"/>
                    <w:tr2bl w:val="nil"/>
                  </w:tcBorders>
                  <w:shd w:val="clear" w:color="auto" w:fill="FFFFFF"/>
                  <w:noWrap w:val="0"/>
                  <w:vAlign w:val="center"/>
                </w:tcPr>
                <w:p w14:paraId="29CFB69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4.0×10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4</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1140" w:type="dxa"/>
                  <w:tcBorders>
                    <w:tl2br w:val="nil"/>
                    <w:tr2bl w:val="nil"/>
                  </w:tcBorders>
                  <w:shd w:val="clear" w:color="auto" w:fill="FFFFFF"/>
                  <w:noWrap w:val="0"/>
                  <w:vAlign w:val="center"/>
                </w:tcPr>
                <w:p w14:paraId="2DD0AB7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4.0×10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4</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768" w:type="dxa"/>
                  <w:tcBorders>
                    <w:right w:val="single" w:color="000000" w:sz="4" w:space="0"/>
                    <w:tl2br w:val="nil"/>
                    <w:tr2bl w:val="nil"/>
                  </w:tcBorders>
                  <w:shd w:val="clear" w:color="auto" w:fill="FFFFFF"/>
                  <w:noWrap w:val="0"/>
                  <w:vAlign w:val="center"/>
                </w:tcPr>
                <w:p w14:paraId="5B172EE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ascii="Times New Roman" w:hAnsi="Times New Roman" w:eastAsia="宋体" w:cs="Times New Roman"/>
                      <w:b w:val="0"/>
                      <w:i w:val="0"/>
                      <w:iCs w:val="0"/>
                      <w:color w:val="000000"/>
                      <w:sz w:val="21"/>
                      <w:szCs w:val="21"/>
                      <w:highlight w:val="none"/>
                      <w:u w:val="none"/>
                      <w:lang w:val="en-US" w:eastAsia="zh-CN"/>
                    </w:rPr>
                    <w:t>0.01</w:t>
                  </w:r>
                </w:p>
              </w:tc>
            </w:tr>
            <w:tr w14:paraId="323A3F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0B9A6EC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20</w:t>
                  </w:r>
                </w:p>
              </w:tc>
              <w:tc>
                <w:tcPr>
                  <w:tcW w:w="1886" w:type="dxa"/>
                  <w:gridSpan w:val="2"/>
                  <w:tcBorders>
                    <w:tl2br w:val="nil"/>
                    <w:tr2bl w:val="nil"/>
                  </w:tcBorders>
                  <w:shd w:val="clear" w:color="auto" w:fill="FFFFFF"/>
                  <w:noWrap w:val="0"/>
                  <w:vAlign w:val="center"/>
                </w:tcPr>
                <w:p w14:paraId="1116039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铁</w:t>
                  </w:r>
                </w:p>
              </w:tc>
              <w:tc>
                <w:tcPr>
                  <w:tcW w:w="1337" w:type="dxa"/>
                  <w:tcBorders>
                    <w:tl2br w:val="nil"/>
                    <w:tr2bl w:val="nil"/>
                  </w:tcBorders>
                  <w:shd w:val="clear" w:color="auto" w:fill="FFFFFF"/>
                  <w:noWrap w:val="0"/>
                  <w:vAlign w:val="center"/>
                </w:tcPr>
                <w:p w14:paraId="123AD05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1189958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0.03L</w:t>
                  </w:r>
                </w:p>
              </w:tc>
              <w:tc>
                <w:tcPr>
                  <w:tcW w:w="1225" w:type="dxa"/>
                  <w:tcBorders>
                    <w:tl2br w:val="nil"/>
                    <w:tr2bl w:val="nil"/>
                  </w:tcBorders>
                  <w:shd w:val="clear" w:color="auto" w:fill="FFFFFF"/>
                  <w:noWrap w:val="0"/>
                  <w:vAlign w:val="center"/>
                </w:tcPr>
                <w:p w14:paraId="332F547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0.03L</w:t>
                  </w:r>
                </w:p>
              </w:tc>
              <w:tc>
                <w:tcPr>
                  <w:tcW w:w="1140" w:type="dxa"/>
                  <w:tcBorders>
                    <w:tl2br w:val="nil"/>
                    <w:tr2bl w:val="nil"/>
                  </w:tcBorders>
                  <w:shd w:val="clear" w:color="auto" w:fill="FFFFFF"/>
                  <w:noWrap w:val="0"/>
                  <w:vAlign w:val="center"/>
                </w:tcPr>
                <w:p w14:paraId="010A2998">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0.03L</w:t>
                  </w:r>
                </w:p>
              </w:tc>
              <w:tc>
                <w:tcPr>
                  <w:tcW w:w="768" w:type="dxa"/>
                  <w:tcBorders>
                    <w:right w:val="single" w:color="000000" w:sz="4" w:space="0"/>
                    <w:tl2br w:val="nil"/>
                    <w:tr2bl w:val="nil"/>
                  </w:tcBorders>
                  <w:shd w:val="clear" w:color="auto" w:fill="FFFFFF"/>
                  <w:noWrap w:val="0"/>
                  <w:vAlign w:val="center"/>
                </w:tcPr>
                <w:p w14:paraId="51FDEFF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0.3</w:t>
                  </w:r>
                </w:p>
              </w:tc>
            </w:tr>
            <w:tr w14:paraId="74FF08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41025C5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21</w:t>
                  </w:r>
                </w:p>
              </w:tc>
              <w:tc>
                <w:tcPr>
                  <w:tcW w:w="1886" w:type="dxa"/>
                  <w:gridSpan w:val="2"/>
                  <w:tcBorders>
                    <w:tl2br w:val="nil"/>
                    <w:tr2bl w:val="nil"/>
                  </w:tcBorders>
                  <w:shd w:val="clear" w:color="auto" w:fill="FFFFFF"/>
                  <w:noWrap w:val="0"/>
                  <w:vAlign w:val="center"/>
                </w:tcPr>
                <w:p w14:paraId="7E4BD69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锰</w:t>
                  </w:r>
                </w:p>
              </w:tc>
              <w:tc>
                <w:tcPr>
                  <w:tcW w:w="1337" w:type="dxa"/>
                  <w:tcBorders>
                    <w:tl2br w:val="nil"/>
                    <w:tr2bl w:val="nil"/>
                  </w:tcBorders>
                  <w:shd w:val="clear" w:color="auto" w:fill="FFFFFF"/>
                  <w:noWrap w:val="0"/>
                  <w:vAlign w:val="center"/>
                </w:tcPr>
                <w:p w14:paraId="59E3A84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79B6B41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0.07</w:t>
                  </w:r>
                </w:p>
              </w:tc>
              <w:tc>
                <w:tcPr>
                  <w:tcW w:w="1225" w:type="dxa"/>
                  <w:tcBorders>
                    <w:tl2br w:val="nil"/>
                    <w:tr2bl w:val="nil"/>
                  </w:tcBorders>
                  <w:shd w:val="clear" w:color="auto" w:fill="FFFFFF"/>
                  <w:noWrap w:val="0"/>
                  <w:vAlign w:val="center"/>
                </w:tcPr>
                <w:p w14:paraId="7F4D607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0.07</w:t>
                  </w:r>
                </w:p>
              </w:tc>
              <w:tc>
                <w:tcPr>
                  <w:tcW w:w="1140" w:type="dxa"/>
                  <w:tcBorders>
                    <w:tl2br w:val="nil"/>
                    <w:tr2bl w:val="nil"/>
                  </w:tcBorders>
                  <w:shd w:val="clear" w:color="auto" w:fill="FFFFFF"/>
                  <w:noWrap w:val="0"/>
                  <w:vAlign w:val="center"/>
                </w:tcPr>
                <w:p w14:paraId="7DEA2738">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0.13</w:t>
                  </w:r>
                </w:p>
              </w:tc>
              <w:tc>
                <w:tcPr>
                  <w:tcW w:w="768" w:type="dxa"/>
                  <w:tcBorders>
                    <w:right w:val="single" w:color="000000" w:sz="4" w:space="0"/>
                    <w:tl2br w:val="nil"/>
                    <w:tr2bl w:val="nil"/>
                  </w:tcBorders>
                  <w:shd w:val="clear" w:color="auto" w:fill="FFFFFF"/>
                  <w:noWrap w:val="0"/>
                  <w:vAlign w:val="center"/>
                </w:tcPr>
                <w:p w14:paraId="26BCD08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0.1</w:t>
                  </w:r>
                </w:p>
              </w:tc>
            </w:tr>
            <w:tr w14:paraId="0B46C4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1B8691A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22</w:t>
                  </w:r>
                </w:p>
              </w:tc>
              <w:tc>
                <w:tcPr>
                  <w:tcW w:w="1886" w:type="dxa"/>
                  <w:gridSpan w:val="2"/>
                  <w:tcBorders>
                    <w:tl2br w:val="nil"/>
                    <w:tr2bl w:val="nil"/>
                  </w:tcBorders>
                  <w:shd w:val="clear" w:color="auto" w:fill="FFFFFF"/>
                  <w:noWrap w:val="0"/>
                  <w:vAlign w:val="center"/>
                </w:tcPr>
                <w:p w14:paraId="7035C26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铜</w:t>
                  </w:r>
                </w:p>
              </w:tc>
              <w:tc>
                <w:tcPr>
                  <w:tcW w:w="1337" w:type="dxa"/>
                  <w:tcBorders>
                    <w:tl2br w:val="nil"/>
                    <w:tr2bl w:val="nil"/>
                  </w:tcBorders>
                  <w:shd w:val="clear" w:color="auto" w:fill="FFFFFF"/>
                  <w:noWrap w:val="0"/>
                  <w:vAlign w:val="center"/>
                </w:tcPr>
                <w:p w14:paraId="7F27834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4B9F559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0.09</w:t>
                  </w:r>
                </w:p>
              </w:tc>
              <w:tc>
                <w:tcPr>
                  <w:tcW w:w="1225" w:type="dxa"/>
                  <w:tcBorders>
                    <w:tl2br w:val="nil"/>
                    <w:tr2bl w:val="nil"/>
                  </w:tcBorders>
                  <w:shd w:val="clear" w:color="auto" w:fill="FFFFFF"/>
                  <w:noWrap w:val="0"/>
                  <w:vAlign w:val="center"/>
                </w:tcPr>
                <w:p w14:paraId="1D64EE9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0.33</w:t>
                  </w:r>
                </w:p>
              </w:tc>
              <w:tc>
                <w:tcPr>
                  <w:tcW w:w="1140" w:type="dxa"/>
                  <w:tcBorders>
                    <w:tl2br w:val="nil"/>
                    <w:tr2bl w:val="nil"/>
                  </w:tcBorders>
                  <w:shd w:val="clear" w:color="auto" w:fill="FFFFFF"/>
                  <w:noWrap w:val="0"/>
                  <w:vAlign w:val="center"/>
                </w:tcPr>
                <w:p w14:paraId="2F7D2EA2">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0.31</w:t>
                  </w:r>
                </w:p>
              </w:tc>
              <w:tc>
                <w:tcPr>
                  <w:tcW w:w="768" w:type="dxa"/>
                  <w:tcBorders>
                    <w:right w:val="single" w:color="000000" w:sz="4" w:space="0"/>
                    <w:tl2br w:val="nil"/>
                    <w:tr2bl w:val="nil"/>
                  </w:tcBorders>
                  <w:shd w:val="clear" w:color="auto" w:fill="FFFFFF"/>
                  <w:noWrap w:val="0"/>
                  <w:vAlign w:val="center"/>
                </w:tcPr>
                <w:p w14:paraId="5BC2D00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2C6A55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27A027F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23</w:t>
                  </w:r>
                </w:p>
              </w:tc>
              <w:tc>
                <w:tcPr>
                  <w:tcW w:w="1886" w:type="dxa"/>
                  <w:gridSpan w:val="2"/>
                  <w:tcBorders>
                    <w:tl2br w:val="nil"/>
                    <w:tr2bl w:val="nil"/>
                  </w:tcBorders>
                  <w:shd w:val="clear" w:color="auto" w:fill="FFFFFF"/>
                  <w:noWrap w:val="0"/>
                  <w:vAlign w:val="center"/>
                </w:tcPr>
                <w:p w14:paraId="4379BD8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锌</w:t>
                  </w:r>
                </w:p>
              </w:tc>
              <w:tc>
                <w:tcPr>
                  <w:tcW w:w="1337" w:type="dxa"/>
                  <w:tcBorders>
                    <w:tl2br w:val="nil"/>
                    <w:tr2bl w:val="nil"/>
                  </w:tcBorders>
                  <w:shd w:val="clear" w:color="auto" w:fill="FFFFFF"/>
                  <w:noWrap w:val="0"/>
                  <w:vAlign w:val="center"/>
                </w:tcPr>
                <w:p w14:paraId="2E9E1DA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645F90E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0.05L</w:t>
                  </w:r>
                </w:p>
              </w:tc>
              <w:tc>
                <w:tcPr>
                  <w:tcW w:w="1225" w:type="dxa"/>
                  <w:tcBorders>
                    <w:tl2br w:val="nil"/>
                    <w:tr2bl w:val="nil"/>
                  </w:tcBorders>
                  <w:shd w:val="clear" w:color="auto" w:fill="FFFFFF"/>
                  <w:noWrap w:val="0"/>
                  <w:vAlign w:val="center"/>
                </w:tcPr>
                <w:p w14:paraId="3727EDE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0.05L</w:t>
                  </w:r>
                </w:p>
              </w:tc>
              <w:tc>
                <w:tcPr>
                  <w:tcW w:w="1140" w:type="dxa"/>
                  <w:tcBorders>
                    <w:tl2br w:val="nil"/>
                    <w:tr2bl w:val="nil"/>
                  </w:tcBorders>
                  <w:shd w:val="clear" w:color="auto" w:fill="FFFFFF"/>
                  <w:noWrap w:val="0"/>
                  <w:vAlign w:val="center"/>
                </w:tcPr>
                <w:p w14:paraId="79CB672B">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0.05L</w:t>
                  </w:r>
                </w:p>
              </w:tc>
              <w:tc>
                <w:tcPr>
                  <w:tcW w:w="768" w:type="dxa"/>
                  <w:tcBorders>
                    <w:right w:val="single" w:color="000000" w:sz="4" w:space="0"/>
                    <w:tl2br w:val="nil"/>
                    <w:tr2bl w:val="nil"/>
                  </w:tcBorders>
                  <w:shd w:val="clear" w:color="auto" w:fill="FFFFFF"/>
                  <w:noWrap w:val="0"/>
                  <w:vAlign w:val="center"/>
                </w:tcPr>
                <w:p w14:paraId="71F8EF6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059BE2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1A497E0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24</w:t>
                  </w:r>
                </w:p>
              </w:tc>
              <w:tc>
                <w:tcPr>
                  <w:tcW w:w="1886" w:type="dxa"/>
                  <w:gridSpan w:val="2"/>
                  <w:tcBorders>
                    <w:tl2br w:val="nil"/>
                    <w:tr2bl w:val="nil"/>
                  </w:tcBorders>
                  <w:shd w:val="clear" w:color="auto" w:fill="FFFFFF"/>
                  <w:noWrap w:val="0"/>
                  <w:vAlign w:val="center"/>
                </w:tcPr>
                <w:p w14:paraId="4EB3B69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铅</w:t>
                  </w:r>
                </w:p>
              </w:tc>
              <w:tc>
                <w:tcPr>
                  <w:tcW w:w="1337" w:type="dxa"/>
                  <w:tcBorders>
                    <w:tl2br w:val="nil"/>
                    <w:tr2bl w:val="nil"/>
                  </w:tcBorders>
                  <w:shd w:val="clear" w:color="auto" w:fill="FFFFFF"/>
                  <w:noWrap w:val="0"/>
                  <w:vAlign w:val="center"/>
                </w:tcPr>
                <w:p w14:paraId="3908FA0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17EE33B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2.5×10</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-3</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1225" w:type="dxa"/>
                  <w:tcBorders>
                    <w:tl2br w:val="nil"/>
                    <w:tr2bl w:val="nil"/>
                  </w:tcBorders>
                  <w:shd w:val="clear" w:color="auto" w:fill="FFFFFF"/>
                  <w:noWrap w:val="0"/>
                  <w:vAlign w:val="center"/>
                </w:tcPr>
                <w:p w14:paraId="324A5A6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2.5×10</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-3</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1140" w:type="dxa"/>
                  <w:tcBorders>
                    <w:tl2br w:val="nil"/>
                    <w:tr2bl w:val="nil"/>
                  </w:tcBorders>
                  <w:shd w:val="clear" w:color="auto" w:fill="FFFFFF"/>
                  <w:noWrap w:val="0"/>
                  <w:vAlign w:val="center"/>
                </w:tcPr>
                <w:p w14:paraId="166AE898">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2.5×10</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-3</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768" w:type="dxa"/>
                  <w:tcBorders>
                    <w:right w:val="single" w:color="000000" w:sz="4" w:space="0"/>
                    <w:tl2br w:val="nil"/>
                    <w:tr2bl w:val="nil"/>
                  </w:tcBorders>
                  <w:shd w:val="clear" w:color="auto" w:fill="FFFFFF"/>
                  <w:noWrap w:val="0"/>
                  <w:vAlign w:val="center"/>
                </w:tcPr>
                <w:p w14:paraId="753D7F1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0.01</w:t>
                  </w:r>
                </w:p>
              </w:tc>
            </w:tr>
            <w:tr w14:paraId="69C20A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0D11783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25</w:t>
                  </w:r>
                </w:p>
              </w:tc>
              <w:tc>
                <w:tcPr>
                  <w:tcW w:w="1886" w:type="dxa"/>
                  <w:gridSpan w:val="2"/>
                  <w:tcBorders>
                    <w:tl2br w:val="nil"/>
                    <w:tr2bl w:val="nil"/>
                  </w:tcBorders>
                  <w:shd w:val="clear" w:color="auto" w:fill="FFFFFF"/>
                  <w:noWrap w:val="0"/>
                  <w:vAlign w:val="center"/>
                </w:tcPr>
                <w:p w14:paraId="11C603A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镉</w:t>
                  </w:r>
                </w:p>
              </w:tc>
              <w:tc>
                <w:tcPr>
                  <w:tcW w:w="1337" w:type="dxa"/>
                  <w:tcBorders>
                    <w:tl2br w:val="nil"/>
                    <w:tr2bl w:val="nil"/>
                  </w:tcBorders>
                  <w:shd w:val="clear" w:color="auto" w:fill="FFFFFF"/>
                  <w:noWrap w:val="0"/>
                  <w:vAlign w:val="center"/>
                </w:tcPr>
                <w:p w14:paraId="399B45A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15F75D9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5×10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4</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1225" w:type="dxa"/>
                  <w:tcBorders>
                    <w:tl2br w:val="nil"/>
                    <w:tr2bl w:val="nil"/>
                  </w:tcBorders>
                  <w:shd w:val="clear" w:color="auto" w:fill="FFFFFF"/>
                  <w:noWrap w:val="0"/>
                  <w:vAlign w:val="center"/>
                </w:tcPr>
                <w:p w14:paraId="2FF8D29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5×10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4</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1140" w:type="dxa"/>
                  <w:tcBorders>
                    <w:tl2br w:val="nil"/>
                    <w:tr2bl w:val="nil"/>
                  </w:tcBorders>
                  <w:shd w:val="clear" w:color="auto" w:fill="FFFFFF"/>
                  <w:noWrap w:val="0"/>
                  <w:vAlign w:val="center"/>
                </w:tcPr>
                <w:p w14:paraId="5FE23216">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5×10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4</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768" w:type="dxa"/>
                  <w:tcBorders>
                    <w:right w:val="single" w:color="000000" w:sz="4" w:space="0"/>
                    <w:tl2br w:val="nil"/>
                    <w:tr2bl w:val="nil"/>
                  </w:tcBorders>
                  <w:shd w:val="clear" w:color="auto" w:fill="FFFFFF"/>
                  <w:noWrap w:val="0"/>
                  <w:vAlign w:val="center"/>
                </w:tcPr>
                <w:p w14:paraId="1B92700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0.005</w:t>
                  </w:r>
                </w:p>
              </w:tc>
            </w:tr>
            <w:tr w14:paraId="382DA6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05427B8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26</w:t>
                  </w:r>
                </w:p>
              </w:tc>
              <w:tc>
                <w:tcPr>
                  <w:tcW w:w="1886" w:type="dxa"/>
                  <w:gridSpan w:val="2"/>
                  <w:tcBorders>
                    <w:tl2br w:val="nil"/>
                    <w:tr2bl w:val="nil"/>
                  </w:tcBorders>
                  <w:shd w:val="clear" w:color="auto" w:fill="FFFFFF"/>
                  <w:noWrap w:val="0"/>
                  <w:vAlign w:val="center"/>
                </w:tcPr>
                <w:p w14:paraId="19E737D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铝</w:t>
                  </w:r>
                </w:p>
              </w:tc>
              <w:tc>
                <w:tcPr>
                  <w:tcW w:w="1337" w:type="dxa"/>
                  <w:tcBorders>
                    <w:tl2br w:val="nil"/>
                    <w:tr2bl w:val="nil"/>
                  </w:tcBorders>
                  <w:shd w:val="clear" w:color="auto" w:fill="FFFFFF"/>
                  <w:noWrap w:val="0"/>
                  <w:vAlign w:val="center"/>
                </w:tcPr>
                <w:p w14:paraId="4316B3A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6FD462A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2</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1225" w:type="dxa"/>
                  <w:tcBorders>
                    <w:tl2br w:val="nil"/>
                    <w:tr2bl w:val="nil"/>
                  </w:tcBorders>
                  <w:shd w:val="clear" w:color="auto" w:fill="FFFFFF"/>
                  <w:noWrap w:val="0"/>
                  <w:vAlign w:val="center"/>
                </w:tcPr>
                <w:p w14:paraId="7C66409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2</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1140" w:type="dxa"/>
                  <w:tcBorders>
                    <w:tl2br w:val="nil"/>
                    <w:tr2bl w:val="nil"/>
                  </w:tcBorders>
                  <w:shd w:val="clear" w:color="auto" w:fill="FFFFFF"/>
                  <w:noWrap w:val="0"/>
                  <w:vAlign w:val="center"/>
                </w:tcPr>
                <w:p w14:paraId="00C78775">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1.0×10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2</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768" w:type="dxa"/>
                  <w:tcBorders>
                    <w:right w:val="single" w:color="000000" w:sz="4" w:space="0"/>
                    <w:tl2br w:val="nil"/>
                    <w:tr2bl w:val="nil"/>
                  </w:tcBorders>
                  <w:shd w:val="clear" w:color="auto" w:fill="FFFFFF"/>
                  <w:noWrap w:val="0"/>
                  <w:vAlign w:val="center"/>
                </w:tcPr>
                <w:p w14:paraId="40DE416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0.2</w:t>
                  </w:r>
                </w:p>
              </w:tc>
            </w:tr>
            <w:tr w14:paraId="48A44B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2F44CB3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27</w:t>
                  </w:r>
                </w:p>
              </w:tc>
              <w:tc>
                <w:tcPr>
                  <w:tcW w:w="1886" w:type="dxa"/>
                  <w:gridSpan w:val="2"/>
                  <w:tcBorders>
                    <w:tl2br w:val="nil"/>
                    <w:tr2bl w:val="nil"/>
                  </w:tcBorders>
                  <w:shd w:val="clear" w:color="auto" w:fill="FFFFFF"/>
                  <w:noWrap w:val="0"/>
                  <w:vAlign w:val="center"/>
                </w:tcPr>
                <w:p w14:paraId="0C91770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钾</w:t>
                  </w:r>
                </w:p>
              </w:tc>
              <w:tc>
                <w:tcPr>
                  <w:tcW w:w="1337" w:type="dxa"/>
                  <w:tcBorders>
                    <w:tl2br w:val="nil"/>
                    <w:tr2bl w:val="nil"/>
                  </w:tcBorders>
                  <w:shd w:val="clear" w:color="auto" w:fill="FFFFFF"/>
                  <w:noWrap w:val="0"/>
                  <w:vAlign w:val="center"/>
                </w:tcPr>
                <w:p w14:paraId="54A4661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0D58746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47.0</w:t>
                  </w:r>
                </w:p>
              </w:tc>
              <w:tc>
                <w:tcPr>
                  <w:tcW w:w="1225" w:type="dxa"/>
                  <w:tcBorders>
                    <w:tl2br w:val="nil"/>
                    <w:tr2bl w:val="nil"/>
                  </w:tcBorders>
                  <w:shd w:val="clear" w:color="auto" w:fill="FFFFFF"/>
                  <w:noWrap w:val="0"/>
                  <w:vAlign w:val="center"/>
                </w:tcPr>
                <w:p w14:paraId="0DBF9A3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42.5</w:t>
                  </w:r>
                </w:p>
              </w:tc>
              <w:tc>
                <w:tcPr>
                  <w:tcW w:w="1140" w:type="dxa"/>
                  <w:tcBorders>
                    <w:tl2br w:val="nil"/>
                    <w:tr2bl w:val="nil"/>
                  </w:tcBorders>
                  <w:shd w:val="clear" w:color="auto" w:fill="FFFFFF"/>
                  <w:noWrap w:val="0"/>
                  <w:vAlign w:val="center"/>
                </w:tcPr>
                <w:p w14:paraId="2685110E">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53.3</w:t>
                  </w:r>
                </w:p>
              </w:tc>
              <w:tc>
                <w:tcPr>
                  <w:tcW w:w="768" w:type="dxa"/>
                  <w:tcBorders>
                    <w:right w:val="single" w:color="000000" w:sz="4" w:space="0"/>
                    <w:tl2br w:val="nil"/>
                    <w:tr2bl w:val="nil"/>
                  </w:tcBorders>
                  <w:shd w:val="clear" w:color="auto" w:fill="FFFFFF"/>
                  <w:noWrap w:val="0"/>
                  <w:vAlign w:val="center"/>
                </w:tcPr>
                <w:p w14:paraId="745E4DE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1832B8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42E08A2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28</w:t>
                  </w:r>
                </w:p>
              </w:tc>
              <w:tc>
                <w:tcPr>
                  <w:tcW w:w="1886" w:type="dxa"/>
                  <w:gridSpan w:val="2"/>
                  <w:tcBorders>
                    <w:tl2br w:val="nil"/>
                    <w:tr2bl w:val="nil"/>
                  </w:tcBorders>
                  <w:shd w:val="clear" w:color="auto" w:fill="FFFFFF"/>
                  <w:noWrap w:val="0"/>
                  <w:vAlign w:val="center"/>
                </w:tcPr>
                <w:p w14:paraId="4FA4A3B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钠</w:t>
                  </w:r>
                </w:p>
              </w:tc>
              <w:tc>
                <w:tcPr>
                  <w:tcW w:w="1337" w:type="dxa"/>
                  <w:tcBorders>
                    <w:tl2br w:val="nil"/>
                    <w:tr2bl w:val="nil"/>
                  </w:tcBorders>
                  <w:shd w:val="clear" w:color="auto" w:fill="FFFFFF"/>
                  <w:noWrap w:val="0"/>
                  <w:vAlign w:val="center"/>
                </w:tcPr>
                <w:p w14:paraId="6EB4248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122EC88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118</w:t>
                  </w:r>
                </w:p>
              </w:tc>
              <w:tc>
                <w:tcPr>
                  <w:tcW w:w="1225" w:type="dxa"/>
                  <w:tcBorders>
                    <w:tl2br w:val="nil"/>
                    <w:tr2bl w:val="nil"/>
                  </w:tcBorders>
                  <w:shd w:val="clear" w:color="auto" w:fill="FFFFFF"/>
                  <w:noWrap w:val="0"/>
                  <w:vAlign w:val="center"/>
                </w:tcPr>
                <w:p w14:paraId="24DF9CD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125</w:t>
                  </w:r>
                </w:p>
              </w:tc>
              <w:tc>
                <w:tcPr>
                  <w:tcW w:w="1140" w:type="dxa"/>
                  <w:tcBorders>
                    <w:tl2br w:val="nil"/>
                    <w:tr2bl w:val="nil"/>
                  </w:tcBorders>
                  <w:shd w:val="clear" w:color="auto" w:fill="FFFFFF"/>
                  <w:noWrap w:val="0"/>
                  <w:vAlign w:val="center"/>
                </w:tcPr>
                <w:p w14:paraId="3CC19AA7">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317</w:t>
                  </w:r>
                </w:p>
              </w:tc>
              <w:tc>
                <w:tcPr>
                  <w:tcW w:w="768" w:type="dxa"/>
                  <w:tcBorders>
                    <w:right w:val="single" w:color="000000" w:sz="4" w:space="0"/>
                    <w:tl2br w:val="nil"/>
                    <w:tr2bl w:val="nil"/>
                  </w:tcBorders>
                  <w:shd w:val="clear" w:color="auto" w:fill="FFFFFF"/>
                  <w:noWrap w:val="0"/>
                  <w:vAlign w:val="center"/>
                </w:tcPr>
                <w:p w14:paraId="3ABEDAB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200</w:t>
                  </w:r>
                </w:p>
              </w:tc>
            </w:tr>
            <w:tr w14:paraId="3A2ADD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5BD0CAD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29</w:t>
                  </w:r>
                </w:p>
              </w:tc>
              <w:tc>
                <w:tcPr>
                  <w:tcW w:w="1886" w:type="dxa"/>
                  <w:gridSpan w:val="2"/>
                  <w:tcBorders>
                    <w:tl2br w:val="nil"/>
                    <w:tr2bl w:val="nil"/>
                  </w:tcBorders>
                  <w:shd w:val="clear" w:color="auto" w:fill="FFFFFF"/>
                  <w:noWrap w:val="0"/>
                  <w:vAlign w:val="center"/>
                </w:tcPr>
                <w:p w14:paraId="66FBD05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钙</w:t>
                  </w:r>
                </w:p>
              </w:tc>
              <w:tc>
                <w:tcPr>
                  <w:tcW w:w="1337" w:type="dxa"/>
                  <w:tcBorders>
                    <w:tl2br w:val="nil"/>
                    <w:tr2bl w:val="nil"/>
                  </w:tcBorders>
                  <w:shd w:val="clear" w:color="auto" w:fill="FFFFFF"/>
                  <w:noWrap w:val="0"/>
                  <w:vAlign w:val="center"/>
                </w:tcPr>
                <w:p w14:paraId="7284EAB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796B0DF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206</w:t>
                  </w:r>
                </w:p>
              </w:tc>
              <w:tc>
                <w:tcPr>
                  <w:tcW w:w="1225" w:type="dxa"/>
                  <w:tcBorders>
                    <w:tl2br w:val="nil"/>
                    <w:tr2bl w:val="nil"/>
                  </w:tcBorders>
                  <w:shd w:val="clear" w:color="auto" w:fill="FFFFFF"/>
                  <w:noWrap w:val="0"/>
                  <w:vAlign w:val="center"/>
                </w:tcPr>
                <w:p w14:paraId="4D3A4BD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422</w:t>
                  </w:r>
                </w:p>
              </w:tc>
              <w:tc>
                <w:tcPr>
                  <w:tcW w:w="1140" w:type="dxa"/>
                  <w:tcBorders>
                    <w:tl2br w:val="nil"/>
                    <w:tr2bl w:val="nil"/>
                  </w:tcBorders>
                  <w:shd w:val="clear" w:color="auto" w:fill="FFFFFF"/>
                  <w:noWrap w:val="0"/>
                  <w:vAlign w:val="center"/>
                </w:tcPr>
                <w:p w14:paraId="061D6F67">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1162</w:t>
                  </w:r>
                </w:p>
              </w:tc>
              <w:tc>
                <w:tcPr>
                  <w:tcW w:w="768" w:type="dxa"/>
                  <w:tcBorders>
                    <w:right w:val="single" w:color="000000" w:sz="4" w:space="0"/>
                    <w:tl2br w:val="nil"/>
                    <w:tr2bl w:val="nil"/>
                  </w:tcBorders>
                  <w:shd w:val="clear" w:color="auto" w:fill="FFFFFF"/>
                  <w:noWrap w:val="0"/>
                  <w:vAlign w:val="center"/>
                </w:tcPr>
                <w:p w14:paraId="15BCD48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72B59E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1D9E106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30</w:t>
                  </w:r>
                </w:p>
              </w:tc>
              <w:tc>
                <w:tcPr>
                  <w:tcW w:w="1886" w:type="dxa"/>
                  <w:gridSpan w:val="2"/>
                  <w:tcBorders>
                    <w:tl2br w:val="nil"/>
                    <w:tr2bl w:val="nil"/>
                  </w:tcBorders>
                  <w:shd w:val="clear" w:color="auto" w:fill="FFFFFF"/>
                  <w:noWrap w:val="0"/>
                  <w:vAlign w:val="center"/>
                </w:tcPr>
                <w:p w14:paraId="1DE982C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镁</w:t>
                  </w:r>
                </w:p>
              </w:tc>
              <w:tc>
                <w:tcPr>
                  <w:tcW w:w="1337" w:type="dxa"/>
                  <w:tcBorders>
                    <w:tl2br w:val="nil"/>
                    <w:tr2bl w:val="nil"/>
                  </w:tcBorders>
                  <w:shd w:val="clear" w:color="auto" w:fill="FFFFFF"/>
                  <w:noWrap w:val="0"/>
                  <w:vAlign w:val="center"/>
                </w:tcPr>
                <w:p w14:paraId="344370D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7C226C9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42.7</w:t>
                  </w:r>
                </w:p>
              </w:tc>
              <w:tc>
                <w:tcPr>
                  <w:tcW w:w="1225" w:type="dxa"/>
                  <w:tcBorders>
                    <w:tl2br w:val="nil"/>
                    <w:tr2bl w:val="nil"/>
                  </w:tcBorders>
                  <w:shd w:val="clear" w:color="auto" w:fill="FFFFFF"/>
                  <w:noWrap w:val="0"/>
                  <w:vAlign w:val="center"/>
                </w:tcPr>
                <w:p w14:paraId="74A8AA8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43.3</w:t>
                  </w:r>
                </w:p>
              </w:tc>
              <w:tc>
                <w:tcPr>
                  <w:tcW w:w="1140" w:type="dxa"/>
                  <w:tcBorders>
                    <w:tl2br w:val="nil"/>
                    <w:tr2bl w:val="nil"/>
                  </w:tcBorders>
                  <w:shd w:val="clear" w:color="auto" w:fill="FFFFFF"/>
                  <w:noWrap w:val="0"/>
                  <w:vAlign w:val="center"/>
                </w:tcPr>
                <w:p w14:paraId="499CBEB9">
                  <w:pPr>
                    <w:keepNext w:val="0"/>
                    <w:keepLines w:val="0"/>
                    <w:widowControl/>
                    <w:suppressLineNumbers w:val="0"/>
                    <w:jc w:val="center"/>
                    <w:textAlignment w:val="top"/>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121</w:t>
                  </w:r>
                </w:p>
              </w:tc>
              <w:tc>
                <w:tcPr>
                  <w:tcW w:w="768" w:type="dxa"/>
                  <w:tcBorders>
                    <w:right w:val="single" w:color="000000" w:sz="4" w:space="0"/>
                    <w:tl2br w:val="nil"/>
                    <w:tr2bl w:val="nil"/>
                  </w:tcBorders>
                  <w:shd w:val="clear" w:color="auto" w:fill="FFFFFF"/>
                  <w:noWrap w:val="0"/>
                  <w:vAlign w:val="center"/>
                </w:tcPr>
                <w:p w14:paraId="6BD5387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1446A7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581FF1F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31</w:t>
                  </w:r>
                </w:p>
              </w:tc>
              <w:tc>
                <w:tcPr>
                  <w:tcW w:w="1886" w:type="dxa"/>
                  <w:gridSpan w:val="2"/>
                  <w:tcBorders>
                    <w:tl2br w:val="nil"/>
                    <w:tr2bl w:val="nil"/>
                  </w:tcBorders>
                  <w:shd w:val="clear" w:color="auto" w:fill="FFFFFF"/>
                  <w:noWrap w:val="0"/>
                  <w:vAlign w:val="center"/>
                </w:tcPr>
                <w:p w14:paraId="759D1F6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苯</w:t>
                  </w:r>
                </w:p>
              </w:tc>
              <w:tc>
                <w:tcPr>
                  <w:tcW w:w="1337" w:type="dxa"/>
                  <w:tcBorders>
                    <w:tl2br w:val="nil"/>
                    <w:tr2bl w:val="nil"/>
                  </w:tcBorders>
                  <w:shd w:val="clear" w:color="auto" w:fill="FFFFFF"/>
                  <w:noWrap w:val="0"/>
                  <w:vAlign w:val="center"/>
                </w:tcPr>
                <w:p w14:paraId="61CA3EB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1154" w:type="dxa"/>
                  <w:tcBorders>
                    <w:tl2br w:val="nil"/>
                    <w:tr2bl w:val="nil"/>
                  </w:tcBorders>
                  <w:shd w:val="clear" w:color="auto" w:fill="FFFFFF"/>
                  <w:noWrap w:val="0"/>
                  <w:vAlign w:val="center"/>
                </w:tcPr>
                <w:p w14:paraId="29ABB2E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1225" w:type="dxa"/>
                  <w:tcBorders>
                    <w:tl2br w:val="nil"/>
                    <w:tr2bl w:val="nil"/>
                  </w:tcBorders>
                  <w:shd w:val="clear" w:color="auto" w:fill="FFFFFF"/>
                  <w:noWrap w:val="0"/>
                  <w:vAlign w:val="center"/>
                </w:tcPr>
                <w:p w14:paraId="3107F82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1140" w:type="dxa"/>
                  <w:tcBorders>
                    <w:tl2br w:val="nil"/>
                    <w:tr2bl w:val="nil"/>
                  </w:tcBorders>
                  <w:shd w:val="clear" w:color="auto" w:fill="FFFFFF"/>
                  <w:noWrap w:val="0"/>
                  <w:vAlign w:val="center"/>
                </w:tcPr>
                <w:p w14:paraId="3A4A4F44">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768" w:type="dxa"/>
                  <w:tcBorders>
                    <w:right w:val="single" w:color="000000" w:sz="4" w:space="0"/>
                    <w:tl2br w:val="nil"/>
                    <w:tr2bl w:val="nil"/>
                  </w:tcBorders>
                  <w:shd w:val="clear" w:color="auto" w:fill="FFFFFF"/>
                  <w:noWrap w:val="0"/>
                  <w:vAlign w:val="center"/>
                </w:tcPr>
                <w:p w14:paraId="035C632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0.01</w:t>
                  </w:r>
                </w:p>
              </w:tc>
            </w:tr>
            <w:tr w14:paraId="2508B9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2FA0E19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32</w:t>
                  </w:r>
                </w:p>
              </w:tc>
              <w:tc>
                <w:tcPr>
                  <w:tcW w:w="1886" w:type="dxa"/>
                  <w:gridSpan w:val="2"/>
                  <w:tcBorders>
                    <w:tl2br w:val="nil"/>
                    <w:tr2bl w:val="nil"/>
                  </w:tcBorders>
                  <w:shd w:val="clear" w:color="auto" w:fill="FFFFFF"/>
                  <w:noWrap w:val="0"/>
                  <w:vAlign w:val="center"/>
                </w:tcPr>
                <w:p w14:paraId="1F95EB9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甲苯</w:t>
                  </w:r>
                </w:p>
              </w:tc>
              <w:tc>
                <w:tcPr>
                  <w:tcW w:w="1337" w:type="dxa"/>
                  <w:tcBorders>
                    <w:tl2br w:val="nil"/>
                    <w:tr2bl w:val="nil"/>
                  </w:tcBorders>
                  <w:shd w:val="clear" w:color="auto" w:fill="FFFFFF"/>
                  <w:noWrap w:val="0"/>
                  <w:vAlign w:val="center"/>
                </w:tcPr>
                <w:p w14:paraId="0301385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1154" w:type="dxa"/>
                  <w:tcBorders>
                    <w:tl2br w:val="nil"/>
                    <w:tr2bl w:val="nil"/>
                  </w:tcBorders>
                  <w:shd w:val="clear" w:color="auto" w:fill="FFFFFF"/>
                  <w:noWrap w:val="0"/>
                  <w:vAlign w:val="center"/>
                </w:tcPr>
                <w:p w14:paraId="39A0A08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1225" w:type="dxa"/>
                  <w:tcBorders>
                    <w:tl2br w:val="nil"/>
                    <w:tr2bl w:val="nil"/>
                  </w:tcBorders>
                  <w:shd w:val="clear" w:color="auto" w:fill="FFFFFF"/>
                  <w:noWrap w:val="0"/>
                  <w:vAlign w:val="center"/>
                </w:tcPr>
                <w:p w14:paraId="65FAFC2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1140" w:type="dxa"/>
                  <w:tcBorders>
                    <w:tl2br w:val="nil"/>
                    <w:tr2bl w:val="nil"/>
                  </w:tcBorders>
                  <w:shd w:val="clear" w:color="auto" w:fill="FFFFFF"/>
                  <w:noWrap w:val="0"/>
                  <w:vAlign w:val="center"/>
                </w:tcPr>
                <w:p w14:paraId="3165821A">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768" w:type="dxa"/>
                  <w:tcBorders>
                    <w:right w:val="single" w:color="000000" w:sz="4" w:space="0"/>
                    <w:tl2br w:val="nil"/>
                    <w:tr2bl w:val="nil"/>
                  </w:tcBorders>
                  <w:shd w:val="clear" w:color="auto" w:fill="FFFFFF"/>
                  <w:noWrap w:val="0"/>
                  <w:vAlign w:val="center"/>
                </w:tcPr>
                <w:p w14:paraId="6FB2FDD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0.7</w:t>
                  </w:r>
                </w:p>
              </w:tc>
            </w:tr>
            <w:tr w14:paraId="50122B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vMerge w:val="restart"/>
                  <w:tcBorders>
                    <w:left w:val="single" w:color="000000" w:sz="4" w:space="0"/>
                    <w:tl2br w:val="nil"/>
                    <w:tr2bl w:val="nil"/>
                  </w:tcBorders>
                  <w:shd w:val="clear" w:color="auto" w:fill="FFFFFF"/>
                  <w:noWrap/>
                  <w:vAlign w:val="center"/>
                </w:tcPr>
                <w:p w14:paraId="07690AD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33</w:t>
                  </w:r>
                </w:p>
              </w:tc>
              <w:tc>
                <w:tcPr>
                  <w:tcW w:w="536" w:type="dxa"/>
                  <w:vMerge w:val="restart"/>
                  <w:tcBorders>
                    <w:tl2br w:val="nil"/>
                    <w:tr2bl w:val="nil"/>
                  </w:tcBorders>
                  <w:shd w:val="clear" w:color="auto" w:fill="FFFFFF"/>
                  <w:noWrap w:val="0"/>
                  <w:vAlign w:val="center"/>
                </w:tcPr>
                <w:p w14:paraId="539D37C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二甲苯</w:t>
                  </w:r>
                </w:p>
              </w:tc>
              <w:tc>
                <w:tcPr>
                  <w:tcW w:w="1350" w:type="dxa"/>
                  <w:tcBorders>
                    <w:tl2br w:val="nil"/>
                    <w:tr2bl w:val="nil"/>
                  </w:tcBorders>
                  <w:shd w:val="clear" w:color="auto" w:fill="FFFFFF"/>
                  <w:noWrap w:val="0"/>
                  <w:vAlign w:val="center"/>
                </w:tcPr>
                <w:p w14:paraId="036B686E">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对二甲苯</w:t>
                  </w:r>
                </w:p>
              </w:tc>
              <w:tc>
                <w:tcPr>
                  <w:tcW w:w="1337" w:type="dxa"/>
                  <w:tcBorders>
                    <w:tl2br w:val="nil"/>
                    <w:tr2bl w:val="nil"/>
                  </w:tcBorders>
                  <w:shd w:val="clear" w:color="auto" w:fill="FFFFFF"/>
                  <w:noWrap w:val="0"/>
                  <w:vAlign w:val="center"/>
                </w:tcPr>
                <w:p w14:paraId="0CFD3AB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1154" w:type="dxa"/>
                  <w:tcBorders>
                    <w:tl2br w:val="nil"/>
                    <w:tr2bl w:val="nil"/>
                  </w:tcBorders>
                  <w:shd w:val="clear" w:color="auto" w:fill="FFFFFF"/>
                  <w:noWrap w:val="0"/>
                  <w:vAlign w:val="center"/>
                </w:tcPr>
                <w:p w14:paraId="0A8B3B0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1225" w:type="dxa"/>
                  <w:tcBorders>
                    <w:tl2br w:val="nil"/>
                    <w:tr2bl w:val="nil"/>
                  </w:tcBorders>
                  <w:shd w:val="clear" w:color="auto" w:fill="FFFFFF"/>
                  <w:noWrap w:val="0"/>
                  <w:vAlign w:val="center"/>
                </w:tcPr>
                <w:p w14:paraId="34446F2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1140" w:type="dxa"/>
                  <w:tcBorders>
                    <w:tl2br w:val="nil"/>
                    <w:tr2bl w:val="nil"/>
                  </w:tcBorders>
                  <w:shd w:val="clear" w:color="auto" w:fill="FFFFFF"/>
                  <w:noWrap w:val="0"/>
                  <w:vAlign w:val="center"/>
                </w:tcPr>
                <w:p w14:paraId="5FE4D54A">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768" w:type="dxa"/>
                  <w:vMerge w:val="restart"/>
                  <w:tcBorders>
                    <w:right w:val="single" w:color="000000" w:sz="4" w:space="0"/>
                    <w:tl2br w:val="nil"/>
                    <w:tr2bl w:val="nil"/>
                  </w:tcBorders>
                  <w:shd w:val="clear" w:color="auto" w:fill="FFFFFF"/>
                  <w:noWrap w:val="0"/>
                  <w:vAlign w:val="center"/>
                </w:tcPr>
                <w:p w14:paraId="6A6FF17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0.5</w:t>
                  </w:r>
                </w:p>
              </w:tc>
            </w:tr>
            <w:tr w14:paraId="405F63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vMerge w:val="continue"/>
                  <w:tcBorders>
                    <w:left w:val="single" w:color="000000" w:sz="4" w:space="0"/>
                    <w:tl2br w:val="nil"/>
                    <w:tr2bl w:val="nil"/>
                  </w:tcBorders>
                  <w:shd w:val="clear" w:color="auto" w:fill="FFFFFF"/>
                  <w:noWrap/>
                  <w:vAlign w:val="center"/>
                </w:tcPr>
                <w:p w14:paraId="69219D49">
                  <w:pPr>
                    <w:jc w:val="center"/>
                    <w:rPr>
                      <w:rFonts w:hint="default" w:ascii="Times New Roman" w:hAnsi="Times New Roman" w:eastAsia="宋体" w:cs="Times New Roman"/>
                      <w:b w:val="0"/>
                      <w:i w:val="0"/>
                      <w:iCs w:val="0"/>
                      <w:color w:val="000000"/>
                      <w:sz w:val="21"/>
                      <w:szCs w:val="21"/>
                      <w:highlight w:val="none"/>
                      <w:u w:val="none"/>
                    </w:rPr>
                  </w:pPr>
                </w:p>
              </w:tc>
              <w:tc>
                <w:tcPr>
                  <w:tcW w:w="536" w:type="dxa"/>
                  <w:vMerge w:val="continue"/>
                  <w:tcBorders>
                    <w:tl2br w:val="nil"/>
                    <w:tr2bl w:val="nil"/>
                  </w:tcBorders>
                  <w:shd w:val="clear" w:color="auto" w:fill="FFFFFF"/>
                  <w:noWrap w:val="0"/>
                  <w:vAlign w:val="center"/>
                </w:tcPr>
                <w:p w14:paraId="3620FCF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1350" w:type="dxa"/>
                  <w:tcBorders>
                    <w:tl2br w:val="nil"/>
                    <w:tr2bl w:val="nil"/>
                  </w:tcBorders>
                  <w:shd w:val="clear" w:color="auto" w:fill="FFFFFF"/>
                  <w:noWrap w:val="0"/>
                  <w:vAlign w:val="center"/>
                </w:tcPr>
                <w:p w14:paraId="1AFCE4AD">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间二甲苯</w:t>
                  </w:r>
                </w:p>
              </w:tc>
              <w:tc>
                <w:tcPr>
                  <w:tcW w:w="1337" w:type="dxa"/>
                  <w:tcBorders>
                    <w:tl2br w:val="nil"/>
                    <w:tr2bl w:val="nil"/>
                  </w:tcBorders>
                  <w:shd w:val="clear" w:color="auto" w:fill="FFFFFF"/>
                  <w:noWrap w:val="0"/>
                  <w:vAlign w:val="center"/>
                </w:tcPr>
                <w:p w14:paraId="5A83F9B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1154" w:type="dxa"/>
                  <w:tcBorders>
                    <w:tl2br w:val="nil"/>
                    <w:tr2bl w:val="nil"/>
                  </w:tcBorders>
                  <w:shd w:val="clear" w:color="auto" w:fill="FFFFFF"/>
                  <w:noWrap w:val="0"/>
                  <w:vAlign w:val="center"/>
                </w:tcPr>
                <w:p w14:paraId="2A971D28">
                  <w:pPr>
                    <w:keepNext w:val="0"/>
                    <w:keepLines w:val="0"/>
                    <w:widowControl/>
                    <w:suppressLineNumbers w:val="0"/>
                    <w:jc w:val="center"/>
                    <w:textAlignment w:val="top"/>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1225" w:type="dxa"/>
                  <w:tcBorders>
                    <w:tl2br w:val="nil"/>
                    <w:tr2bl w:val="nil"/>
                  </w:tcBorders>
                  <w:shd w:val="clear" w:color="auto" w:fill="FFFFFF"/>
                  <w:noWrap w:val="0"/>
                  <w:vAlign w:val="center"/>
                </w:tcPr>
                <w:p w14:paraId="506CA0A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1140" w:type="dxa"/>
                  <w:tcBorders>
                    <w:tl2br w:val="nil"/>
                    <w:tr2bl w:val="nil"/>
                  </w:tcBorders>
                  <w:shd w:val="clear" w:color="auto" w:fill="FFFFFF"/>
                  <w:noWrap w:val="0"/>
                  <w:vAlign w:val="center"/>
                </w:tcPr>
                <w:p w14:paraId="05B066FA">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768" w:type="dxa"/>
                  <w:vMerge w:val="continue"/>
                  <w:tcBorders>
                    <w:right w:val="single" w:color="000000" w:sz="4" w:space="0"/>
                    <w:tl2br w:val="nil"/>
                    <w:tr2bl w:val="nil"/>
                  </w:tcBorders>
                  <w:shd w:val="clear" w:color="auto" w:fill="FFFFFF"/>
                  <w:noWrap w:val="0"/>
                  <w:vAlign w:val="center"/>
                </w:tcPr>
                <w:p w14:paraId="4410E405">
                  <w:pPr>
                    <w:jc w:val="center"/>
                    <w:rPr>
                      <w:rFonts w:hint="default" w:ascii="Times New Roman" w:hAnsi="Times New Roman" w:eastAsia="宋体" w:cs="Times New Roman"/>
                      <w:b w:val="0"/>
                      <w:i w:val="0"/>
                      <w:iCs w:val="0"/>
                      <w:color w:val="000000"/>
                      <w:sz w:val="21"/>
                      <w:szCs w:val="21"/>
                      <w:highlight w:val="none"/>
                      <w:u w:val="none"/>
                    </w:rPr>
                  </w:pPr>
                </w:p>
              </w:tc>
            </w:tr>
            <w:tr w14:paraId="25CAB9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vMerge w:val="continue"/>
                  <w:tcBorders>
                    <w:left w:val="single" w:color="000000" w:sz="4" w:space="0"/>
                    <w:tl2br w:val="nil"/>
                    <w:tr2bl w:val="nil"/>
                  </w:tcBorders>
                  <w:shd w:val="clear" w:color="auto" w:fill="FFFFFF"/>
                  <w:noWrap/>
                  <w:vAlign w:val="center"/>
                </w:tcPr>
                <w:p w14:paraId="6A38B1B3">
                  <w:pPr>
                    <w:jc w:val="center"/>
                    <w:rPr>
                      <w:rFonts w:hint="default" w:ascii="Times New Roman" w:hAnsi="Times New Roman" w:eastAsia="宋体" w:cs="Times New Roman"/>
                      <w:b w:val="0"/>
                      <w:i w:val="0"/>
                      <w:iCs w:val="0"/>
                      <w:color w:val="000000"/>
                      <w:sz w:val="21"/>
                      <w:szCs w:val="21"/>
                      <w:highlight w:val="none"/>
                      <w:u w:val="none"/>
                    </w:rPr>
                  </w:pPr>
                </w:p>
              </w:tc>
              <w:tc>
                <w:tcPr>
                  <w:tcW w:w="536" w:type="dxa"/>
                  <w:vMerge w:val="continue"/>
                  <w:tcBorders>
                    <w:tl2br w:val="nil"/>
                    <w:tr2bl w:val="nil"/>
                  </w:tcBorders>
                  <w:shd w:val="clear" w:color="auto" w:fill="FFFFFF"/>
                  <w:noWrap w:val="0"/>
                  <w:vAlign w:val="center"/>
                </w:tcPr>
                <w:p w14:paraId="43687EF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1350" w:type="dxa"/>
                  <w:tcBorders>
                    <w:tl2br w:val="nil"/>
                    <w:tr2bl w:val="nil"/>
                  </w:tcBorders>
                  <w:shd w:val="clear" w:color="auto" w:fill="FFFFFF"/>
                  <w:noWrap w:val="0"/>
                  <w:vAlign w:val="center"/>
                </w:tcPr>
                <w:p w14:paraId="0513C7AA">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邻二甲苯</w:t>
                  </w:r>
                </w:p>
              </w:tc>
              <w:tc>
                <w:tcPr>
                  <w:tcW w:w="1337" w:type="dxa"/>
                  <w:tcBorders>
                    <w:tl2br w:val="nil"/>
                    <w:tr2bl w:val="nil"/>
                  </w:tcBorders>
                  <w:shd w:val="clear" w:color="auto" w:fill="FFFFFF"/>
                  <w:noWrap w:val="0"/>
                  <w:vAlign w:val="center"/>
                </w:tcPr>
                <w:p w14:paraId="1203877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1154" w:type="dxa"/>
                  <w:tcBorders>
                    <w:tl2br w:val="nil"/>
                    <w:tr2bl w:val="nil"/>
                  </w:tcBorders>
                  <w:shd w:val="clear" w:color="auto" w:fill="FFFFFF"/>
                  <w:noWrap w:val="0"/>
                  <w:vAlign w:val="center"/>
                </w:tcPr>
                <w:p w14:paraId="1B9009BF">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1225" w:type="dxa"/>
                  <w:tcBorders>
                    <w:tl2br w:val="nil"/>
                    <w:tr2bl w:val="nil"/>
                  </w:tcBorders>
                  <w:shd w:val="clear" w:color="auto" w:fill="FFFFFF"/>
                  <w:noWrap w:val="0"/>
                  <w:vAlign w:val="center"/>
                </w:tcPr>
                <w:p w14:paraId="23FDD02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1140" w:type="dxa"/>
                  <w:tcBorders>
                    <w:tl2br w:val="nil"/>
                    <w:tr2bl w:val="nil"/>
                  </w:tcBorders>
                  <w:shd w:val="clear" w:color="auto" w:fill="FFFFFF"/>
                  <w:noWrap w:val="0"/>
                  <w:vAlign w:val="center"/>
                </w:tcPr>
                <w:p w14:paraId="3E9FED50">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768" w:type="dxa"/>
                  <w:vMerge w:val="continue"/>
                  <w:tcBorders>
                    <w:right w:val="single" w:color="000000" w:sz="4" w:space="0"/>
                    <w:tl2br w:val="nil"/>
                    <w:tr2bl w:val="nil"/>
                  </w:tcBorders>
                  <w:shd w:val="clear" w:color="auto" w:fill="FFFFFF"/>
                  <w:noWrap w:val="0"/>
                  <w:vAlign w:val="center"/>
                </w:tcPr>
                <w:p w14:paraId="225F67DF">
                  <w:pPr>
                    <w:jc w:val="center"/>
                    <w:rPr>
                      <w:rFonts w:hint="default" w:ascii="Times New Roman" w:hAnsi="Times New Roman" w:eastAsia="宋体" w:cs="Times New Roman"/>
                      <w:b w:val="0"/>
                      <w:i w:val="0"/>
                      <w:iCs w:val="0"/>
                      <w:color w:val="000000"/>
                      <w:sz w:val="21"/>
                      <w:szCs w:val="21"/>
                      <w:highlight w:val="none"/>
                      <w:u w:val="none"/>
                    </w:rPr>
                  </w:pPr>
                </w:p>
              </w:tc>
            </w:tr>
            <w:tr w14:paraId="275AFF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2E5D2A0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34</w:t>
                  </w:r>
                </w:p>
              </w:tc>
              <w:tc>
                <w:tcPr>
                  <w:tcW w:w="1886" w:type="dxa"/>
                  <w:gridSpan w:val="2"/>
                  <w:tcBorders>
                    <w:tl2br w:val="nil"/>
                    <w:tr2bl w:val="nil"/>
                  </w:tcBorders>
                  <w:shd w:val="clear" w:color="auto" w:fill="FFFFFF"/>
                  <w:noWrap w:val="0"/>
                  <w:vAlign w:val="center"/>
                </w:tcPr>
                <w:p w14:paraId="7A9AE9F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碳酸根（CO</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3</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2-</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1337" w:type="dxa"/>
                  <w:tcBorders>
                    <w:tl2br w:val="nil"/>
                    <w:tr2bl w:val="nil"/>
                  </w:tcBorders>
                  <w:shd w:val="clear" w:color="auto" w:fill="FFFFFF"/>
                  <w:noWrap w:val="0"/>
                  <w:vAlign w:val="center"/>
                </w:tcPr>
                <w:p w14:paraId="7E75429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tl2br w:val="nil"/>
                    <w:tr2bl w:val="nil"/>
                  </w:tcBorders>
                  <w:shd w:val="clear" w:color="auto" w:fill="FFFFFF"/>
                  <w:noWrap w:val="0"/>
                  <w:vAlign w:val="center"/>
                </w:tcPr>
                <w:p w14:paraId="278EEA03">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5L</w:t>
                  </w:r>
                </w:p>
              </w:tc>
              <w:tc>
                <w:tcPr>
                  <w:tcW w:w="1225" w:type="dxa"/>
                  <w:tcBorders>
                    <w:tl2br w:val="nil"/>
                    <w:tr2bl w:val="nil"/>
                  </w:tcBorders>
                  <w:shd w:val="clear" w:color="auto" w:fill="FFFFFF"/>
                  <w:noWrap w:val="0"/>
                  <w:vAlign w:val="center"/>
                </w:tcPr>
                <w:p w14:paraId="6FA07D2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5L</w:t>
                  </w:r>
                </w:p>
              </w:tc>
              <w:tc>
                <w:tcPr>
                  <w:tcW w:w="1140" w:type="dxa"/>
                  <w:tcBorders>
                    <w:tl2br w:val="nil"/>
                    <w:tr2bl w:val="nil"/>
                  </w:tcBorders>
                  <w:shd w:val="clear" w:color="auto" w:fill="FFFFFF"/>
                  <w:noWrap w:val="0"/>
                  <w:vAlign w:val="center"/>
                </w:tcPr>
                <w:p w14:paraId="6990B324">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5L</w:t>
                  </w:r>
                </w:p>
              </w:tc>
              <w:tc>
                <w:tcPr>
                  <w:tcW w:w="768" w:type="dxa"/>
                  <w:tcBorders>
                    <w:right w:val="single" w:color="000000" w:sz="4" w:space="0"/>
                    <w:tl2br w:val="nil"/>
                    <w:tr2bl w:val="nil"/>
                  </w:tcBorders>
                  <w:shd w:val="clear" w:color="auto" w:fill="FFFFFF"/>
                  <w:noWrap w:val="0"/>
                  <w:vAlign w:val="center"/>
                </w:tcPr>
                <w:p w14:paraId="65BD2DA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75BDFE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bottom w:val="single" w:color="000000" w:sz="4" w:space="0"/>
                    <w:tl2br w:val="nil"/>
                    <w:tr2bl w:val="nil"/>
                  </w:tcBorders>
                  <w:shd w:val="clear" w:color="auto" w:fill="FFFFFF"/>
                  <w:noWrap w:val="0"/>
                  <w:vAlign w:val="center"/>
                </w:tcPr>
                <w:p w14:paraId="58F38193">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w:t>
                  </w:r>
                  <w:r>
                    <w:rPr>
                      <w:rFonts w:hint="eastAsia" w:cs="Times New Roman"/>
                      <w:b w:val="0"/>
                      <w:i w:val="0"/>
                      <w:iCs w:val="0"/>
                      <w:snapToGrid w:val="0"/>
                      <w:color w:val="000000"/>
                      <w:kern w:val="0"/>
                      <w:sz w:val="21"/>
                      <w:szCs w:val="21"/>
                      <w:highlight w:val="none"/>
                      <w:u w:val="none"/>
                      <w:lang w:val="en-US" w:eastAsia="zh-CN" w:bidi="ar"/>
                    </w:rPr>
                    <w:t>5</w:t>
                  </w:r>
                </w:p>
              </w:tc>
              <w:tc>
                <w:tcPr>
                  <w:tcW w:w="1886" w:type="dxa"/>
                  <w:gridSpan w:val="2"/>
                  <w:tcBorders>
                    <w:bottom w:val="single" w:color="000000" w:sz="4" w:space="0"/>
                    <w:tl2br w:val="nil"/>
                    <w:tr2bl w:val="nil"/>
                  </w:tcBorders>
                  <w:shd w:val="clear" w:color="auto" w:fill="FFFFFF"/>
                  <w:noWrap w:val="0"/>
                  <w:vAlign w:val="center"/>
                </w:tcPr>
                <w:p w14:paraId="616836C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重碳酸根（HCO</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3</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1337" w:type="dxa"/>
                  <w:tcBorders>
                    <w:bottom w:val="single" w:color="000000" w:sz="4" w:space="0"/>
                    <w:tl2br w:val="nil"/>
                    <w:tr2bl w:val="nil"/>
                  </w:tcBorders>
                  <w:shd w:val="clear" w:color="auto" w:fill="FFFFFF"/>
                  <w:noWrap w:val="0"/>
                  <w:vAlign w:val="center"/>
                </w:tcPr>
                <w:p w14:paraId="7441EAC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4" w:type="dxa"/>
                  <w:tcBorders>
                    <w:bottom w:val="single" w:color="000000" w:sz="4" w:space="0"/>
                    <w:tl2br w:val="nil"/>
                    <w:tr2bl w:val="nil"/>
                  </w:tcBorders>
                  <w:shd w:val="clear" w:color="auto" w:fill="FFFFFF"/>
                  <w:noWrap w:val="0"/>
                  <w:vAlign w:val="center"/>
                </w:tcPr>
                <w:p w14:paraId="1130F34A">
                  <w:pPr>
                    <w:keepNext w:val="0"/>
                    <w:keepLines w:val="0"/>
                    <w:widowControl/>
                    <w:suppressLineNumbers w:val="0"/>
                    <w:jc w:val="center"/>
                    <w:textAlignment w:val="top"/>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237</w:t>
                  </w:r>
                </w:p>
              </w:tc>
              <w:tc>
                <w:tcPr>
                  <w:tcW w:w="1225" w:type="dxa"/>
                  <w:tcBorders>
                    <w:bottom w:val="single" w:color="000000" w:sz="4" w:space="0"/>
                    <w:tl2br w:val="nil"/>
                    <w:tr2bl w:val="nil"/>
                  </w:tcBorders>
                  <w:shd w:val="clear" w:color="auto" w:fill="FFFFFF"/>
                  <w:noWrap w:val="0"/>
                  <w:vAlign w:val="center"/>
                </w:tcPr>
                <w:p w14:paraId="239E821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170</w:t>
                  </w:r>
                </w:p>
              </w:tc>
              <w:tc>
                <w:tcPr>
                  <w:tcW w:w="1140" w:type="dxa"/>
                  <w:tcBorders>
                    <w:bottom w:val="single" w:color="000000" w:sz="4" w:space="0"/>
                    <w:tl2br w:val="nil"/>
                    <w:tr2bl w:val="nil"/>
                  </w:tcBorders>
                  <w:shd w:val="clear" w:color="auto" w:fill="FFFFFF"/>
                  <w:noWrap w:val="0"/>
                  <w:vAlign w:val="center"/>
                </w:tcPr>
                <w:p w14:paraId="5E09B75A">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487</w:t>
                  </w:r>
                </w:p>
              </w:tc>
              <w:tc>
                <w:tcPr>
                  <w:tcW w:w="768" w:type="dxa"/>
                  <w:tcBorders>
                    <w:bottom w:val="single" w:color="000000" w:sz="4" w:space="0"/>
                    <w:right w:val="single" w:color="000000" w:sz="4" w:space="0"/>
                    <w:tl2br w:val="nil"/>
                    <w:tr2bl w:val="nil"/>
                  </w:tcBorders>
                  <w:shd w:val="clear" w:color="auto" w:fill="FFFFFF"/>
                  <w:noWrap w:val="0"/>
                  <w:vAlign w:val="center"/>
                </w:tcPr>
                <w:p w14:paraId="65EFD34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bl>
          <w:p w14:paraId="739D4D45">
            <w:pPr>
              <w:pStyle w:val="23"/>
              <w:bidi w:val="0"/>
              <w:rPr>
                <w:rFonts w:hint="eastAsia"/>
                <w:lang w:eastAsia="zh-CN"/>
              </w:rPr>
            </w:pPr>
            <w:r>
              <w:t>表</w:t>
            </w:r>
            <w:r>
              <w:fldChar w:fldCharType="begin"/>
            </w:r>
            <w:r>
              <w:instrText xml:space="preserve"> STYLEREF 1 \s \* ARABIC </w:instrText>
            </w:r>
            <w:r>
              <w:fldChar w:fldCharType="separate"/>
            </w:r>
            <w:r>
              <w:t>3</w:t>
            </w:r>
            <w:r>
              <w:fldChar w:fldCharType="end"/>
            </w:r>
            <w:r>
              <w:rPr>
                <w:rFonts w:hint="eastAsia"/>
                <w:lang w:val="en-US" w:eastAsia="zh-CN"/>
              </w:rPr>
              <w:t>-5</w:t>
            </w:r>
            <w:r>
              <w:rPr>
                <w:rFonts w:hint="eastAsia"/>
                <w:lang w:eastAsia="zh-CN"/>
              </w:rPr>
              <w:t>地下水现状监测结果（</w:t>
            </w:r>
            <w:r>
              <w:rPr>
                <w:rFonts w:hint="eastAsia"/>
                <w:lang w:val="en-US" w:eastAsia="zh-CN"/>
              </w:rPr>
              <w:t>2025年7月3日</w:t>
            </w:r>
            <w:r>
              <w:rPr>
                <w:rFonts w:hint="eastAsia"/>
                <w:lang w:eastAsia="zh-CN"/>
              </w:rPr>
              <w:t>）</w:t>
            </w:r>
          </w:p>
          <w:tbl>
            <w:tblPr>
              <w:tblStyle w:val="15"/>
              <w:tblW w:w="493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947"/>
              <w:gridCol w:w="591"/>
              <w:gridCol w:w="1785"/>
              <w:gridCol w:w="1389"/>
              <w:gridCol w:w="1196"/>
              <w:gridCol w:w="1295"/>
              <w:gridCol w:w="1072"/>
            </w:tblGrid>
            <w:tr w14:paraId="307E12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vMerge w:val="restart"/>
                  <w:tcBorders>
                    <w:top w:val="single" w:color="000000" w:sz="4" w:space="0"/>
                    <w:left w:val="single" w:color="000000" w:sz="4" w:space="0"/>
                    <w:tl2br w:val="nil"/>
                    <w:tr2bl w:val="nil"/>
                  </w:tcBorders>
                  <w:shd w:val="clear" w:color="auto" w:fill="FFFFFF"/>
                  <w:noWrap w:val="0"/>
                  <w:vAlign w:val="center"/>
                </w:tcPr>
                <w:p w14:paraId="63FF977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序号</w:t>
                  </w:r>
                </w:p>
              </w:tc>
              <w:tc>
                <w:tcPr>
                  <w:tcW w:w="1435" w:type="pct"/>
                  <w:gridSpan w:val="2"/>
                  <w:vMerge w:val="restart"/>
                  <w:tcBorders>
                    <w:top w:val="single" w:color="000000" w:sz="4" w:space="0"/>
                    <w:tl2br w:val="nil"/>
                    <w:tr2bl w:val="nil"/>
                  </w:tcBorders>
                  <w:shd w:val="clear" w:color="auto" w:fill="FFFFFF"/>
                  <w:noWrap w:val="0"/>
                  <w:vAlign w:val="center"/>
                </w:tcPr>
                <w:p w14:paraId="2F168B5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检测项目</w:t>
                  </w:r>
                </w:p>
              </w:tc>
              <w:tc>
                <w:tcPr>
                  <w:tcW w:w="839" w:type="pct"/>
                  <w:vMerge w:val="restart"/>
                  <w:tcBorders>
                    <w:top w:val="single" w:color="000000" w:sz="4" w:space="0"/>
                    <w:tl2br w:val="nil"/>
                    <w:tr2bl w:val="nil"/>
                  </w:tcBorders>
                  <w:shd w:val="clear" w:color="auto" w:fill="FFFFFF"/>
                  <w:noWrap w:val="0"/>
                  <w:vAlign w:val="center"/>
                </w:tcPr>
                <w:p w14:paraId="0C25865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单位</w:t>
                  </w:r>
                </w:p>
              </w:tc>
              <w:tc>
                <w:tcPr>
                  <w:tcW w:w="1504" w:type="pct"/>
                  <w:gridSpan w:val="2"/>
                  <w:tcBorders>
                    <w:top w:val="single" w:color="000000" w:sz="4" w:space="0"/>
                    <w:right w:val="single" w:color="auto" w:sz="4" w:space="0"/>
                    <w:tl2br w:val="nil"/>
                    <w:tr2bl w:val="nil"/>
                  </w:tcBorders>
                  <w:shd w:val="clear" w:color="auto" w:fill="FFFFFF"/>
                  <w:noWrap w:val="0"/>
                  <w:vAlign w:val="center"/>
                </w:tcPr>
                <w:p w14:paraId="5143AF38">
                  <w:pPr>
                    <w:keepNext w:val="0"/>
                    <w:keepLines w:val="0"/>
                    <w:widowControl/>
                    <w:suppressLineNumbers w:val="0"/>
                    <w:jc w:val="center"/>
                    <w:textAlignment w:val="cente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检测结果</w:t>
                  </w:r>
                </w:p>
              </w:tc>
              <w:tc>
                <w:tcPr>
                  <w:tcW w:w="647" w:type="pct"/>
                  <w:vMerge w:val="restart"/>
                  <w:tcBorders>
                    <w:top w:val="single" w:color="000000" w:sz="4" w:space="0"/>
                    <w:right w:val="single" w:color="000000" w:sz="4" w:space="0"/>
                    <w:tl2br w:val="nil"/>
                    <w:tr2bl w:val="nil"/>
                  </w:tcBorders>
                  <w:shd w:val="clear" w:color="auto" w:fill="FFFFFF"/>
                  <w:noWrap w:val="0"/>
                  <w:vAlign w:val="center"/>
                </w:tcPr>
                <w:p w14:paraId="26E0C9F7">
                  <w:pPr>
                    <w:keepNext w:val="0"/>
                    <w:keepLines w:val="0"/>
                    <w:widowControl/>
                    <w:suppressLineNumbers w:val="0"/>
                    <w:jc w:val="center"/>
                    <w:textAlignment w:val="cente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标准</w:t>
                  </w:r>
                </w:p>
              </w:tc>
            </w:tr>
            <w:tr w14:paraId="166485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vMerge w:val="continue"/>
                  <w:tcBorders>
                    <w:left w:val="single" w:color="000000" w:sz="4" w:space="0"/>
                    <w:tl2br w:val="nil"/>
                    <w:tr2bl w:val="nil"/>
                  </w:tcBorders>
                  <w:shd w:val="clear" w:color="auto" w:fill="FFFFFF"/>
                  <w:noWrap w:val="0"/>
                  <w:vAlign w:val="center"/>
                </w:tcPr>
                <w:p w14:paraId="510F3729">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c>
                <w:tcPr>
                  <w:tcW w:w="1435" w:type="pct"/>
                  <w:gridSpan w:val="2"/>
                  <w:vMerge w:val="continue"/>
                  <w:tcBorders>
                    <w:tl2br w:val="nil"/>
                    <w:tr2bl w:val="nil"/>
                  </w:tcBorders>
                  <w:shd w:val="clear" w:color="auto" w:fill="FFFFFF"/>
                  <w:noWrap w:val="0"/>
                  <w:vAlign w:val="center"/>
                </w:tcPr>
                <w:p w14:paraId="78FF6E72">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c>
                <w:tcPr>
                  <w:tcW w:w="839" w:type="pct"/>
                  <w:vMerge w:val="continue"/>
                  <w:tcBorders>
                    <w:tl2br w:val="nil"/>
                    <w:tr2bl w:val="nil"/>
                  </w:tcBorders>
                  <w:shd w:val="clear" w:color="auto" w:fill="FFFFFF"/>
                  <w:noWrap w:val="0"/>
                  <w:vAlign w:val="center"/>
                </w:tcPr>
                <w:p w14:paraId="63E9B576">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c>
                <w:tcPr>
                  <w:tcW w:w="722" w:type="pct"/>
                  <w:tcBorders>
                    <w:tl2br w:val="nil"/>
                    <w:tr2bl w:val="nil"/>
                  </w:tcBorders>
                  <w:shd w:val="clear" w:color="auto" w:fill="FFFFFF"/>
                  <w:noWrap w:val="0"/>
                  <w:vAlign w:val="center"/>
                </w:tcPr>
                <w:p w14:paraId="598554BB">
                  <w:pPr>
                    <w:keepNext w:val="0"/>
                    <w:keepLines w:val="0"/>
                    <w:widowControl/>
                    <w:suppressLineNumbers w:val="0"/>
                    <w:jc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4#</w:t>
                  </w:r>
                  <w:r>
                    <w:rPr>
                      <w:rFonts w:hint="default" w:ascii="Times New Roman" w:hAnsi="Times New Roman" w:eastAsia="宋体" w:cs="Times New Roman"/>
                      <w:b w:val="0"/>
                      <w:color w:val="000000"/>
                      <w:kern w:val="0"/>
                      <w:sz w:val="21"/>
                      <w:szCs w:val="21"/>
                      <w:highlight w:val="none"/>
                      <w:lang w:val="en-US" w:eastAsia="zh-CN"/>
                    </w:rPr>
                    <w:t>上库石油石化园上游地下水井井</w:t>
                  </w:r>
                </w:p>
              </w:tc>
              <w:tc>
                <w:tcPr>
                  <w:tcW w:w="782" w:type="pct"/>
                  <w:tcBorders>
                    <w:right w:val="single" w:color="auto" w:sz="4" w:space="0"/>
                    <w:tl2br w:val="nil"/>
                    <w:tr2bl w:val="nil"/>
                  </w:tcBorders>
                  <w:shd w:val="clear" w:color="auto" w:fill="FFFFFF"/>
                  <w:noWrap w:val="0"/>
                  <w:vAlign w:val="center"/>
                </w:tcPr>
                <w:p w14:paraId="4ECFDEEB">
                  <w:pPr>
                    <w:keepNext w:val="0"/>
                    <w:keepLines w:val="0"/>
                    <w:widowControl/>
                    <w:suppressLineNumbers w:val="0"/>
                    <w:jc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5#</w:t>
                  </w:r>
                  <w:r>
                    <w:rPr>
                      <w:rFonts w:hint="default" w:ascii="Times New Roman" w:hAnsi="Times New Roman" w:eastAsia="宋体" w:cs="Times New Roman"/>
                      <w:b w:val="0"/>
                      <w:color w:val="000000"/>
                      <w:kern w:val="0"/>
                      <w:sz w:val="21"/>
                      <w:szCs w:val="21"/>
                      <w:highlight w:val="none"/>
                      <w:lang w:val="en-US" w:eastAsia="zh-CN"/>
                    </w:rPr>
                    <w:t>上库石油石化园上游地下水井</w:t>
                  </w:r>
                  <w:r>
                    <w:rPr>
                      <w:rFonts w:hint="default" w:ascii="Times New Roman" w:hAnsi="Times New Roman" w:eastAsia="宋体" w:cs="Times New Roman"/>
                      <w:b w:val="0"/>
                      <w:color w:val="000000"/>
                      <w:kern w:val="0"/>
                      <w:sz w:val="21"/>
                      <w:szCs w:val="21"/>
                      <w:highlight w:val="none"/>
                      <w:lang w:val="en-US" w:eastAsia="zh-CN" w:bidi="ar"/>
                    </w:rPr>
                    <w:t>游）</w:t>
                  </w:r>
                </w:p>
              </w:tc>
              <w:tc>
                <w:tcPr>
                  <w:tcW w:w="647" w:type="pct"/>
                  <w:vMerge w:val="continue"/>
                  <w:tcBorders>
                    <w:right w:val="single" w:color="000000" w:sz="4" w:space="0"/>
                    <w:tl2br w:val="nil"/>
                    <w:tr2bl w:val="nil"/>
                  </w:tcBorders>
                  <w:shd w:val="clear" w:color="auto" w:fill="FFFFFF"/>
                  <w:noWrap w:val="0"/>
                  <w:vAlign w:val="center"/>
                </w:tcPr>
                <w:p w14:paraId="34655D5A">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r>
            <w:tr w14:paraId="6ECBBB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60D8E98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w:t>
                  </w:r>
                </w:p>
              </w:tc>
              <w:tc>
                <w:tcPr>
                  <w:tcW w:w="1435" w:type="pct"/>
                  <w:gridSpan w:val="2"/>
                  <w:tcBorders>
                    <w:tl2br w:val="nil"/>
                    <w:tr2bl w:val="nil"/>
                  </w:tcBorders>
                  <w:shd w:val="clear" w:color="auto" w:fill="FFFFFF"/>
                  <w:noWrap w:val="0"/>
                  <w:vAlign w:val="center"/>
                </w:tcPr>
                <w:p w14:paraId="3FF26FA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pH值</w:t>
                  </w:r>
                </w:p>
              </w:tc>
              <w:tc>
                <w:tcPr>
                  <w:tcW w:w="839" w:type="pct"/>
                  <w:tcBorders>
                    <w:tl2br w:val="nil"/>
                    <w:tr2bl w:val="nil"/>
                  </w:tcBorders>
                  <w:shd w:val="clear" w:color="auto" w:fill="FFFFFF"/>
                  <w:noWrap w:val="0"/>
                  <w:vAlign w:val="center"/>
                </w:tcPr>
                <w:p w14:paraId="33CE1A4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无量纲</w:t>
                  </w:r>
                </w:p>
              </w:tc>
              <w:tc>
                <w:tcPr>
                  <w:tcW w:w="722" w:type="pct"/>
                  <w:tcBorders>
                    <w:tl2br w:val="nil"/>
                    <w:tr2bl w:val="nil"/>
                  </w:tcBorders>
                  <w:shd w:val="clear" w:color="auto" w:fill="FFFFFF"/>
                  <w:noWrap w:val="0"/>
                  <w:vAlign w:val="center"/>
                </w:tcPr>
                <w:p w14:paraId="48230880">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8.0</w:t>
                  </w:r>
                </w:p>
              </w:tc>
              <w:tc>
                <w:tcPr>
                  <w:tcW w:w="782" w:type="pct"/>
                  <w:tcBorders>
                    <w:tl2br w:val="nil"/>
                    <w:tr2bl w:val="nil"/>
                  </w:tcBorders>
                  <w:shd w:val="clear" w:color="auto" w:fill="FFFFFF"/>
                  <w:noWrap w:val="0"/>
                  <w:vAlign w:val="center"/>
                </w:tcPr>
                <w:p w14:paraId="2FE3051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7.7</w:t>
                  </w:r>
                </w:p>
              </w:tc>
              <w:tc>
                <w:tcPr>
                  <w:tcW w:w="647" w:type="pct"/>
                  <w:tcBorders>
                    <w:right w:val="single" w:color="000000" w:sz="4" w:space="0"/>
                    <w:tl2br w:val="nil"/>
                    <w:tr2bl w:val="nil"/>
                  </w:tcBorders>
                  <w:shd w:val="clear" w:color="auto" w:fill="FFFFFF"/>
                  <w:noWrap w:val="0"/>
                  <w:vAlign w:val="center"/>
                </w:tcPr>
                <w:p w14:paraId="2956915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6.5～8.5</w:t>
                  </w:r>
                </w:p>
              </w:tc>
            </w:tr>
            <w:tr w14:paraId="7AF0B6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6BB72FA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w:t>
                  </w:r>
                </w:p>
              </w:tc>
              <w:tc>
                <w:tcPr>
                  <w:tcW w:w="1435" w:type="pct"/>
                  <w:gridSpan w:val="2"/>
                  <w:tcBorders>
                    <w:tl2br w:val="nil"/>
                    <w:tr2bl w:val="nil"/>
                  </w:tcBorders>
                  <w:shd w:val="clear" w:color="auto" w:fill="FFFFFF"/>
                  <w:noWrap w:val="0"/>
                  <w:vAlign w:val="center"/>
                </w:tcPr>
                <w:p w14:paraId="453EF87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总硬度</w:t>
                  </w:r>
                </w:p>
              </w:tc>
              <w:tc>
                <w:tcPr>
                  <w:tcW w:w="839" w:type="pct"/>
                  <w:tcBorders>
                    <w:tl2br w:val="nil"/>
                    <w:tr2bl w:val="nil"/>
                  </w:tcBorders>
                  <w:shd w:val="clear" w:color="auto" w:fill="FFFFFF"/>
                  <w:noWrap w:val="0"/>
                  <w:vAlign w:val="center"/>
                </w:tcPr>
                <w:p w14:paraId="41D766E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0B196D7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1.60×10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3</w:t>
                  </w:r>
                </w:p>
              </w:tc>
              <w:tc>
                <w:tcPr>
                  <w:tcW w:w="782" w:type="pct"/>
                  <w:tcBorders>
                    <w:tl2br w:val="nil"/>
                    <w:tr2bl w:val="nil"/>
                  </w:tcBorders>
                  <w:shd w:val="clear" w:color="auto" w:fill="FFFFFF"/>
                  <w:noWrap w:val="0"/>
                  <w:vAlign w:val="center"/>
                </w:tcPr>
                <w:p w14:paraId="1E90B59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2.95×10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3</w:t>
                  </w:r>
                </w:p>
              </w:tc>
              <w:tc>
                <w:tcPr>
                  <w:tcW w:w="647" w:type="pct"/>
                  <w:tcBorders>
                    <w:right w:val="single" w:color="000000" w:sz="4" w:space="0"/>
                    <w:tl2br w:val="nil"/>
                    <w:tr2bl w:val="nil"/>
                  </w:tcBorders>
                  <w:shd w:val="clear" w:color="auto" w:fill="FFFFFF"/>
                  <w:noWrap w:val="0"/>
                  <w:vAlign w:val="center"/>
                </w:tcPr>
                <w:p w14:paraId="740EE36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450</w:t>
                  </w:r>
                </w:p>
              </w:tc>
            </w:tr>
            <w:tr w14:paraId="254B23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0E1EDF7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w:t>
                  </w:r>
                </w:p>
              </w:tc>
              <w:tc>
                <w:tcPr>
                  <w:tcW w:w="1435" w:type="pct"/>
                  <w:gridSpan w:val="2"/>
                  <w:tcBorders>
                    <w:tl2br w:val="nil"/>
                    <w:tr2bl w:val="nil"/>
                  </w:tcBorders>
                  <w:shd w:val="clear" w:color="auto" w:fill="FFFFFF"/>
                  <w:noWrap w:val="0"/>
                  <w:vAlign w:val="center"/>
                </w:tcPr>
                <w:p w14:paraId="68D0765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溶解性总固体</w:t>
                  </w:r>
                </w:p>
              </w:tc>
              <w:tc>
                <w:tcPr>
                  <w:tcW w:w="839" w:type="pct"/>
                  <w:tcBorders>
                    <w:tl2br w:val="nil"/>
                    <w:tr2bl w:val="nil"/>
                  </w:tcBorders>
                  <w:shd w:val="clear" w:color="auto" w:fill="FFFFFF"/>
                  <w:noWrap w:val="0"/>
                  <w:vAlign w:val="center"/>
                </w:tcPr>
                <w:p w14:paraId="2FD072D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4ECF60A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2557</w:t>
                  </w:r>
                </w:p>
              </w:tc>
              <w:tc>
                <w:tcPr>
                  <w:tcW w:w="782" w:type="pct"/>
                  <w:tcBorders>
                    <w:tl2br w:val="nil"/>
                    <w:tr2bl w:val="nil"/>
                  </w:tcBorders>
                  <w:shd w:val="clear" w:color="auto" w:fill="FFFFFF"/>
                  <w:noWrap w:val="0"/>
                  <w:vAlign w:val="center"/>
                </w:tcPr>
                <w:p w14:paraId="31D12A1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7755</w:t>
                  </w:r>
                </w:p>
              </w:tc>
              <w:tc>
                <w:tcPr>
                  <w:tcW w:w="647" w:type="pct"/>
                  <w:tcBorders>
                    <w:right w:val="single" w:color="000000" w:sz="4" w:space="0"/>
                    <w:tl2br w:val="nil"/>
                    <w:tr2bl w:val="nil"/>
                  </w:tcBorders>
                  <w:shd w:val="clear" w:color="auto" w:fill="FFFFFF"/>
                  <w:noWrap w:val="0"/>
                  <w:vAlign w:val="center"/>
                </w:tcPr>
                <w:p w14:paraId="1E10DB4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1000</w:t>
                  </w:r>
                </w:p>
              </w:tc>
            </w:tr>
            <w:tr w14:paraId="0A8D33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696FE3A5">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4</w:t>
                  </w:r>
                </w:p>
              </w:tc>
              <w:tc>
                <w:tcPr>
                  <w:tcW w:w="1435" w:type="pct"/>
                  <w:gridSpan w:val="2"/>
                  <w:tcBorders>
                    <w:tl2br w:val="nil"/>
                    <w:tr2bl w:val="nil"/>
                  </w:tcBorders>
                  <w:shd w:val="clear" w:color="auto" w:fill="FFFFFF"/>
                  <w:noWrap w:val="0"/>
                  <w:vAlign w:val="center"/>
                </w:tcPr>
                <w:p w14:paraId="520DC99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高锰酸盐指数（耗氧量）</w:t>
                  </w:r>
                </w:p>
              </w:tc>
              <w:tc>
                <w:tcPr>
                  <w:tcW w:w="839" w:type="pct"/>
                  <w:tcBorders>
                    <w:tl2br w:val="nil"/>
                    <w:tr2bl w:val="nil"/>
                  </w:tcBorders>
                  <w:shd w:val="clear" w:color="auto" w:fill="FFFFFF"/>
                  <w:noWrap w:val="0"/>
                  <w:vAlign w:val="center"/>
                </w:tcPr>
                <w:p w14:paraId="784F9B6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16D9651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14</w:t>
                  </w:r>
                </w:p>
              </w:tc>
              <w:tc>
                <w:tcPr>
                  <w:tcW w:w="782" w:type="pct"/>
                  <w:tcBorders>
                    <w:tl2br w:val="nil"/>
                    <w:tr2bl w:val="nil"/>
                  </w:tcBorders>
                  <w:shd w:val="clear" w:color="auto" w:fill="FFFFFF"/>
                  <w:noWrap w:val="0"/>
                  <w:vAlign w:val="center"/>
                </w:tcPr>
                <w:p w14:paraId="34BBF6C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16</w:t>
                  </w:r>
                </w:p>
              </w:tc>
              <w:tc>
                <w:tcPr>
                  <w:tcW w:w="647" w:type="pct"/>
                  <w:tcBorders>
                    <w:right w:val="single" w:color="000000" w:sz="4" w:space="0"/>
                    <w:tl2br w:val="nil"/>
                    <w:tr2bl w:val="nil"/>
                  </w:tcBorders>
                  <w:shd w:val="clear" w:color="auto" w:fill="FFFFFF"/>
                  <w:noWrap w:val="0"/>
                  <w:vAlign w:val="center"/>
                </w:tcPr>
                <w:p w14:paraId="5933171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3.0</w:t>
                  </w:r>
                </w:p>
              </w:tc>
            </w:tr>
            <w:tr w14:paraId="152743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2858BF52">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5</w:t>
                  </w:r>
                </w:p>
              </w:tc>
              <w:tc>
                <w:tcPr>
                  <w:tcW w:w="1435" w:type="pct"/>
                  <w:gridSpan w:val="2"/>
                  <w:tcBorders>
                    <w:tl2br w:val="nil"/>
                    <w:tr2bl w:val="nil"/>
                  </w:tcBorders>
                  <w:shd w:val="clear" w:color="auto" w:fill="FFFFFF"/>
                  <w:noWrap w:val="0"/>
                  <w:vAlign w:val="center"/>
                </w:tcPr>
                <w:p w14:paraId="1B7C7B0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总大肠菌群</w:t>
                  </w:r>
                </w:p>
              </w:tc>
              <w:tc>
                <w:tcPr>
                  <w:tcW w:w="839" w:type="pct"/>
                  <w:tcBorders>
                    <w:tl2br w:val="nil"/>
                    <w:tr2bl w:val="nil"/>
                  </w:tcBorders>
                  <w:shd w:val="clear" w:color="auto" w:fill="FFFFFF"/>
                  <w:noWrap w:val="0"/>
                  <w:vAlign w:val="center"/>
                </w:tcPr>
                <w:p w14:paraId="2DD08B9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MPN/100mL</w:t>
                  </w:r>
                </w:p>
              </w:tc>
              <w:tc>
                <w:tcPr>
                  <w:tcW w:w="722" w:type="pct"/>
                  <w:tcBorders>
                    <w:tl2br w:val="nil"/>
                    <w:tr2bl w:val="nil"/>
                  </w:tcBorders>
                  <w:shd w:val="clear" w:color="auto" w:fill="FFFFFF"/>
                  <w:noWrap w:val="0"/>
                  <w:vAlign w:val="center"/>
                </w:tcPr>
                <w:p w14:paraId="652A56E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未检出</w:t>
                  </w:r>
                </w:p>
              </w:tc>
              <w:tc>
                <w:tcPr>
                  <w:tcW w:w="782" w:type="pct"/>
                  <w:tcBorders>
                    <w:tl2br w:val="nil"/>
                    <w:tr2bl w:val="nil"/>
                  </w:tcBorders>
                  <w:shd w:val="clear" w:color="auto" w:fill="FFFFFF"/>
                  <w:noWrap w:val="0"/>
                  <w:vAlign w:val="center"/>
                </w:tcPr>
                <w:p w14:paraId="2A8AD2F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未检出</w:t>
                  </w:r>
                </w:p>
              </w:tc>
              <w:tc>
                <w:tcPr>
                  <w:tcW w:w="647" w:type="pct"/>
                  <w:tcBorders>
                    <w:right w:val="single" w:color="000000" w:sz="4" w:space="0"/>
                    <w:tl2br w:val="nil"/>
                    <w:tr2bl w:val="nil"/>
                  </w:tcBorders>
                  <w:shd w:val="clear" w:color="auto" w:fill="FFFFFF"/>
                  <w:noWrap w:val="0"/>
                  <w:vAlign w:val="center"/>
                </w:tcPr>
                <w:p w14:paraId="5E0A0DA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w:t>
                  </w:r>
                </w:p>
              </w:tc>
            </w:tr>
            <w:tr w14:paraId="1DB1D4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63107E94">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6</w:t>
                  </w:r>
                </w:p>
              </w:tc>
              <w:tc>
                <w:tcPr>
                  <w:tcW w:w="1435" w:type="pct"/>
                  <w:gridSpan w:val="2"/>
                  <w:tcBorders>
                    <w:tl2br w:val="nil"/>
                    <w:tr2bl w:val="nil"/>
                  </w:tcBorders>
                  <w:shd w:val="clear" w:color="auto" w:fill="FFFFFF"/>
                  <w:noWrap w:val="0"/>
                  <w:vAlign w:val="center"/>
                </w:tcPr>
                <w:p w14:paraId="30DE2D7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氯化物（Cl</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839" w:type="pct"/>
                  <w:tcBorders>
                    <w:tl2br w:val="nil"/>
                    <w:tr2bl w:val="nil"/>
                  </w:tcBorders>
                  <w:shd w:val="clear" w:color="auto" w:fill="FFFFFF"/>
                  <w:noWrap w:val="0"/>
                  <w:vAlign w:val="center"/>
                </w:tcPr>
                <w:p w14:paraId="3822AFD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2D26DE5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180</w:t>
                  </w:r>
                </w:p>
              </w:tc>
              <w:tc>
                <w:tcPr>
                  <w:tcW w:w="782" w:type="pct"/>
                  <w:tcBorders>
                    <w:tl2br w:val="nil"/>
                    <w:tr2bl w:val="nil"/>
                  </w:tcBorders>
                  <w:shd w:val="clear" w:color="auto" w:fill="FFFFFF"/>
                  <w:noWrap w:val="0"/>
                  <w:vAlign w:val="center"/>
                </w:tcPr>
                <w:p w14:paraId="0DB71F0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3.35×10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3</w:t>
                  </w:r>
                </w:p>
              </w:tc>
              <w:tc>
                <w:tcPr>
                  <w:tcW w:w="647" w:type="pct"/>
                  <w:tcBorders>
                    <w:right w:val="single" w:color="000000" w:sz="4" w:space="0"/>
                    <w:tl2br w:val="nil"/>
                    <w:tr2bl w:val="nil"/>
                  </w:tcBorders>
                  <w:shd w:val="clear" w:color="auto" w:fill="FFFFFF"/>
                  <w:noWrap w:val="0"/>
                  <w:vAlign w:val="center"/>
                </w:tcPr>
                <w:p w14:paraId="3BBA056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250</w:t>
                  </w:r>
                </w:p>
              </w:tc>
            </w:tr>
            <w:tr w14:paraId="202B2A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53D8855D">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7</w:t>
                  </w:r>
                </w:p>
              </w:tc>
              <w:tc>
                <w:tcPr>
                  <w:tcW w:w="1435" w:type="pct"/>
                  <w:gridSpan w:val="2"/>
                  <w:tcBorders>
                    <w:tl2br w:val="nil"/>
                    <w:tr2bl w:val="nil"/>
                  </w:tcBorders>
                  <w:shd w:val="clear" w:color="auto" w:fill="FFFFFF"/>
                  <w:noWrap w:val="0"/>
                  <w:vAlign w:val="center"/>
                </w:tcPr>
                <w:p w14:paraId="66A21CD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硫酸盐（SO</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4</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2-</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839" w:type="pct"/>
                  <w:tcBorders>
                    <w:tl2br w:val="nil"/>
                    <w:tr2bl w:val="nil"/>
                  </w:tcBorders>
                  <w:shd w:val="clear" w:color="auto" w:fill="FFFFFF"/>
                  <w:noWrap w:val="0"/>
                  <w:vAlign w:val="center"/>
                </w:tcPr>
                <w:p w14:paraId="561A704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251698C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1535</w:t>
                  </w:r>
                </w:p>
              </w:tc>
              <w:tc>
                <w:tcPr>
                  <w:tcW w:w="782" w:type="pct"/>
                  <w:tcBorders>
                    <w:tl2br w:val="nil"/>
                    <w:tr2bl w:val="nil"/>
                  </w:tcBorders>
                  <w:shd w:val="clear" w:color="auto" w:fill="FFFFFF"/>
                  <w:noWrap w:val="0"/>
                  <w:vAlign w:val="center"/>
                </w:tcPr>
                <w:p w14:paraId="7CA0184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2996</w:t>
                  </w:r>
                </w:p>
              </w:tc>
              <w:tc>
                <w:tcPr>
                  <w:tcW w:w="647" w:type="pct"/>
                  <w:tcBorders>
                    <w:right w:val="single" w:color="000000" w:sz="4" w:space="0"/>
                    <w:tl2br w:val="nil"/>
                    <w:tr2bl w:val="nil"/>
                  </w:tcBorders>
                  <w:shd w:val="clear" w:color="auto" w:fill="FFFFFF"/>
                  <w:noWrap w:val="0"/>
                  <w:vAlign w:val="center"/>
                </w:tcPr>
                <w:p w14:paraId="2B2C9A4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250</w:t>
                  </w:r>
                </w:p>
              </w:tc>
            </w:tr>
            <w:tr w14:paraId="07DD5A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222DF872">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8</w:t>
                  </w:r>
                </w:p>
              </w:tc>
              <w:tc>
                <w:tcPr>
                  <w:tcW w:w="1435" w:type="pct"/>
                  <w:gridSpan w:val="2"/>
                  <w:tcBorders>
                    <w:tl2br w:val="nil"/>
                    <w:tr2bl w:val="nil"/>
                  </w:tcBorders>
                  <w:shd w:val="clear" w:color="auto" w:fill="FFFFFF"/>
                  <w:noWrap w:val="0"/>
                  <w:vAlign w:val="center"/>
                </w:tcPr>
                <w:p w14:paraId="4713FAA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硝酸盐氮</w:t>
                  </w:r>
                </w:p>
              </w:tc>
              <w:tc>
                <w:tcPr>
                  <w:tcW w:w="839" w:type="pct"/>
                  <w:tcBorders>
                    <w:tl2br w:val="nil"/>
                    <w:tr2bl w:val="nil"/>
                  </w:tcBorders>
                  <w:shd w:val="clear" w:color="auto" w:fill="FFFFFF"/>
                  <w:noWrap w:val="0"/>
                  <w:vAlign w:val="center"/>
                </w:tcPr>
                <w:p w14:paraId="6AD9AC7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222BE32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0.68</w:t>
                  </w:r>
                </w:p>
              </w:tc>
              <w:tc>
                <w:tcPr>
                  <w:tcW w:w="782" w:type="pct"/>
                  <w:tcBorders>
                    <w:tl2br w:val="nil"/>
                    <w:tr2bl w:val="nil"/>
                  </w:tcBorders>
                  <w:shd w:val="clear" w:color="auto" w:fill="FFFFFF"/>
                  <w:noWrap w:val="0"/>
                  <w:vAlign w:val="center"/>
                </w:tcPr>
                <w:p w14:paraId="643C51E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2.48</w:t>
                  </w:r>
                </w:p>
              </w:tc>
              <w:tc>
                <w:tcPr>
                  <w:tcW w:w="647" w:type="pct"/>
                  <w:tcBorders>
                    <w:right w:val="single" w:color="000000" w:sz="4" w:space="0"/>
                    <w:tl2br w:val="nil"/>
                    <w:tr2bl w:val="nil"/>
                  </w:tcBorders>
                  <w:shd w:val="clear" w:color="auto" w:fill="FFFFFF"/>
                  <w:noWrap w:val="0"/>
                  <w:vAlign w:val="center"/>
                </w:tcPr>
                <w:p w14:paraId="59D6760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20</w:t>
                  </w:r>
                </w:p>
              </w:tc>
            </w:tr>
            <w:tr w14:paraId="0606CD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4F72F8B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9</w:t>
                  </w:r>
                </w:p>
              </w:tc>
              <w:tc>
                <w:tcPr>
                  <w:tcW w:w="1435" w:type="pct"/>
                  <w:gridSpan w:val="2"/>
                  <w:tcBorders>
                    <w:tl2br w:val="nil"/>
                    <w:tr2bl w:val="nil"/>
                  </w:tcBorders>
                  <w:shd w:val="clear" w:color="auto" w:fill="FFFFFF"/>
                  <w:noWrap w:val="0"/>
                  <w:vAlign w:val="center"/>
                </w:tcPr>
                <w:p w14:paraId="48108DD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亚硝酸盐氮</w:t>
                  </w:r>
                </w:p>
              </w:tc>
              <w:tc>
                <w:tcPr>
                  <w:tcW w:w="839" w:type="pct"/>
                  <w:tcBorders>
                    <w:tl2br w:val="nil"/>
                    <w:tr2bl w:val="nil"/>
                  </w:tcBorders>
                  <w:shd w:val="clear" w:color="auto" w:fill="FFFFFF"/>
                  <w:noWrap w:val="0"/>
                  <w:vAlign w:val="center"/>
                </w:tcPr>
                <w:p w14:paraId="50381A1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7EF5334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0.003L</w:t>
                  </w:r>
                </w:p>
              </w:tc>
              <w:tc>
                <w:tcPr>
                  <w:tcW w:w="782" w:type="pct"/>
                  <w:tcBorders>
                    <w:tl2br w:val="nil"/>
                    <w:tr2bl w:val="nil"/>
                  </w:tcBorders>
                  <w:shd w:val="clear" w:color="auto" w:fill="FFFFFF"/>
                  <w:noWrap w:val="0"/>
                  <w:vAlign w:val="center"/>
                </w:tcPr>
                <w:p w14:paraId="190CFCA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0.003L</w:t>
                  </w:r>
                </w:p>
              </w:tc>
              <w:tc>
                <w:tcPr>
                  <w:tcW w:w="647" w:type="pct"/>
                  <w:tcBorders>
                    <w:right w:val="single" w:color="000000" w:sz="4" w:space="0"/>
                    <w:tl2br w:val="nil"/>
                    <w:tr2bl w:val="nil"/>
                  </w:tcBorders>
                  <w:shd w:val="clear" w:color="auto" w:fill="FFFFFF"/>
                  <w:noWrap w:val="0"/>
                  <w:vAlign w:val="center"/>
                </w:tcPr>
                <w:p w14:paraId="17643FE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284BE4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428E1AAA">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c>
                <w:tcPr>
                  <w:tcW w:w="1435" w:type="pct"/>
                  <w:gridSpan w:val="2"/>
                  <w:tcBorders>
                    <w:tl2br w:val="nil"/>
                    <w:tr2bl w:val="nil"/>
                  </w:tcBorders>
                  <w:shd w:val="clear" w:color="auto" w:fill="FFFFFF"/>
                  <w:noWrap w:val="0"/>
                  <w:vAlign w:val="center"/>
                </w:tcPr>
                <w:p w14:paraId="2DFDF3F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氟化物</w:t>
                  </w:r>
                </w:p>
              </w:tc>
              <w:tc>
                <w:tcPr>
                  <w:tcW w:w="839" w:type="pct"/>
                  <w:tcBorders>
                    <w:tl2br w:val="nil"/>
                    <w:tr2bl w:val="nil"/>
                  </w:tcBorders>
                  <w:shd w:val="clear" w:color="auto" w:fill="FFFFFF"/>
                  <w:noWrap w:val="0"/>
                  <w:vAlign w:val="center"/>
                </w:tcPr>
                <w:p w14:paraId="2A8E7E9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3B6E3AE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1.58</w:t>
                  </w:r>
                </w:p>
              </w:tc>
              <w:tc>
                <w:tcPr>
                  <w:tcW w:w="782" w:type="pct"/>
                  <w:tcBorders>
                    <w:tl2br w:val="nil"/>
                    <w:tr2bl w:val="nil"/>
                  </w:tcBorders>
                  <w:shd w:val="clear" w:color="auto" w:fill="FFFFFF"/>
                  <w:noWrap w:val="0"/>
                  <w:vAlign w:val="center"/>
                </w:tcPr>
                <w:p w14:paraId="541CA9D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1.53</w:t>
                  </w:r>
                </w:p>
              </w:tc>
              <w:tc>
                <w:tcPr>
                  <w:tcW w:w="647" w:type="pct"/>
                  <w:tcBorders>
                    <w:right w:val="single" w:color="000000" w:sz="4" w:space="0"/>
                    <w:tl2br w:val="nil"/>
                    <w:tr2bl w:val="nil"/>
                  </w:tcBorders>
                  <w:shd w:val="clear" w:color="auto" w:fill="FFFFFF"/>
                  <w:noWrap w:val="0"/>
                  <w:vAlign w:val="center"/>
                </w:tcPr>
                <w:p w14:paraId="2D7468F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547886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6D18AFEA">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11</w:t>
                  </w:r>
                </w:p>
              </w:tc>
              <w:tc>
                <w:tcPr>
                  <w:tcW w:w="1435" w:type="pct"/>
                  <w:gridSpan w:val="2"/>
                  <w:tcBorders>
                    <w:tl2br w:val="nil"/>
                    <w:tr2bl w:val="nil"/>
                  </w:tcBorders>
                  <w:shd w:val="clear" w:color="auto" w:fill="FFFFFF"/>
                  <w:noWrap w:val="0"/>
                  <w:vAlign w:val="center"/>
                </w:tcPr>
                <w:p w14:paraId="7FD22ED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氨氮</w:t>
                  </w:r>
                </w:p>
              </w:tc>
              <w:tc>
                <w:tcPr>
                  <w:tcW w:w="839" w:type="pct"/>
                  <w:tcBorders>
                    <w:tl2br w:val="nil"/>
                    <w:tr2bl w:val="nil"/>
                  </w:tcBorders>
                  <w:shd w:val="clear" w:color="auto" w:fill="FFFFFF"/>
                  <w:noWrap w:val="0"/>
                  <w:vAlign w:val="center"/>
                </w:tcPr>
                <w:p w14:paraId="73C01FC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1DCAEA1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0.032</w:t>
                  </w:r>
                </w:p>
              </w:tc>
              <w:tc>
                <w:tcPr>
                  <w:tcW w:w="782" w:type="pct"/>
                  <w:tcBorders>
                    <w:tl2br w:val="nil"/>
                    <w:tr2bl w:val="nil"/>
                  </w:tcBorders>
                  <w:shd w:val="clear" w:color="auto" w:fill="FFFFFF"/>
                  <w:noWrap w:val="0"/>
                  <w:vAlign w:val="center"/>
                </w:tcPr>
                <w:p w14:paraId="3F88D8A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0.025L</w:t>
                  </w:r>
                </w:p>
              </w:tc>
              <w:tc>
                <w:tcPr>
                  <w:tcW w:w="647" w:type="pct"/>
                  <w:tcBorders>
                    <w:right w:val="single" w:color="000000" w:sz="4" w:space="0"/>
                    <w:tl2br w:val="nil"/>
                    <w:tr2bl w:val="nil"/>
                  </w:tcBorders>
                  <w:shd w:val="clear" w:color="auto" w:fill="FFFFFF"/>
                  <w:noWrap w:val="0"/>
                  <w:vAlign w:val="center"/>
                </w:tcPr>
                <w:p w14:paraId="581A1F1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0.5</w:t>
                  </w:r>
                </w:p>
              </w:tc>
            </w:tr>
            <w:tr w14:paraId="03B41B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35F0F035">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12</w:t>
                  </w:r>
                </w:p>
              </w:tc>
              <w:tc>
                <w:tcPr>
                  <w:tcW w:w="1435" w:type="pct"/>
                  <w:gridSpan w:val="2"/>
                  <w:tcBorders>
                    <w:tl2br w:val="nil"/>
                    <w:tr2bl w:val="nil"/>
                  </w:tcBorders>
                  <w:shd w:val="clear" w:color="auto" w:fill="FFFFFF"/>
                  <w:noWrap w:val="0"/>
                  <w:vAlign w:val="center"/>
                </w:tcPr>
                <w:p w14:paraId="65F7365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硫化物</w:t>
                  </w:r>
                </w:p>
              </w:tc>
              <w:tc>
                <w:tcPr>
                  <w:tcW w:w="839" w:type="pct"/>
                  <w:tcBorders>
                    <w:tl2br w:val="nil"/>
                    <w:tr2bl w:val="nil"/>
                  </w:tcBorders>
                  <w:shd w:val="clear" w:color="auto" w:fill="FFFFFF"/>
                  <w:noWrap w:val="0"/>
                  <w:vAlign w:val="center"/>
                </w:tcPr>
                <w:p w14:paraId="6D30ECB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7051192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0.003L</w:t>
                  </w:r>
                </w:p>
              </w:tc>
              <w:tc>
                <w:tcPr>
                  <w:tcW w:w="782" w:type="pct"/>
                  <w:tcBorders>
                    <w:tl2br w:val="nil"/>
                    <w:tr2bl w:val="nil"/>
                  </w:tcBorders>
                  <w:shd w:val="clear" w:color="auto" w:fill="FFFFFF"/>
                  <w:noWrap w:val="0"/>
                  <w:vAlign w:val="center"/>
                </w:tcPr>
                <w:p w14:paraId="6130DE8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0.003L</w:t>
                  </w:r>
                </w:p>
              </w:tc>
              <w:tc>
                <w:tcPr>
                  <w:tcW w:w="647" w:type="pct"/>
                  <w:tcBorders>
                    <w:right w:val="single" w:color="000000" w:sz="4" w:space="0"/>
                    <w:tl2br w:val="nil"/>
                    <w:tr2bl w:val="nil"/>
                  </w:tcBorders>
                  <w:shd w:val="clear" w:color="auto" w:fill="FFFFFF"/>
                  <w:noWrap w:val="0"/>
                  <w:vAlign w:val="center"/>
                </w:tcPr>
                <w:p w14:paraId="695F7C7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0.02</w:t>
                  </w:r>
                </w:p>
              </w:tc>
            </w:tr>
            <w:tr w14:paraId="43D5C9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4F11D5B0">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13</w:t>
                  </w:r>
                </w:p>
              </w:tc>
              <w:tc>
                <w:tcPr>
                  <w:tcW w:w="1435" w:type="pct"/>
                  <w:gridSpan w:val="2"/>
                  <w:tcBorders>
                    <w:tl2br w:val="nil"/>
                    <w:tr2bl w:val="nil"/>
                  </w:tcBorders>
                  <w:shd w:val="clear" w:color="auto" w:fill="FFFFFF"/>
                  <w:noWrap w:val="0"/>
                  <w:vAlign w:val="center"/>
                </w:tcPr>
                <w:p w14:paraId="4637BD8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spacing w:val="-11"/>
                      <w:kern w:val="0"/>
                      <w:sz w:val="21"/>
                      <w:szCs w:val="21"/>
                      <w:highlight w:val="none"/>
                      <w:u w:val="none"/>
                      <w:lang w:val="en-US" w:eastAsia="zh-CN" w:bidi="ar"/>
                    </w:rPr>
                    <w:t>阴离子表面活性剂</w:t>
                  </w:r>
                </w:p>
              </w:tc>
              <w:tc>
                <w:tcPr>
                  <w:tcW w:w="839" w:type="pct"/>
                  <w:tcBorders>
                    <w:tl2br w:val="nil"/>
                    <w:tr2bl w:val="nil"/>
                  </w:tcBorders>
                  <w:shd w:val="clear" w:color="auto" w:fill="FFFFFF"/>
                  <w:noWrap w:val="0"/>
                  <w:vAlign w:val="center"/>
                </w:tcPr>
                <w:p w14:paraId="5D83DB4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1E964D5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0.05L</w:t>
                  </w:r>
                </w:p>
              </w:tc>
              <w:tc>
                <w:tcPr>
                  <w:tcW w:w="782" w:type="pct"/>
                  <w:tcBorders>
                    <w:tl2br w:val="nil"/>
                    <w:tr2bl w:val="nil"/>
                  </w:tcBorders>
                  <w:shd w:val="clear" w:color="auto" w:fill="FFFFFF"/>
                  <w:noWrap w:val="0"/>
                  <w:vAlign w:val="center"/>
                </w:tcPr>
                <w:p w14:paraId="6E85BB3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0.114</w:t>
                  </w:r>
                </w:p>
              </w:tc>
              <w:tc>
                <w:tcPr>
                  <w:tcW w:w="647" w:type="pct"/>
                  <w:tcBorders>
                    <w:right w:val="single" w:color="000000" w:sz="4" w:space="0"/>
                    <w:tl2br w:val="nil"/>
                    <w:tr2bl w:val="nil"/>
                  </w:tcBorders>
                  <w:shd w:val="clear" w:color="auto" w:fill="FFFFFF"/>
                  <w:noWrap w:val="0"/>
                  <w:vAlign w:val="center"/>
                </w:tcPr>
                <w:p w14:paraId="03BD4F9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0.3</w:t>
                  </w:r>
                </w:p>
              </w:tc>
            </w:tr>
            <w:tr w14:paraId="0E499E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20AF9F1F">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14</w:t>
                  </w:r>
                </w:p>
              </w:tc>
              <w:tc>
                <w:tcPr>
                  <w:tcW w:w="1435" w:type="pct"/>
                  <w:gridSpan w:val="2"/>
                  <w:tcBorders>
                    <w:tl2br w:val="nil"/>
                    <w:tr2bl w:val="nil"/>
                  </w:tcBorders>
                  <w:shd w:val="clear" w:color="auto" w:fill="FFFFFF"/>
                  <w:noWrap w:val="0"/>
                  <w:vAlign w:val="center"/>
                </w:tcPr>
                <w:p w14:paraId="5764410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六价铬</w:t>
                  </w:r>
                </w:p>
              </w:tc>
              <w:tc>
                <w:tcPr>
                  <w:tcW w:w="839" w:type="pct"/>
                  <w:tcBorders>
                    <w:tl2br w:val="nil"/>
                    <w:tr2bl w:val="nil"/>
                  </w:tcBorders>
                  <w:shd w:val="clear" w:color="auto" w:fill="FFFFFF"/>
                  <w:noWrap w:val="0"/>
                  <w:vAlign w:val="center"/>
                </w:tcPr>
                <w:p w14:paraId="572463B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6F8C96F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0.004L</w:t>
                  </w:r>
                </w:p>
              </w:tc>
              <w:tc>
                <w:tcPr>
                  <w:tcW w:w="782" w:type="pct"/>
                  <w:tcBorders>
                    <w:tl2br w:val="nil"/>
                    <w:tr2bl w:val="nil"/>
                  </w:tcBorders>
                  <w:shd w:val="clear" w:color="auto" w:fill="FFFFFF"/>
                  <w:noWrap w:val="0"/>
                  <w:vAlign w:val="center"/>
                </w:tcPr>
                <w:p w14:paraId="727A8A7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0.004L</w:t>
                  </w:r>
                </w:p>
              </w:tc>
              <w:tc>
                <w:tcPr>
                  <w:tcW w:w="647" w:type="pct"/>
                  <w:tcBorders>
                    <w:right w:val="single" w:color="000000" w:sz="4" w:space="0"/>
                    <w:tl2br w:val="nil"/>
                    <w:tr2bl w:val="nil"/>
                  </w:tcBorders>
                  <w:shd w:val="clear" w:color="auto" w:fill="FFFFFF"/>
                  <w:noWrap w:val="0"/>
                  <w:vAlign w:val="center"/>
                </w:tcPr>
                <w:p w14:paraId="6F55DAD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0.05</w:t>
                  </w:r>
                </w:p>
              </w:tc>
            </w:tr>
            <w:tr w14:paraId="6F0D33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755A7D0D">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15</w:t>
                  </w:r>
                </w:p>
              </w:tc>
              <w:tc>
                <w:tcPr>
                  <w:tcW w:w="1435" w:type="pct"/>
                  <w:gridSpan w:val="2"/>
                  <w:tcBorders>
                    <w:tl2br w:val="nil"/>
                    <w:tr2bl w:val="nil"/>
                  </w:tcBorders>
                  <w:shd w:val="clear" w:color="auto" w:fill="FFFFFF"/>
                  <w:noWrap w:val="0"/>
                  <w:vAlign w:val="center"/>
                </w:tcPr>
                <w:p w14:paraId="7AC1181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氰化物</w:t>
                  </w:r>
                </w:p>
              </w:tc>
              <w:tc>
                <w:tcPr>
                  <w:tcW w:w="839" w:type="pct"/>
                  <w:tcBorders>
                    <w:tl2br w:val="nil"/>
                    <w:tr2bl w:val="nil"/>
                  </w:tcBorders>
                  <w:shd w:val="clear" w:color="auto" w:fill="FFFFFF"/>
                  <w:noWrap w:val="0"/>
                  <w:vAlign w:val="center"/>
                </w:tcPr>
                <w:p w14:paraId="704B2AD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45ED7FC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0.001L</w:t>
                  </w:r>
                </w:p>
              </w:tc>
              <w:tc>
                <w:tcPr>
                  <w:tcW w:w="782" w:type="pct"/>
                  <w:tcBorders>
                    <w:tl2br w:val="nil"/>
                    <w:tr2bl w:val="nil"/>
                  </w:tcBorders>
                  <w:shd w:val="clear" w:color="auto" w:fill="FFFFFF"/>
                  <w:noWrap w:val="0"/>
                  <w:vAlign w:val="center"/>
                </w:tcPr>
                <w:p w14:paraId="3063544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0.001L</w:t>
                  </w:r>
                </w:p>
              </w:tc>
              <w:tc>
                <w:tcPr>
                  <w:tcW w:w="647" w:type="pct"/>
                  <w:tcBorders>
                    <w:right w:val="single" w:color="000000" w:sz="4" w:space="0"/>
                    <w:tl2br w:val="nil"/>
                    <w:tr2bl w:val="nil"/>
                  </w:tcBorders>
                  <w:shd w:val="clear" w:color="auto" w:fill="FFFFFF"/>
                  <w:noWrap w:val="0"/>
                  <w:vAlign w:val="center"/>
                </w:tcPr>
                <w:p w14:paraId="69809F4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0.05</w:t>
                  </w:r>
                </w:p>
              </w:tc>
            </w:tr>
            <w:tr w14:paraId="2EA7CC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20D76B7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16</w:t>
                  </w:r>
                </w:p>
              </w:tc>
              <w:tc>
                <w:tcPr>
                  <w:tcW w:w="1435" w:type="pct"/>
                  <w:gridSpan w:val="2"/>
                  <w:tcBorders>
                    <w:tl2br w:val="nil"/>
                    <w:tr2bl w:val="nil"/>
                  </w:tcBorders>
                  <w:shd w:val="clear" w:color="auto" w:fill="FFFFFF"/>
                  <w:noWrap w:val="0"/>
                  <w:vAlign w:val="center"/>
                </w:tcPr>
                <w:p w14:paraId="6184E70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挥发酚</w:t>
                  </w:r>
                </w:p>
              </w:tc>
              <w:tc>
                <w:tcPr>
                  <w:tcW w:w="839" w:type="pct"/>
                  <w:tcBorders>
                    <w:tl2br w:val="nil"/>
                    <w:tr2bl w:val="nil"/>
                  </w:tcBorders>
                  <w:shd w:val="clear" w:color="auto" w:fill="FFFFFF"/>
                  <w:noWrap w:val="0"/>
                  <w:vAlign w:val="center"/>
                </w:tcPr>
                <w:p w14:paraId="69FF751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1E4DAED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0.0003L</w:t>
                  </w:r>
                </w:p>
              </w:tc>
              <w:tc>
                <w:tcPr>
                  <w:tcW w:w="782" w:type="pct"/>
                  <w:tcBorders>
                    <w:tl2br w:val="nil"/>
                    <w:tr2bl w:val="nil"/>
                  </w:tcBorders>
                  <w:shd w:val="clear" w:color="auto" w:fill="FFFFFF"/>
                  <w:noWrap w:val="0"/>
                  <w:vAlign w:val="center"/>
                </w:tcPr>
                <w:p w14:paraId="704009B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0.0003L</w:t>
                  </w:r>
                </w:p>
              </w:tc>
              <w:tc>
                <w:tcPr>
                  <w:tcW w:w="647" w:type="pct"/>
                  <w:tcBorders>
                    <w:right w:val="single" w:color="000000" w:sz="4" w:space="0"/>
                    <w:tl2br w:val="nil"/>
                    <w:tr2bl w:val="nil"/>
                  </w:tcBorders>
                  <w:shd w:val="clear" w:color="auto" w:fill="FFFFFF"/>
                  <w:noWrap w:val="0"/>
                  <w:vAlign w:val="center"/>
                </w:tcPr>
                <w:p w14:paraId="5C858F5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0.002</w:t>
                  </w:r>
                </w:p>
              </w:tc>
            </w:tr>
            <w:tr w14:paraId="55A7DB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14C422D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17</w:t>
                  </w:r>
                </w:p>
              </w:tc>
              <w:tc>
                <w:tcPr>
                  <w:tcW w:w="1435" w:type="pct"/>
                  <w:gridSpan w:val="2"/>
                  <w:tcBorders>
                    <w:tl2br w:val="nil"/>
                    <w:tr2bl w:val="nil"/>
                  </w:tcBorders>
                  <w:shd w:val="clear" w:color="auto" w:fill="FFFFFF"/>
                  <w:noWrap w:val="0"/>
                  <w:vAlign w:val="center"/>
                </w:tcPr>
                <w:p w14:paraId="661FF25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汞</w:t>
                  </w:r>
                </w:p>
              </w:tc>
              <w:tc>
                <w:tcPr>
                  <w:tcW w:w="839" w:type="pct"/>
                  <w:tcBorders>
                    <w:tl2br w:val="nil"/>
                    <w:tr2bl w:val="nil"/>
                  </w:tcBorders>
                  <w:shd w:val="clear" w:color="auto" w:fill="FFFFFF"/>
                  <w:noWrap w:val="0"/>
                  <w:vAlign w:val="center"/>
                </w:tcPr>
                <w:p w14:paraId="2FD9ADE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1388399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4.00×10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-5</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782" w:type="pct"/>
                  <w:tcBorders>
                    <w:tl2br w:val="nil"/>
                    <w:tr2bl w:val="nil"/>
                  </w:tcBorders>
                  <w:shd w:val="clear" w:color="auto" w:fill="FFFFFF"/>
                  <w:noWrap w:val="0"/>
                  <w:vAlign w:val="center"/>
                </w:tcPr>
                <w:p w14:paraId="2BA3820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4.00×10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-5</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647" w:type="pct"/>
                  <w:tcBorders>
                    <w:right w:val="single" w:color="000000" w:sz="4" w:space="0"/>
                    <w:tl2br w:val="nil"/>
                    <w:tr2bl w:val="nil"/>
                  </w:tcBorders>
                  <w:shd w:val="clear" w:color="auto" w:fill="FFFFFF"/>
                  <w:noWrap w:val="0"/>
                  <w:vAlign w:val="center"/>
                </w:tcPr>
                <w:p w14:paraId="07E1676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0.001</w:t>
                  </w:r>
                </w:p>
              </w:tc>
            </w:tr>
            <w:tr w14:paraId="5B467B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672C6ED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18</w:t>
                  </w:r>
                </w:p>
              </w:tc>
              <w:tc>
                <w:tcPr>
                  <w:tcW w:w="1435" w:type="pct"/>
                  <w:gridSpan w:val="2"/>
                  <w:tcBorders>
                    <w:tl2br w:val="nil"/>
                    <w:tr2bl w:val="nil"/>
                  </w:tcBorders>
                  <w:shd w:val="clear" w:color="auto" w:fill="FFFFFF"/>
                  <w:noWrap w:val="0"/>
                  <w:vAlign w:val="center"/>
                </w:tcPr>
                <w:p w14:paraId="185385B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砷</w:t>
                  </w:r>
                </w:p>
              </w:tc>
              <w:tc>
                <w:tcPr>
                  <w:tcW w:w="839" w:type="pct"/>
                  <w:tcBorders>
                    <w:tl2br w:val="nil"/>
                    <w:tr2bl w:val="nil"/>
                  </w:tcBorders>
                  <w:shd w:val="clear" w:color="auto" w:fill="FFFFFF"/>
                  <w:noWrap w:val="0"/>
                  <w:vAlign w:val="center"/>
                </w:tcPr>
                <w:p w14:paraId="7BC744D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2458E05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6.7×10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4</w:t>
                  </w:r>
                </w:p>
              </w:tc>
              <w:tc>
                <w:tcPr>
                  <w:tcW w:w="782" w:type="pct"/>
                  <w:tcBorders>
                    <w:tl2br w:val="nil"/>
                    <w:tr2bl w:val="nil"/>
                  </w:tcBorders>
                  <w:shd w:val="clear" w:color="auto" w:fill="FFFFFF"/>
                  <w:noWrap w:val="0"/>
                  <w:vAlign w:val="center"/>
                </w:tcPr>
                <w:p w14:paraId="324FAB3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6.6×10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4</w:t>
                  </w:r>
                </w:p>
              </w:tc>
              <w:tc>
                <w:tcPr>
                  <w:tcW w:w="647" w:type="pct"/>
                  <w:tcBorders>
                    <w:right w:val="single" w:color="000000" w:sz="4" w:space="0"/>
                    <w:tl2br w:val="nil"/>
                    <w:tr2bl w:val="nil"/>
                  </w:tcBorders>
                  <w:shd w:val="clear" w:color="auto" w:fill="FFFFFF"/>
                  <w:noWrap w:val="0"/>
                  <w:vAlign w:val="center"/>
                </w:tcPr>
                <w:p w14:paraId="3F5648C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0.01</w:t>
                  </w:r>
                </w:p>
              </w:tc>
            </w:tr>
            <w:tr w14:paraId="2FDD9F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3BE210D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19</w:t>
                  </w:r>
                </w:p>
              </w:tc>
              <w:tc>
                <w:tcPr>
                  <w:tcW w:w="1435" w:type="pct"/>
                  <w:gridSpan w:val="2"/>
                  <w:tcBorders>
                    <w:tl2br w:val="nil"/>
                    <w:tr2bl w:val="nil"/>
                  </w:tcBorders>
                  <w:shd w:val="clear" w:color="auto" w:fill="FFFFFF"/>
                  <w:noWrap w:val="0"/>
                  <w:vAlign w:val="center"/>
                </w:tcPr>
                <w:p w14:paraId="28F9713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default" w:ascii="Times New Roman" w:hAnsi="Times New Roman" w:eastAsia="宋体" w:cs="Times New Roman"/>
                      <w:b w:val="0"/>
                      <w:i w:val="0"/>
                      <w:iCs w:val="0"/>
                      <w:color w:val="000000"/>
                      <w:sz w:val="21"/>
                      <w:szCs w:val="21"/>
                      <w:highlight w:val="none"/>
                      <w:u w:val="none"/>
                      <w:lang w:val="en-US" w:eastAsia="zh-CN"/>
                    </w:rPr>
                    <w:t>硒</w:t>
                  </w:r>
                </w:p>
              </w:tc>
              <w:tc>
                <w:tcPr>
                  <w:tcW w:w="839" w:type="pct"/>
                  <w:tcBorders>
                    <w:tl2br w:val="nil"/>
                    <w:tr2bl w:val="nil"/>
                  </w:tcBorders>
                  <w:shd w:val="clear" w:color="auto" w:fill="FFFFFF"/>
                  <w:noWrap w:val="0"/>
                  <w:vAlign w:val="center"/>
                </w:tcPr>
                <w:p w14:paraId="5CBDE51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1758A43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4.0×10-4L</w:t>
                  </w:r>
                </w:p>
              </w:tc>
              <w:tc>
                <w:tcPr>
                  <w:tcW w:w="782" w:type="pct"/>
                  <w:tcBorders>
                    <w:tl2br w:val="nil"/>
                    <w:tr2bl w:val="nil"/>
                  </w:tcBorders>
                  <w:shd w:val="clear" w:color="auto" w:fill="FFFFFF"/>
                  <w:noWrap w:val="0"/>
                  <w:vAlign w:val="center"/>
                </w:tcPr>
                <w:p w14:paraId="25BD048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4.0×10-4L</w:t>
                  </w:r>
                </w:p>
              </w:tc>
              <w:tc>
                <w:tcPr>
                  <w:tcW w:w="647" w:type="pct"/>
                  <w:tcBorders>
                    <w:right w:val="single" w:color="000000" w:sz="4" w:space="0"/>
                    <w:tl2br w:val="nil"/>
                    <w:tr2bl w:val="nil"/>
                  </w:tcBorders>
                  <w:shd w:val="clear" w:color="auto" w:fill="FFFFFF"/>
                  <w:noWrap w:val="0"/>
                  <w:vAlign w:val="center"/>
                </w:tcPr>
                <w:p w14:paraId="211C837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ascii="Times New Roman" w:hAnsi="Times New Roman" w:eastAsia="宋体" w:cs="Times New Roman"/>
                      <w:b w:val="0"/>
                      <w:i w:val="0"/>
                      <w:iCs w:val="0"/>
                      <w:color w:val="000000"/>
                      <w:sz w:val="21"/>
                      <w:szCs w:val="21"/>
                      <w:highlight w:val="none"/>
                      <w:u w:val="none"/>
                      <w:lang w:val="en-US" w:eastAsia="zh-CN"/>
                    </w:rPr>
                    <w:t>0.01</w:t>
                  </w:r>
                </w:p>
              </w:tc>
            </w:tr>
            <w:tr w14:paraId="0B0C28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01193BE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20</w:t>
                  </w:r>
                </w:p>
              </w:tc>
              <w:tc>
                <w:tcPr>
                  <w:tcW w:w="1435" w:type="pct"/>
                  <w:gridSpan w:val="2"/>
                  <w:tcBorders>
                    <w:tl2br w:val="nil"/>
                    <w:tr2bl w:val="nil"/>
                  </w:tcBorders>
                  <w:shd w:val="clear" w:color="auto" w:fill="FFFFFF"/>
                  <w:noWrap w:val="0"/>
                  <w:vAlign w:val="center"/>
                </w:tcPr>
                <w:p w14:paraId="27188FA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铁</w:t>
                  </w:r>
                </w:p>
              </w:tc>
              <w:tc>
                <w:tcPr>
                  <w:tcW w:w="839" w:type="pct"/>
                  <w:tcBorders>
                    <w:tl2br w:val="nil"/>
                    <w:tr2bl w:val="nil"/>
                  </w:tcBorders>
                  <w:shd w:val="clear" w:color="auto" w:fill="FFFFFF"/>
                  <w:noWrap w:val="0"/>
                  <w:vAlign w:val="center"/>
                </w:tcPr>
                <w:p w14:paraId="42450BD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6F61B72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0.03L</w:t>
                  </w:r>
                </w:p>
              </w:tc>
              <w:tc>
                <w:tcPr>
                  <w:tcW w:w="782" w:type="pct"/>
                  <w:tcBorders>
                    <w:tl2br w:val="nil"/>
                    <w:tr2bl w:val="nil"/>
                  </w:tcBorders>
                  <w:shd w:val="clear" w:color="auto" w:fill="FFFFFF"/>
                  <w:noWrap w:val="0"/>
                  <w:vAlign w:val="center"/>
                </w:tcPr>
                <w:p w14:paraId="27F4864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0.03L</w:t>
                  </w:r>
                </w:p>
              </w:tc>
              <w:tc>
                <w:tcPr>
                  <w:tcW w:w="647" w:type="pct"/>
                  <w:tcBorders>
                    <w:right w:val="single" w:color="000000" w:sz="4" w:space="0"/>
                    <w:tl2br w:val="nil"/>
                    <w:tr2bl w:val="nil"/>
                  </w:tcBorders>
                  <w:shd w:val="clear" w:color="auto" w:fill="FFFFFF"/>
                  <w:noWrap w:val="0"/>
                  <w:vAlign w:val="center"/>
                </w:tcPr>
                <w:p w14:paraId="36C2B3E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0.3</w:t>
                  </w:r>
                </w:p>
              </w:tc>
            </w:tr>
            <w:tr w14:paraId="05107F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757D2C0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21</w:t>
                  </w:r>
                </w:p>
              </w:tc>
              <w:tc>
                <w:tcPr>
                  <w:tcW w:w="1435" w:type="pct"/>
                  <w:gridSpan w:val="2"/>
                  <w:tcBorders>
                    <w:tl2br w:val="nil"/>
                    <w:tr2bl w:val="nil"/>
                  </w:tcBorders>
                  <w:shd w:val="clear" w:color="auto" w:fill="FFFFFF"/>
                  <w:noWrap w:val="0"/>
                  <w:vAlign w:val="center"/>
                </w:tcPr>
                <w:p w14:paraId="3D102C6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锰</w:t>
                  </w:r>
                </w:p>
              </w:tc>
              <w:tc>
                <w:tcPr>
                  <w:tcW w:w="839" w:type="pct"/>
                  <w:tcBorders>
                    <w:tl2br w:val="nil"/>
                    <w:tr2bl w:val="nil"/>
                  </w:tcBorders>
                  <w:shd w:val="clear" w:color="auto" w:fill="FFFFFF"/>
                  <w:noWrap w:val="0"/>
                  <w:vAlign w:val="center"/>
                </w:tcPr>
                <w:p w14:paraId="6563700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606BCB1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0.11</w:t>
                  </w:r>
                </w:p>
              </w:tc>
              <w:tc>
                <w:tcPr>
                  <w:tcW w:w="782" w:type="pct"/>
                  <w:tcBorders>
                    <w:tl2br w:val="nil"/>
                    <w:tr2bl w:val="nil"/>
                  </w:tcBorders>
                  <w:shd w:val="clear" w:color="auto" w:fill="FFFFFF"/>
                  <w:noWrap w:val="0"/>
                  <w:vAlign w:val="center"/>
                </w:tcPr>
                <w:p w14:paraId="0561558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0.05</w:t>
                  </w:r>
                </w:p>
              </w:tc>
              <w:tc>
                <w:tcPr>
                  <w:tcW w:w="647" w:type="pct"/>
                  <w:tcBorders>
                    <w:right w:val="single" w:color="000000" w:sz="4" w:space="0"/>
                    <w:tl2br w:val="nil"/>
                    <w:tr2bl w:val="nil"/>
                  </w:tcBorders>
                  <w:shd w:val="clear" w:color="auto" w:fill="FFFFFF"/>
                  <w:noWrap w:val="0"/>
                  <w:vAlign w:val="center"/>
                </w:tcPr>
                <w:p w14:paraId="10938DE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0.1</w:t>
                  </w:r>
                </w:p>
              </w:tc>
            </w:tr>
            <w:tr w14:paraId="559CAD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2B48C05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22</w:t>
                  </w:r>
                </w:p>
              </w:tc>
              <w:tc>
                <w:tcPr>
                  <w:tcW w:w="1435" w:type="pct"/>
                  <w:gridSpan w:val="2"/>
                  <w:tcBorders>
                    <w:tl2br w:val="nil"/>
                    <w:tr2bl w:val="nil"/>
                  </w:tcBorders>
                  <w:shd w:val="clear" w:color="auto" w:fill="FFFFFF"/>
                  <w:noWrap w:val="0"/>
                  <w:vAlign w:val="center"/>
                </w:tcPr>
                <w:p w14:paraId="3D294AF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铜</w:t>
                  </w:r>
                </w:p>
              </w:tc>
              <w:tc>
                <w:tcPr>
                  <w:tcW w:w="839" w:type="pct"/>
                  <w:tcBorders>
                    <w:tl2br w:val="nil"/>
                    <w:tr2bl w:val="nil"/>
                  </w:tcBorders>
                  <w:shd w:val="clear" w:color="auto" w:fill="FFFFFF"/>
                  <w:noWrap w:val="0"/>
                  <w:vAlign w:val="center"/>
                </w:tcPr>
                <w:p w14:paraId="7AA2C35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617B052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0.32</w:t>
                  </w:r>
                </w:p>
              </w:tc>
              <w:tc>
                <w:tcPr>
                  <w:tcW w:w="782" w:type="pct"/>
                  <w:tcBorders>
                    <w:tl2br w:val="nil"/>
                    <w:tr2bl w:val="nil"/>
                  </w:tcBorders>
                  <w:shd w:val="clear" w:color="auto" w:fill="FFFFFF"/>
                  <w:noWrap w:val="0"/>
                  <w:vAlign w:val="center"/>
                </w:tcPr>
                <w:p w14:paraId="610E772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0.28</w:t>
                  </w:r>
                </w:p>
              </w:tc>
              <w:tc>
                <w:tcPr>
                  <w:tcW w:w="647" w:type="pct"/>
                  <w:tcBorders>
                    <w:right w:val="single" w:color="000000" w:sz="4" w:space="0"/>
                    <w:tl2br w:val="nil"/>
                    <w:tr2bl w:val="nil"/>
                  </w:tcBorders>
                  <w:shd w:val="clear" w:color="auto" w:fill="FFFFFF"/>
                  <w:noWrap w:val="0"/>
                  <w:vAlign w:val="center"/>
                </w:tcPr>
                <w:p w14:paraId="01616B0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0B32B5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1CD805D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23</w:t>
                  </w:r>
                </w:p>
              </w:tc>
              <w:tc>
                <w:tcPr>
                  <w:tcW w:w="1435" w:type="pct"/>
                  <w:gridSpan w:val="2"/>
                  <w:tcBorders>
                    <w:tl2br w:val="nil"/>
                    <w:tr2bl w:val="nil"/>
                  </w:tcBorders>
                  <w:shd w:val="clear" w:color="auto" w:fill="FFFFFF"/>
                  <w:noWrap w:val="0"/>
                  <w:vAlign w:val="center"/>
                </w:tcPr>
                <w:p w14:paraId="7166F63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锌</w:t>
                  </w:r>
                </w:p>
              </w:tc>
              <w:tc>
                <w:tcPr>
                  <w:tcW w:w="839" w:type="pct"/>
                  <w:tcBorders>
                    <w:tl2br w:val="nil"/>
                    <w:tr2bl w:val="nil"/>
                  </w:tcBorders>
                  <w:shd w:val="clear" w:color="auto" w:fill="FFFFFF"/>
                  <w:noWrap w:val="0"/>
                  <w:vAlign w:val="center"/>
                </w:tcPr>
                <w:p w14:paraId="563A1DD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08A5E52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0.05L</w:t>
                  </w:r>
                </w:p>
              </w:tc>
              <w:tc>
                <w:tcPr>
                  <w:tcW w:w="782" w:type="pct"/>
                  <w:tcBorders>
                    <w:tl2br w:val="nil"/>
                    <w:tr2bl w:val="nil"/>
                  </w:tcBorders>
                  <w:shd w:val="clear" w:color="auto" w:fill="FFFFFF"/>
                  <w:noWrap w:val="0"/>
                  <w:vAlign w:val="center"/>
                </w:tcPr>
                <w:p w14:paraId="55AC22D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0.05L</w:t>
                  </w:r>
                </w:p>
              </w:tc>
              <w:tc>
                <w:tcPr>
                  <w:tcW w:w="647" w:type="pct"/>
                  <w:tcBorders>
                    <w:right w:val="single" w:color="000000" w:sz="4" w:space="0"/>
                    <w:tl2br w:val="nil"/>
                    <w:tr2bl w:val="nil"/>
                  </w:tcBorders>
                  <w:shd w:val="clear" w:color="auto" w:fill="FFFFFF"/>
                  <w:noWrap w:val="0"/>
                  <w:vAlign w:val="center"/>
                </w:tcPr>
                <w:p w14:paraId="5907958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3E7B61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32CF08D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24</w:t>
                  </w:r>
                </w:p>
              </w:tc>
              <w:tc>
                <w:tcPr>
                  <w:tcW w:w="1435" w:type="pct"/>
                  <w:gridSpan w:val="2"/>
                  <w:tcBorders>
                    <w:tl2br w:val="nil"/>
                    <w:tr2bl w:val="nil"/>
                  </w:tcBorders>
                  <w:shd w:val="clear" w:color="auto" w:fill="FFFFFF"/>
                  <w:noWrap w:val="0"/>
                  <w:vAlign w:val="center"/>
                </w:tcPr>
                <w:p w14:paraId="71D54C2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铅</w:t>
                  </w:r>
                </w:p>
              </w:tc>
              <w:tc>
                <w:tcPr>
                  <w:tcW w:w="839" w:type="pct"/>
                  <w:tcBorders>
                    <w:tl2br w:val="nil"/>
                    <w:tr2bl w:val="nil"/>
                  </w:tcBorders>
                  <w:shd w:val="clear" w:color="auto" w:fill="FFFFFF"/>
                  <w:noWrap w:val="0"/>
                  <w:vAlign w:val="center"/>
                </w:tcPr>
                <w:p w14:paraId="408644F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0345962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2.5×10</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-3</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782" w:type="pct"/>
                  <w:tcBorders>
                    <w:tl2br w:val="nil"/>
                    <w:tr2bl w:val="nil"/>
                  </w:tcBorders>
                  <w:shd w:val="clear" w:color="auto" w:fill="FFFFFF"/>
                  <w:noWrap w:val="0"/>
                  <w:vAlign w:val="center"/>
                </w:tcPr>
                <w:p w14:paraId="3C9CB9E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2.5×10</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-3</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647" w:type="pct"/>
                  <w:tcBorders>
                    <w:right w:val="single" w:color="000000" w:sz="4" w:space="0"/>
                    <w:tl2br w:val="nil"/>
                    <w:tr2bl w:val="nil"/>
                  </w:tcBorders>
                  <w:shd w:val="clear" w:color="auto" w:fill="FFFFFF"/>
                  <w:noWrap w:val="0"/>
                  <w:vAlign w:val="center"/>
                </w:tcPr>
                <w:p w14:paraId="1BDE2F4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0.01</w:t>
                  </w:r>
                </w:p>
              </w:tc>
            </w:tr>
            <w:tr w14:paraId="703738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40C34BA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25</w:t>
                  </w:r>
                </w:p>
              </w:tc>
              <w:tc>
                <w:tcPr>
                  <w:tcW w:w="1435" w:type="pct"/>
                  <w:gridSpan w:val="2"/>
                  <w:tcBorders>
                    <w:tl2br w:val="nil"/>
                    <w:tr2bl w:val="nil"/>
                  </w:tcBorders>
                  <w:shd w:val="clear" w:color="auto" w:fill="FFFFFF"/>
                  <w:noWrap w:val="0"/>
                  <w:vAlign w:val="center"/>
                </w:tcPr>
                <w:p w14:paraId="768DD86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镉</w:t>
                  </w:r>
                </w:p>
              </w:tc>
              <w:tc>
                <w:tcPr>
                  <w:tcW w:w="839" w:type="pct"/>
                  <w:tcBorders>
                    <w:tl2br w:val="nil"/>
                    <w:tr2bl w:val="nil"/>
                  </w:tcBorders>
                  <w:shd w:val="clear" w:color="auto" w:fill="FFFFFF"/>
                  <w:noWrap w:val="0"/>
                  <w:vAlign w:val="center"/>
                </w:tcPr>
                <w:p w14:paraId="4703CBB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71C41EC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5×10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4</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782" w:type="pct"/>
                  <w:tcBorders>
                    <w:tl2br w:val="nil"/>
                    <w:tr2bl w:val="nil"/>
                  </w:tcBorders>
                  <w:shd w:val="clear" w:color="auto" w:fill="FFFFFF"/>
                  <w:noWrap w:val="0"/>
                  <w:vAlign w:val="center"/>
                </w:tcPr>
                <w:p w14:paraId="30BAA7A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5×10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4</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647" w:type="pct"/>
                  <w:tcBorders>
                    <w:right w:val="single" w:color="000000" w:sz="4" w:space="0"/>
                    <w:tl2br w:val="nil"/>
                    <w:tr2bl w:val="nil"/>
                  </w:tcBorders>
                  <w:shd w:val="clear" w:color="auto" w:fill="FFFFFF"/>
                  <w:noWrap w:val="0"/>
                  <w:vAlign w:val="center"/>
                </w:tcPr>
                <w:p w14:paraId="3B4E575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0.005</w:t>
                  </w:r>
                </w:p>
              </w:tc>
            </w:tr>
            <w:tr w14:paraId="399500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3ADC2F1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26</w:t>
                  </w:r>
                </w:p>
              </w:tc>
              <w:tc>
                <w:tcPr>
                  <w:tcW w:w="1435" w:type="pct"/>
                  <w:gridSpan w:val="2"/>
                  <w:tcBorders>
                    <w:tl2br w:val="nil"/>
                    <w:tr2bl w:val="nil"/>
                  </w:tcBorders>
                  <w:shd w:val="clear" w:color="auto" w:fill="FFFFFF"/>
                  <w:noWrap w:val="0"/>
                  <w:vAlign w:val="center"/>
                </w:tcPr>
                <w:p w14:paraId="25B7BA4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铝</w:t>
                  </w:r>
                </w:p>
              </w:tc>
              <w:tc>
                <w:tcPr>
                  <w:tcW w:w="839" w:type="pct"/>
                  <w:tcBorders>
                    <w:tl2br w:val="nil"/>
                    <w:tr2bl w:val="nil"/>
                  </w:tcBorders>
                  <w:shd w:val="clear" w:color="auto" w:fill="FFFFFF"/>
                  <w:noWrap w:val="0"/>
                  <w:vAlign w:val="center"/>
                </w:tcPr>
                <w:p w14:paraId="40A13D8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4E6E36B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2</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782" w:type="pct"/>
                  <w:tcBorders>
                    <w:tl2br w:val="nil"/>
                    <w:tr2bl w:val="nil"/>
                  </w:tcBorders>
                  <w:shd w:val="clear" w:color="auto" w:fill="FFFFFF"/>
                  <w:noWrap w:val="0"/>
                  <w:vAlign w:val="center"/>
                </w:tcPr>
                <w:p w14:paraId="2DFF9D7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1.0×10</w:t>
                  </w:r>
                  <w:r>
                    <w:rPr>
                      <w:rFonts w:hint="default" w:ascii="Times New Roman" w:hAnsi="Times New Roman" w:eastAsia="宋体" w:cs="Times New Roman"/>
                      <w:b w:val="0"/>
                      <w:i w:val="0"/>
                      <w:iCs w:val="0"/>
                      <w:color w:val="000000"/>
                      <w:kern w:val="0"/>
                      <w:sz w:val="21"/>
                      <w:szCs w:val="21"/>
                      <w:highlight w:val="none"/>
                      <w:u w:val="none"/>
                      <w:vertAlign w:val="superscript"/>
                      <w:lang w:val="en-US" w:eastAsia="zh-CN" w:bidi="ar"/>
                    </w:rPr>
                    <w:t>-</w:t>
                  </w:r>
                  <w:r>
                    <w:rPr>
                      <w:rFonts w:hint="eastAsia" w:ascii="Times New Roman" w:hAnsi="Times New Roman" w:eastAsia="宋体" w:cs="Times New Roman"/>
                      <w:b w:val="0"/>
                      <w:i w:val="0"/>
                      <w:iCs w:val="0"/>
                      <w:color w:val="000000"/>
                      <w:kern w:val="0"/>
                      <w:sz w:val="21"/>
                      <w:szCs w:val="21"/>
                      <w:highlight w:val="none"/>
                      <w:u w:val="none"/>
                      <w:vertAlign w:val="superscript"/>
                      <w:lang w:val="en-US" w:eastAsia="zh-CN" w:bidi="ar"/>
                    </w:rPr>
                    <w:t>2</w:t>
                  </w:r>
                  <w:r>
                    <w:rPr>
                      <w:rFonts w:hint="default" w:ascii="Times New Roman" w:hAnsi="Times New Roman" w:eastAsia="宋体" w:cs="Times New Roman"/>
                      <w:b w:val="0"/>
                      <w:i w:val="0"/>
                      <w:iCs w:val="0"/>
                      <w:color w:val="000000"/>
                      <w:kern w:val="0"/>
                      <w:sz w:val="21"/>
                      <w:szCs w:val="21"/>
                      <w:highlight w:val="none"/>
                      <w:u w:val="none"/>
                      <w:lang w:val="en-US" w:eastAsia="zh-CN" w:bidi="ar"/>
                    </w:rPr>
                    <w:t>L</w:t>
                  </w:r>
                </w:p>
              </w:tc>
              <w:tc>
                <w:tcPr>
                  <w:tcW w:w="647" w:type="pct"/>
                  <w:tcBorders>
                    <w:right w:val="single" w:color="000000" w:sz="4" w:space="0"/>
                    <w:tl2br w:val="nil"/>
                    <w:tr2bl w:val="nil"/>
                  </w:tcBorders>
                  <w:shd w:val="clear" w:color="auto" w:fill="FFFFFF"/>
                  <w:noWrap w:val="0"/>
                  <w:vAlign w:val="center"/>
                </w:tcPr>
                <w:p w14:paraId="79F21CA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0.2</w:t>
                  </w:r>
                </w:p>
              </w:tc>
            </w:tr>
            <w:tr w14:paraId="35745C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6E2034A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27</w:t>
                  </w:r>
                </w:p>
              </w:tc>
              <w:tc>
                <w:tcPr>
                  <w:tcW w:w="1435" w:type="pct"/>
                  <w:gridSpan w:val="2"/>
                  <w:tcBorders>
                    <w:tl2br w:val="nil"/>
                    <w:tr2bl w:val="nil"/>
                  </w:tcBorders>
                  <w:shd w:val="clear" w:color="auto" w:fill="FFFFFF"/>
                  <w:noWrap w:val="0"/>
                  <w:vAlign w:val="center"/>
                </w:tcPr>
                <w:p w14:paraId="49A9E66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钾</w:t>
                  </w:r>
                </w:p>
              </w:tc>
              <w:tc>
                <w:tcPr>
                  <w:tcW w:w="839" w:type="pct"/>
                  <w:tcBorders>
                    <w:tl2br w:val="nil"/>
                    <w:tr2bl w:val="nil"/>
                  </w:tcBorders>
                  <w:shd w:val="clear" w:color="auto" w:fill="FFFFFF"/>
                  <w:noWrap w:val="0"/>
                  <w:vAlign w:val="center"/>
                </w:tcPr>
                <w:p w14:paraId="0B02F3E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02A17C4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36.6</w:t>
                  </w:r>
                </w:p>
              </w:tc>
              <w:tc>
                <w:tcPr>
                  <w:tcW w:w="782" w:type="pct"/>
                  <w:tcBorders>
                    <w:tl2br w:val="nil"/>
                    <w:tr2bl w:val="nil"/>
                  </w:tcBorders>
                  <w:shd w:val="clear" w:color="auto" w:fill="FFFFFF"/>
                  <w:noWrap w:val="0"/>
                  <w:vAlign w:val="center"/>
                </w:tcPr>
                <w:p w14:paraId="44E48DAB">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38.2</w:t>
                  </w:r>
                </w:p>
              </w:tc>
              <w:tc>
                <w:tcPr>
                  <w:tcW w:w="647" w:type="pct"/>
                  <w:tcBorders>
                    <w:right w:val="single" w:color="000000" w:sz="4" w:space="0"/>
                    <w:tl2br w:val="nil"/>
                    <w:tr2bl w:val="nil"/>
                  </w:tcBorders>
                  <w:shd w:val="clear" w:color="auto" w:fill="FFFFFF"/>
                  <w:noWrap w:val="0"/>
                  <w:vAlign w:val="center"/>
                </w:tcPr>
                <w:p w14:paraId="7A8BC5C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32AF84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581C6B3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28</w:t>
                  </w:r>
                </w:p>
              </w:tc>
              <w:tc>
                <w:tcPr>
                  <w:tcW w:w="1435" w:type="pct"/>
                  <w:gridSpan w:val="2"/>
                  <w:tcBorders>
                    <w:tl2br w:val="nil"/>
                    <w:tr2bl w:val="nil"/>
                  </w:tcBorders>
                  <w:shd w:val="clear" w:color="auto" w:fill="FFFFFF"/>
                  <w:noWrap w:val="0"/>
                  <w:vAlign w:val="center"/>
                </w:tcPr>
                <w:p w14:paraId="4BB8533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钠</w:t>
                  </w:r>
                </w:p>
              </w:tc>
              <w:tc>
                <w:tcPr>
                  <w:tcW w:w="839" w:type="pct"/>
                  <w:tcBorders>
                    <w:tl2br w:val="nil"/>
                    <w:tr2bl w:val="nil"/>
                  </w:tcBorders>
                  <w:shd w:val="clear" w:color="auto" w:fill="FFFFFF"/>
                  <w:noWrap w:val="0"/>
                  <w:vAlign w:val="center"/>
                </w:tcPr>
                <w:p w14:paraId="55EC133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13B87D8E">
                  <w:pPr>
                    <w:keepNext w:val="0"/>
                    <w:keepLines w:val="0"/>
                    <w:widowControl/>
                    <w:suppressLineNumbers w:val="0"/>
                    <w:jc w:val="center"/>
                    <w:textAlignment w:val="top"/>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124</w:t>
                  </w:r>
                </w:p>
              </w:tc>
              <w:tc>
                <w:tcPr>
                  <w:tcW w:w="782" w:type="pct"/>
                  <w:tcBorders>
                    <w:tl2br w:val="nil"/>
                    <w:tr2bl w:val="nil"/>
                  </w:tcBorders>
                  <w:shd w:val="clear" w:color="auto" w:fill="FFFFFF"/>
                  <w:noWrap w:val="0"/>
                  <w:vAlign w:val="center"/>
                </w:tcPr>
                <w:p w14:paraId="402486D6">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124</w:t>
                  </w:r>
                </w:p>
              </w:tc>
              <w:tc>
                <w:tcPr>
                  <w:tcW w:w="647" w:type="pct"/>
                  <w:tcBorders>
                    <w:right w:val="single" w:color="000000" w:sz="4" w:space="0"/>
                    <w:tl2br w:val="nil"/>
                    <w:tr2bl w:val="nil"/>
                  </w:tcBorders>
                  <w:shd w:val="clear" w:color="auto" w:fill="FFFFFF"/>
                  <w:noWrap w:val="0"/>
                  <w:vAlign w:val="center"/>
                </w:tcPr>
                <w:p w14:paraId="2935A2A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200</w:t>
                  </w:r>
                </w:p>
              </w:tc>
            </w:tr>
            <w:tr w14:paraId="1D8CC5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5BC55EA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29</w:t>
                  </w:r>
                </w:p>
              </w:tc>
              <w:tc>
                <w:tcPr>
                  <w:tcW w:w="1435" w:type="pct"/>
                  <w:gridSpan w:val="2"/>
                  <w:tcBorders>
                    <w:tl2br w:val="nil"/>
                    <w:tr2bl w:val="nil"/>
                  </w:tcBorders>
                  <w:shd w:val="clear" w:color="auto" w:fill="FFFFFF"/>
                  <w:noWrap w:val="0"/>
                  <w:vAlign w:val="center"/>
                </w:tcPr>
                <w:p w14:paraId="228086D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钙</w:t>
                  </w:r>
                </w:p>
              </w:tc>
              <w:tc>
                <w:tcPr>
                  <w:tcW w:w="839" w:type="pct"/>
                  <w:tcBorders>
                    <w:tl2br w:val="nil"/>
                    <w:tr2bl w:val="nil"/>
                  </w:tcBorders>
                  <w:shd w:val="clear" w:color="auto" w:fill="FFFFFF"/>
                  <w:noWrap w:val="0"/>
                  <w:vAlign w:val="center"/>
                </w:tcPr>
                <w:p w14:paraId="03B4C5F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7E7151A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477</w:t>
                  </w:r>
                </w:p>
              </w:tc>
              <w:tc>
                <w:tcPr>
                  <w:tcW w:w="782" w:type="pct"/>
                  <w:tcBorders>
                    <w:tl2br w:val="nil"/>
                    <w:tr2bl w:val="nil"/>
                  </w:tcBorders>
                  <w:shd w:val="clear" w:color="auto" w:fill="FFFFFF"/>
                  <w:noWrap w:val="0"/>
                  <w:vAlign w:val="center"/>
                </w:tcPr>
                <w:p w14:paraId="06BC6850">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1167</w:t>
                  </w:r>
                </w:p>
              </w:tc>
              <w:tc>
                <w:tcPr>
                  <w:tcW w:w="647" w:type="pct"/>
                  <w:tcBorders>
                    <w:right w:val="single" w:color="000000" w:sz="4" w:space="0"/>
                    <w:tl2br w:val="nil"/>
                    <w:tr2bl w:val="nil"/>
                  </w:tcBorders>
                  <w:shd w:val="clear" w:color="auto" w:fill="FFFFFF"/>
                  <w:noWrap w:val="0"/>
                  <w:vAlign w:val="center"/>
                </w:tcPr>
                <w:p w14:paraId="56D401E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00BEE7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0FC8F95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30</w:t>
                  </w:r>
                </w:p>
              </w:tc>
              <w:tc>
                <w:tcPr>
                  <w:tcW w:w="1435" w:type="pct"/>
                  <w:gridSpan w:val="2"/>
                  <w:tcBorders>
                    <w:tl2br w:val="nil"/>
                    <w:tr2bl w:val="nil"/>
                  </w:tcBorders>
                  <w:shd w:val="clear" w:color="auto" w:fill="FFFFFF"/>
                  <w:noWrap w:val="0"/>
                  <w:vAlign w:val="center"/>
                </w:tcPr>
                <w:p w14:paraId="660CCD8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镁</w:t>
                  </w:r>
                </w:p>
              </w:tc>
              <w:tc>
                <w:tcPr>
                  <w:tcW w:w="839" w:type="pct"/>
                  <w:tcBorders>
                    <w:tl2br w:val="nil"/>
                    <w:tr2bl w:val="nil"/>
                  </w:tcBorders>
                  <w:shd w:val="clear" w:color="auto" w:fill="FFFFFF"/>
                  <w:noWrap w:val="0"/>
                  <w:vAlign w:val="center"/>
                </w:tcPr>
                <w:p w14:paraId="3451E37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0BCFB058">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95.5</w:t>
                  </w:r>
                </w:p>
              </w:tc>
              <w:tc>
                <w:tcPr>
                  <w:tcW w:w="782" w:type="pct"/>
                  <w:tcBorders>
                    <w:tl2br w:val="nil"/>
                    <w:tr2bl w:val="nil"/>
                  </w:tcBorders>
                  <w:shd w:val="clear" w:color="auto" w:fill="FFFFFF"/>
                  <w:noWrap w:val="0"/>
                  <w:vAlign w:val="center"/>
                </w:tcPr>
                <w:p w14:paraId="11BC5495">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113</w:t>
                  </w:r>
                </w:p>
              </w:tc>
              <w:tc>
                <w:tcPr>
                  <w:tcW w:w="647" w:type="pct"/>
                  <w:tcBorders>
                    <w:right w:val="single" w:color="000000" w:sz="4" w:space="0"/>
                    <w:tl2br w:val="nil"/>
                    <w:tr2bl w:val="nil"/>
                  </w:tcBorders>
                  <w:shd w:val="clear" w:color="auto" w:fill="FFFFFF"/>
                  <w:noWrap w:val="0"/>
                  <w:vAlign w:val="center"/>
                </w:tcPr>
                <w:p w14:paraId="5C9A11D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4C60FA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7C62724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31</w:t>
                  </w:r>
                </w:p>
              </w:tc>
              <w:tc>
                <w:tcPr>
                  <w:tcW w:w="1435" w:type="pct"/>
                  <w:gridSpan w:val="2"/>
                  <w:tcBorders>
                    <w:tl2br w:val="nil"/>
                    <w:tr2bl w:val="nil"/>
                  </w:tcBorders>
                  <w:shd w:val="clear" w:color="auto" w:fill="FFFFFF"/>
                  <w:noWrap w:val="0"/>
                  <w:vAlign w:val="center"/>
                </w:tcPr>
                <w:p w14:paraId="155224F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苯</w:t>
                  </w:r>
                </w:p>
              </w:tc>
              <w:tc>
                <w:tcPr>
                  <w:tcW w:w="839" w:type="pct"/>
                  <w:tcBorders>
                    <w:tl2br w:val="nil"/>
                    <w:tr2bl w:val="nil"/>
                  </w:tcBorders>
                  <w:shd w:val="clear" w:color="auto" w:fill="FFFFFF"/>
                  <w:noWrap w:val="0"/>
                  <w:vAlign w:val="center"/>
                </w:tcPr>
                <w:p w14:paraId="4D7CE2D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722" w:type="pct"/>
                  <w:tcBorders>
                    <w:tl2br w:val="nil"/>
                    <w:tr2bl w:val="nil"/>
                  </w:tcBorders>
                  <w:shd w:val="clear" w:color="auto" w:fill="FFFFFF"/>
                  <w:noWrap w:val="0"/>
                  <w:vAlign w:val="center"/>
                </w:tcPr>
                <w:p w14:paraId="3ABD948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782" w:type="pct"/>
                  <w:tcBorders>
                    <w:tl2br w:val="nil"/>
                    <w:tr2bl w:val="nil"/>
                  </w:tcBorders>
                  <w:shd w:val="clear" w:color="auto" w:fill="FFFFFF"/>
                  <w:noWrap w:val="0"/>
                  <w:vAlign w:val="center"/>
                </w:tcPr>
                <w:p w14:paraId="50A34BB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647" w:type="pct"/>
                  <w:tcBorders>
                    <w:right w:val="single" w:color="000000" w:sz="4" w:space="0"/>
                    <w:tl2br w:val="nil"/>
                    <w:tr2bl w:val="nil"/>
                  </w:tcBorders>
                  <w:shd w:val="clear" w:color="auto" w:fill="FFFFFF"/>
                  <w:noWrap w:val="0"/>
                  <w:vAlign w:val="center"/>
                </w:tcPr>
                <w:p w14:paraId="273B9C4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0.01</w:t>
                  </w:r>
                </w:p>
              </w:tc>
            </w:tr>
            <w:tr w14:paraId="327DE5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07AC54F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32</w:t>
                  </w:r>
                </w:p>
              </w:tc>
              <w:tc>
                <w:tcPr>
                  <w:tcW w:w="1435" w:type="pct"/>
                  <w:gridSpan w:val="2"/>
                  <w:tcBorders>
                    <w:tl2br w:val="nil"/>
                    <w:tr2bl w:val="nil"/>
                  </w:tcBorders>
                  <w:shd w:val="clear" w:color="auto" w:fill="FFFFFF"/>
                  <w:noWrap w:val="0"/>
                  <w:vAlign w:val="center"/>
                </w:tcPr>
                <w:p w14:paraId="53B2766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甲苯</w:t>
                  </w:r>
                </w:p>
              </w:tc>
              <w:tc>
                <w:tcPr>
                  <w:tcW w:w="839" w:type="pct"/>
                  <w:tcBorders>
                    <w:tl2br w:val="nil"/>
                    <w:tr2bl w:val="nil"/>
                  </w:tcBorders>
                  <w:shd w:val="clear" w:color="auto" w:fill="FFFFFF"/>
                  <w:noWrap w:val="0"/>
                  <w:vAlign w:val="center"/>
                </w:tcPr>
                <w:p w14:paraId="10A16C7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722" w:type="pct"/>
                  <w:tcBorders>
                    <w:tl2br w:val="nil"/>
                    <w:tr2bl w:val="nil"/>
                  </w:tcBorders>
                  <w:shd w:val="clear" w:color="auto" w:fill="FFFFFF"/>
                  <w:noWrap w:val="0"/>
                  <w:vAlign w:val="center"/>
                </w:tcPr>
                <w:p w14:paraId="5E5F491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782" w:type="pct"/>
                  <w:tcBorders>
                    <w:tl2br w:val="nil"/>
                    <w:tr2bl w:val="nil"/>
                  </w:tcBorders>
                  <w:shd w:val="clear" w:color="auto" w:fill="FFFFFF"/>
                  <w:noWrap w:val="0"/>
                  <w:vAlign w:val="center"/>
                </w:tcPr>
                <w:p w14:paraId="22B812F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647" w:type="pct"/>
                  <w:tcBorders>
                    <w:right w:val="single" w:color="000000" w:sz="4" w:space="0"/>
                    <w:tl2br w:val="nil"/>
                    <w:tr2bl w:val="nil"/>
                  </w:tcBorders>
                  <w:shd w:val="clear" w:color="auto" w:fill="FFFFFF"/>
                  <w:noWrap w:val="0"/>
                  <w:vAlign w:val="center"/>
                </w:tcPr>
                <w:p w14:paraId="661CEE8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0.7</w:t>
                  </w:r>
                </w:p>
              </w:tc>
            </w:tr>
            <w:tr w14:paraId="6F45D7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vMerge w:val="restart"/>
                  <w:tcBorders>
                    <w:left w:val="single" w:color="000000" w:sz="4" w:space="0"/>
                    <w:tl2br w:val="nil"/>
                    <w:tr2bl w:val="nil"/>
                  </w:tcBorders>
                  <w:shd w:val="clear" w:color="auto" w:fill="FFFFFF"/>
                  <w:noWrap/>
                  <w:vAlign w:val="center"/>
                </w:tcPr>
                <w:p w14:paraId="64AD1F7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33</w:t>
                  </w:r>
                </w:p>
              </w:tc>
              <w:tc>
                <w:tcPr>
                  <w:tcW w:w="357" w:type="pct"/>
                  <w:vMerge w:val="restart"/>
                  <w:tcBorders>
                    <w:tl2br w:val="nil"/>
                    <w:tr2bl w:val="nil"/>
                  </w:tcBorders>
                  <w:shd w:val="clear" w:color="auto" w:fill="FFFFFF"/>
                  <w:noWrap w:val="0"/>
                  <w:vAlign w:val="center"/>
                </w:tcPr>
                <w:p w14:paraId="3327511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二甲苯</w:t>
                  </w:r>
                </w:p>
              </w:tc>
              <w:tc>
                <w:tcPr>
                  <w:tcW w:w="1078" w:type="pct"/>
                  <w:tcBorders>
                    <w:tl2br w:val="nil"/>
                    <w:tr2bl w:val="nil"/>
                  </w:tcBorders>
                  <w:shd w:val="clear" w:color="auto" w:fill="FFFFFF"/>
                  <w:noWrap w:val="0"/>
                  <w:vAlign w:val="center"/>
                </w:tcPr>
                <w:p w14:paraId="4A6A2D2A">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对二甲苯</w:t>
                  </w:r>
                </w:p>
              </w:tc>
              <w:tc>
                <w:tcPr>
                  <w:tcW w:w="839" w:type="pct"/>
                  <w:tcBorders>
                    <w:tl2br w:val="nil"/>
                    <w:tr2bl w:val="nil"/>
                  </w:tcBorders>
                  <w:shd w:val="clear" w:color="auto" w:fill="FFFFFF"/>
                  <w:noWrap w:val="0"/>
                  <w:vAlign w:val="center"/>
                </w:tcPr>
                <w:p w14:paraId="3482F05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722" w:type="pct"/>
                  <w:tcBorders>
                    <w:tl2br w:val="nil"/>
                    <w:tr2bl w:val="nil"/>
                  </w:tcBorders>
                  <w:shd w:val="clear" w:color="auto" w:fill="FFFFFF"/>
                  <w:noWrap w:val="0"/>
                  <w:vAlign w:val="center"/>
                </w:tcPr>
                <w:p w14:paraId="690983D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782" w:type="pct"/>
                  <w:tcBorders>
                    <w:tl2br w:val="nil"/>
                    <w:tr2bl w:val="nil"/>
                  </w:tcBorders>
                  <w:shd w:val="clear" w:color="auto" w:fill="FFFFFF"/>
                  <w:noWrap w:val="0"/>
                  <w:vAlign w:val="center"/>
                </w:tcPr>
                <w:p w14:paraId="1C1FEC6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647" w:type="pct"/>
                  <w:vMerge w:val="restart"/>
                  <w:tcBorders>
                    <w:right w:val="single" w:color="000000" w:sz="4" w:space="0"/>
                    <w:tl2br w:val="nil"/>
                    <w:tr2bl w:val="nil"/>
                  </w:tcBorders>
                  <w:shd w:val="clear" w:color="auto" w:fill="FFFFFF"/>
                  <w:noWrap w:val="0"/>
                  <w:vAlign w:val="center"/>
                </w:tcPr>
                <w:p w14:paraId="14B13AF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0.5</w:t>
                  </w:r>
                </w:p>
              </w:tc>
            </w:tr>
            <w:tr w14:paraId="5020DB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vMerge w:val="continue"/>
                  <w:tcBorders>
                    <w:left w:val="single" w:color="000000" w:sz="4" w:space="0"/>
                    <w:tl2br w:val="nil"/>
                    <w:tr2bl w:val="nil"/>
                  </w:tcBorders>
                  <w:shd w:val="clear" w:color="auto" w:fill="FFFFFF"/>
                  <w:noWrap/>
                  <w:vAlign w:val="center"/>
                </w:tcPr>
                <w:p w14:paraId="68B3D58F">
                  <w:pPr>
                    <w:jc w:val="center"/>
                    <w:rPr>
                      <w:rFonts w:hint="default" w:ascii="Times New Roman" w:hAnsi="Times New Roman" w:eastAsia="宋体" w:cs="Times New Roman"/>
                      <w:b w:val="0"/>
                      <w:i w:val="0"/>
                      <w:iCs w:val="0"/>
                      <w:color w:val="000000"/>
                      <w:sz w:val="21"/>
                      <w:szCs w:val="21"/>
                      <w:highlight w:val="none"/>
                      <w:u w:val="none"/>
                    </w:rPr>
                  </w:pPr>
                </w:p>
              </w:tc>
              <w:tc>
                <w:tcPr>
                  <w:tcW w:w="357" w:type="pct"/>
                  <w:vMerge w:val="continue"/>
                  <w:tcBorders>
                    <w:tl2br w:val="nil"/>
                    <w:tr2bl w:val="nil"/>
                  </w:tcBorders>
                  <w:shd w:val="clear" w:color="auto" w:fill="FFFFFF"/>
                  <w:noWrap w:val="0"/>
                  <w:vAlign w:val="center"/>
                </w:tcPr>
                <w:p w14:paraId="34EAFB1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1078" w:type="pct"/>
                  <w:tcBorders>
                    <w:tl2br w:val="nil"/>
                    <w:tr2bl w:val="nil"/>
                  </w:tcBorders>
                  <w:shd w:val="clear" w:color="auto" w:fill="FFFFFF"/>
                  <w:noWrap w:val="0"/>
                  <w:vAlign w:val="center"/>
                </w:tcPr>
                <w:p w14:paraId="69DC90D1">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间二甲苯</w:t>
                  </w:r>
                </w:p>
              </w:tc>
              <w:tc>
                <w:tcPr>
                  <w:tcW w:w="839" w:type="pct"/>
                  <w:tcBorders>
                    <w:tl2br w:val="nil"/>
                    <w:tr2bl w:val="nil"/>
                  </w:tcBorders>
                  <w:shd w:val="clear" w:color="auto" w:fill="FFFFFF"/>
                  <w:noWrap w:val="0"/>
                  <w:vAlign w:val="center"/>
                </w:tcPr>
                <w:p w14:paraId="059A71D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722" w:type="pct"/>
                  <w:tcBorders>
                    <w:tl2br w:val="nil"/>
                    <w:tr2bl w:val="nil"/>
                  </w:tcBorders>
                  <w:shd w:val="clear" w:color="auto" w:fill="FFFFFF"/>
                  <w:noWrap w:val="0"/>
                  <w:vAlign w:val="center"/>
                </w:tcPr>
                <w:p w14:paraId="1CD50A3A">
                  <w:pPr>
                    <w:keepNext w:val="0"/>
                    <w:keepLines w:val="0"/>
                    <w:widowControl/>
                    <w:suppressLineNumbers w:val="0"/>
                    <w:jc w:val="center"/>
                    <w:textAlignment w:val="top"/>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782" w:type="pct"/>
                  <w:tcBorders>
                    <w:tl2br w:val="nil"/>
                    <w:tr2bl w:val="nil"/>
                  </w:tcBorders>
                  <w:shd w:val="clear" w:color="auto" w:fill="FFFFFF"/>
                  <w:noWrap w:val="0"/>
                  <w:vAlign w:val="center"/>
                </w:tcPr>
                <w:p w14:paraId="3F170B8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647" w:type="pct"/>
                  <w:vMerge w:val="continue"/>
                  <w:tcBorders>
                    <w:right w:val="single" w:color="000000" w:sz="4" w:space="0"/>
                    <w:tl2br w:val="nil"/>
                    <w:tr2bl w:val="nil"/>
                  </w:tcBorders>
                  <w:shd w:val="clear" w:color="auto" w:fill="FFFFFF"/>
                  <w:noWrap w:val="0"/>
                  <w:vAlign w:val="center"/>
                </w:tcPr>
                <w:p w14:paraId="5CB4D569">
                  <w:pPr>
                    <w:jc w:val="center"/>
                    <w:rPr>
                      <w:rFonts w:hint="default" w:ascii="Times New Roman" w:hAnsi="Times New Roman" w:eastAsia="宋体" w:cs="Times New Roman"/>
                      <w:b w:val="0"/>
                      <w:i w:val="0"/>
                      <w:iCs w:val="0"/>
                      <w:color w:val="000000"/>
                      <w:sz w:val="21"/>
                      <w:szCs w:val="21"/>
                      <w:highlight w:val="none"/>
                      <w:u w:val="none"/>
                    </w:rPr>
                  </w:pPr>
                </w:p>
              </w:tc>
            </w:tr>
            <w:tr w14:paraId="4CABF9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vMerge w:val="continue"/>
                  <w:tcBorders>
                    <w:left w:val="single" w:color="000000" w:sz="4" w:space="0"/>
                    <w:tl2br w:val="nil"/>
                    <w:tr2bl w:val="nil"/>
                  </w:tcBorders>
                  <w:shd w:val="clear" w:color="auto" w:fill="FFFFFF"/>
                  <w:noWrap/>
                  <w:vAlign w:val="center"/>
                </w:tcPr>
                <w:p w14:paraId="4CC9F72B">
                  <w:pPr>
                    <w:jc w:val="center"/>
                    <w:rPr>
                      <w:rFonts w:hint="default" w:ascii="Times New Roman" w:hAnsi="Times New Roman" w:eastAsia="宋体" w:cs="Times New Roman"/>
                      <w:b w:val="0"/>
                      <w:i w:val="0"/>
                      <w:iCs w:val="0"/>
                      <w:color w:val="000000"/>
                      <w:sz w:val="21"/>
                      <w:szCs w:val="21"/>
                      <w:highlight w:val="none"/>
                      <w:u w:val="none"/>
                    </w:rPr>
                  </w:pPr>
                </w:p>
              </w:tc>
              <w:tc>
                <w:tcPr>
                  <w:tcW w:w="357" w:type="pct"/>
                  <w:vMerge w:val="continue"/>
                  <w:tcBorders>
                    <w:tl2br w:val="nil"/>
                    <w:tr2bl w:val="nil"/>
                  </w:tcBorders>
                  <w:shd w:val="clear" w:color="auto" w:fill="FFFFFF"/>
                  <w:noWrap w:val="0"/>
                  <w:vAlign w:val="center"/>
                </w:tcPr>
                <w:p w14:paraId="1C193DC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1078" w:type="pct"/>
                  <w:tcBorders>
                    <w:tl2br w:val="nil"/>
                    <w:tr2bl w:val="nil"/>
                  </w:tcBorders>
                  <w:shd w:val="clear" w:color="auto" w:fill="FFFFFF"/>
                  <w:noWrap w:val="0"/>
                  <w:vAlign w:val="center"/>
                </w:tcPr>
                <w:p w14:paraId="427D4B6E">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邻二甲苯</w:t>
                  </w:r>
                </w:p>
              </w:tc>
              <w:tc>
                <w:tcPr>
                  <w:tcW w:w="839" w:type="pct"/>
                  <w:tcBorders>
                    <w:tl2br w:val="nil"/>
                    <w:tr2bl w:val="nil"/>
                  </w:tcBorders>
                  <w:shd w:val="clear" w:color="auto" w:fill="FFFFFF"/>
                  <w:noWrap w:val="0"/>
                  <w:vAlign w:val="center"/>
                </w:tcPr>
                <w:p w14:paraId="60E00EF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722" w:type="pct"/>
                  <w:tcBorders>
                    <w:tl2br w:val="nil"/>
                    <w:tr2bl w:val="nil"/>
                  </w:tcBorders>
                  <w:shd w:val="clear" w:color="auto" w:fill="FFFFFF"/>
                  <w:noWrap w:val="0"/>
                  <w:vAlign w:val="center"/>
                </w:tcPr>
                <w:p w14:paraId="60889BF2">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782" w:type="pct"/>
                  <w:tcBorders>
                    <w:tl2br w:val="nil"/>
                    <w:tr2bl w:val="nil"/>
                  </w:tcBorders>
                  <w:shd w:val="clear" w:color="auto" w:fill="FFFFFF"/>
                  <w:noWrap w:val="0"/>
                  <w:vAlign w:val="center"/>
                </w:tcPr>
                <w:p w14:paraId="30D6548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2L</w:t>
                  </w:r>
                </w:p>
              </w:tc>
              <w:tc>
                <w:tcPr>
                  <w:tcW w:w="647" w:type="pct"/>
                  <w:vMerge w:val="continue"/>
                  <w:tcBorders>
                    <w:right w:val="single" w:color="000000" w:sz="4" w:space="0"/>
                    <w:tl2br w:val="nil"/>
                    <w:tr2bl w:val="nil"/>
                  </w:tcBorders>
                  <w:shd w:val="clear" w:color="auto" w:fill="FFFFFF"/>
                  <w:noWrap w:val="0"/>
                  <w:vAlign w:val="center"/>
                </w:tcPr>
                <w:p w14:paraId="79E4C938">
                  <w:pPr>
                    <w:jc w:val="center"/>
                    <w:rPr>
                      <w:rFonts w:hint="default" w:ascii="Times New Roman" w:hAnsi="Times New Roman" w:eastAsia="宋体" w:cs="Times New Roman"/>
                      <w:b w:val="0"/>
                      <w:i w:val="0"/>
                      <w:iCs w:val="0"/>
                      <w:color w:val="000000"/>
                      <w:sz w:val="21"/>
                      <w:szCs w:val="21"/>
                      <w:highlight w:val="none"/>
                      <w:u w:val="none"/>
                    </w:rPr>
                  </w:pPr>
                </w:p>
              </w:tc>
            </w:tr>
            <w:tr w14:paraId="15AF37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tl2br w:val="nil"/>
                    <w:tr2bl w:val="nil"/>
                  </w:tcBorders>
                  <w:shd w:val="clear" w:color="auto" w:fill="FFFFFF"/>
                  <w:noWrap w:val="0"/>
                  <w:vAlign w:val="center"/>
                </w:tcPr>
                <w:p w14:paraId="6D11FD3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34</w:t>
                  </w:r>
                </w:p>
              </w:tc>
              <w:tc>
                <w:tcPr>
                  <w:tcW w:w="1435" w:type="pct"/>
                  <w:gridSpan w:val="2"/>
                  <w:tcBorders>
                    <w:tl2br w:val="nil"/>
                    <w:tr2bl w:val="nil"/>
                  </w:tcBorders>
                  <w:shd w:val="clear" w:color="auto" w:fill="FFFFFF"/>
                  <w:noWrap w:val="0"/>
                  <w:vAlign w:val="center"/>
                </w:tcPr>
                <w:p w14:paraId="0D9139E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碳酸根（CO</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3</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2-</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839" w:type="pct"/>
                  <w:tcBorders>
                    <w:tl2br w:val="nil"/>
                    <w:tr2bl w:val="nil"/>
                  </w:tcBorders>
                  <w:shd w:val="clear" w:color="auto" w:fill="FFFFFF"/>
                  <w:noWrap w:val="0"/>
                  <w:vAlign w:val="center"/>
                </w:tcPr>
                <w:p w14:paraId="77DB4F7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tl2br w:val="nil"/>
                    <w:tr2bl w:val="nil"/>
                  </w:tcBorders>
                  <w:shd w:val="clear" w:color="auto" w:fill="FFFFFF"/>
                  <w:noWrap w:val="0"/>
                  <w:vAlign w:val="center"/>
                </w:tcPr>
                <w:p w14:paraId="2D3F4F03">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5L</w:t>
                  </w:r>
                </w:p>
              </w:tc>
              <w:tc>
                <w:tcPr>
                  <w:tcW w:w="782" w:type="pct"/>
                  <w:tcBorders>
                    <w:tl2br w:val="nil"/>
                    <w:tr2bl w:val="nil"/>
                  </w:tcBorders>
                  <w:shd w:val="clear" w:color="auto" w:fill="FFFFFF"/>
                  <w:noWrap w:val="0"/>
                  <w:vAlign w:val="center"/>
                </w:tcPr>
                <w:p w14:paraId="0C5B8B7A">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5L</w:t>
                  </w:r>
                </w:p>
              </w:tc>
              <w:tc>
                <w:tcPr>
                  <w:tcW w:w="647" w:type="pct"/>
                  <w:tcBorders>
                    <w:right w:val="single" w:color="000000" w:sz="4" w:space="0"/>
                    <w:tl2br w:val="nil"/>
                    <w:tr2bl w:val="nil"/>
                  </w:tcBorders>
                  <w:shd w:val="clear" w:color="auto" w:fill="FFFFFF"/>
                  <w:noWrap w:val="0"/>
                  <w:vAlign w:val="center"/>
                </w:tcPr>
                <w:p w14:paraId="297A6CE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01245D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72" w:type="pct"/>
                  <w:tcBorders>
                    <w:left w:val="single" w:color="000000" w:sz="4" w:space="0"/>
                    <w:bottom w:val="single" w:color="000000" w:sz="4" w:space="0"/>
                    <w:tl2br w:val="nil"/>
                    <w:tr2bl w:val="nil"/>
                  </w:tcBorders>
                  <w:shd w:val="clear" w:color="auto" w:fill="FFFFFF"/>
                  <w:noWrap w:val="0"/>
                  <w:vAlign w:val="center"/>
                </w:tcPr>
                <w:p w14:paraId="098A8B8C">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34</w:t>
                  </w:r>
                </w:p>
              </w:tc>
              <w:tc>
                <w:tcPr>
                  <w:tcW w:w="1435" w:type="pct"/>
                  <w:gridSpan w:val="2"/>
                  <w:tcBorders>
                    <w:bottom w:val="single" w:color="000000" w:sz="4" w:space="0"/>
                    <w:tl2br w:val="nil"/>
                    <w:tr2bl w:val="nil"/>
                  </w:tcBorders>
                  <w:shd w:val="clear" w:color="auto" w:fill="FFFFFF"/>
                  <w:noWrap w:val="0"/>
                  <w:vAlign w:val="center"/>
                </w:tcPr>
                <w:p w14:paraId="16C8F38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重碳酸根（HCO</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3</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839" w:type="pct"/>
                  <w:tcBorders>
                    <w:bottom w:val="single" w:color="000000" w:sz="4" w:space="0"/>
                    <w:tl2br w:val="nil"/>
                    <w:tr2bl w:val="nil"/>
                  </w:tcBorders>
                  <w:shd w:val="clear" w:color="auto" w:fill="FFFFFF"/>
                  <w:noWrap w:val="0"/>
                  <w:vAlign w:val="center"/>
                </w:tcPr>
                <w:p w14:paraId="1834D13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722" w:type="pct"/>
                  <w:tcBorders>
                    <w:bottom w:val="single" w:color="000000" w:sz="4" w:space="0"/>
                    <w:tl2br w:val="nil"/>
                    <w:tr2bl w:val="nil"/>
                  </w:tcBorders>
                  <w:shd w:val="clear" w:color="auto" w:fill="FFFFFF"/>
                  <w:noWrap w:val="0"/>
                  <w:vAlign w:val="center"/>
                </w:tcPr>
                <w:p w14:paraId="3D1EEF29">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195</w:t>
                  </w:r>
                </w:p>
              </w:tc>
              <w:tc>
                <w:tcPr>
                  <w:tcW w:w="782" w:type="pct"/>
                  <w:tcBorders>
                    <w:bottom w:val="single" w:color="000000" w:sz="4" w:space="0"/>
                    <w:tl2br w:val="nil"/>
                    <w:tr2bl w:val="nil"/>
                  </w:tcBorders>
                  <w:shd w:val="clear" w:color="auto" w:fill="FFFFFF"/>
                  <w:noWrap w:val="0"/>
                  <w:vAlign w:val="center"/>
                </w:tcPr>
                <w:p w14:paraId="6E892D82">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51</w:t>
                  </w:r>
                </w:p>
              </w:tc>
              <w:tc>
                <w:tcPr>
                  <w:tcW w:w="647" w:type="pct"/>
                  <w:tcBorders>
                    <w:bottom w:val="single" w:color="000000" w:sz="4" w:space="0"/>
                    <w:right w:val="single" w:color="000000" w:sz="4" w:space="0"/>
                    <w:tl2br w:val="nil"/>
                    <w:tr2bl w:val="nil"/>
                  </w:tcBorders>
                  <w:shd w:val="clear" w:color="auto" w:fill="FFFFFF"/>
                  <w:noWrap w:val="0"/>
                  <w:vAlign w:val="center"/>
                </w:tcPr>
                <w:p w14:paraId="7FF0F7B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bl>
          <w:p w14:paraId="205E124A">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cs="Times New Roman"/>
                <w:color w:val="000000"/>
                <w:sz w:val="24"/>
                <w:szCs w:val="24"/>
                <w:highlight w:val="none"/>
                <w:lang w:val="en-US" w:eastAsia="zh-CN"/>
              </w:rPr>
            </w:pPr>
          </w:p>
          <w:p w14:paraId="547BFE2F">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Times New Roman" w:hAnsi="Times New Roman" w:eastAsia="宋体" w:cs="Times New Roman"/>
                <w:color w:val="000000"/>
                <w:sz w:val="24"/>
                <w:szCs w:val="24"/>
                <w:highlight w:val="none"/>
              </w:rPr>
            </w:pPr>
            <w:r>
              <w:rPr>
                <w:rFonts w:hint="eastAsia" w:cs="Times New Roman"/>
                <w:color w:val="000000"/>
                <w:sz w:val="24"/>
                <w:szCs w:val="24"/>
                <w:highlight w:val="none"/>
                <w:lang w:val="en-US" w:eastAsia="zh-CN"/>
              </w:rPr>
              <w:t>6、</w:t>
            </w:r>
            <w:r>
              <w:rPr>
                <w:rFonts w:hint="eastAsia" w:ascii="Times New Roman" w:hAnsi="Times New Roman" w:eastAsia="宋体" w:cs="Times New Roman"/>
                <w:color w:val="000000"/>
                <w:sz w:val="24"/>
                <w:szCs w:val="24"/>
                <w:highlight w:val="none"/>
              </w:rPr>
              <w:t>评价结果</w:t>
            </w:r>
          </w:p>
          <w:p w14:paraId="03CFFFE9">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lang w:eastAsia="zh-CN"/>
              </w:rPr>
            </w:pPr>
            <w:r>
              <w:rPr>
                <w:rFonts w:ascii="Times New Roman" w:hAnsi="Times New Roman" w:eastAsia="宋体" w:cs="Times New Roman"/>
                <w:color w:val="000000"/>
                <w:sz w:val="24"/>
                <w:szCs w:val="24"/>
                <w:highlight w:val="none"/>
              </w:rPr>
              <w:t>地下水评价统计结果见表</w:t>
            </w:r>
            <w:r>
              <w:rPr>
                <w:rFonts w:hint="eastAsia" w:ascii="Times New Roman" w:hAnsi="Times New Roman" w:eastAsia="宋体" w:cs="Times New Roman"/>
                <w:color w:val="000000"/>
                <w:sz w:val="24"/>
                <w:szCs w:val="24"/>
                <w:highlight w:val="none"/>
              </w:rPr>
              <w:t>3</w:t>
            </w:r>
            <w:r>
              <w:rPr>
                <w:rFonts w:hint="eastAsia" w:cs="Times New Roman"/>
                <w:color w:val="000000"/>
                <w:sz w:val="24"/>
                <w:szCs w:val="24"/>
                <w:highlight w:val="none"/>
                <w:lang w:val="en-US" w:eastAsia="zh-CN"/>
              </w:rPr>
              <w:t>-6</w:t>
            </w:r>
            <w:r>
              <w:rPr>
                <w:rFonts w:hint="eastAsia" w:cs="Times New Roman"/>
                <w:color w:val="000000"/>
                <w:sz w:val="24"/>
                <w:szCs w:val="24"/>
                <w:highlight w:val="none"/>
                <w:lang w:eastAsia="zh-CN"/>
              </w:rPr>
              <w:t>：</w:t>
            </w:r>
          </w:p>
          <w:p w14:paraId="17C65F34">
            <w:pPr>
              <w:pStyle w:val="23"/>
              <w:bidi w:val="0"/>
              <w:rPr>
                <w:rFonts w:hint="eastAsia"/>
                <w:lang w:eastAsia="zh-CN"/>
              </w:rPr>
            </w:pPr>
            <w:r>
              <w:t>表</w:t>
            </w:r>
            <w:r>
              <w:rPr>
                <w:rFonts w:hint="eastAsia"/>
                <w:lang w:val="en-US" w:eastAsia="zh-CN"/>
              </w:rPr>
              <w:t xml:space="preserve">3-6 </w:t>
            </w:r>
            <w:r>
              <w:rPr>
                <w:rFonts w:hint="eastAsia"/>
                <w:lang w:eastAsia="zh-CN"/>
              </w:rPr>
              <w:t>地下水水质评价结果表（</w:t>
            </w:r>
            <w:r>
              <w:rPr>
                <w:rFonts w:hint="eastAsia"/>
                <w:lang w:val="en-US" w:eastAsia="zh-CN"/>
              </w:rPr>
              <w:t>2025年7月3日</w:t>
            </w:r>
            <w:r>
              <w:rPr>
                <w:rFonts w:hint="eastAsia"/>
                <w:lang w:eastAsia="zh-CN"/>
              </w:rPr>
              <w:t>）</w:t>
            </w:r>
          </w:p>
          <w:tbl>
            <w:tblPr>
              <w:tblStyle w:val="15"/>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862"/>
              <w:gridCol w:w="536"/>
              <w:gridCol w:w="1589"/>
              <w:gridCol w:w="1337"/>
              <w:gridCol w:w="1115"/>
              <w:gridCol w:w="909"/>
              <w:gridCol w:w="1030"/>
              <w:gridCol w:w="1014"/>
            </w:tblGrid>
            <w:tr w14:paraId="7EDBED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vMerge w:val="restart"/>
                  <w:tcBorders>
                    <w:top w:val="single" w:color="000000" w:sz="4" w:space="0"/>
                    <w:left w:val="single" w:color="000000" w:sz="4" w:space="0"/>
                    <w:tl2br w:val="nil"/>
                    <w:tr2bl w:val="nil"/>
                  </w:tcBorders>
                  <w:shd w:val="clear" w:color="auto" w:fill="FFFFFF"/>
                  <w:noWrap w:val="0"/>
                  <w:vAlign w:val="center"/>
                </w:tcPr>
                <w:p w14:paraId="3FA1A86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序号</w:t>
                  </w:r>
                </w:p>
              </w:tc>
              <w:tc>
                <w:tcPr>
                  <w:tcW w:w="2204" w:type="dxa"/>
                  <w:gridSpan w:val="2"/>
                  <w:vMerge w:val="restart"/>
                  <w:tcBorders>
                    <w:top w:val="single" w:color="000000" w:sz="4" w:space="0"/>
                    <w:tl2br w:val="nil"/>
                    <w:tr2bl w:val="nil"/>
                  </w:tcBorders>
                  <w:shd w:val="clear" w:color="auto" w:fill="FFFFFF"/>
                  <w:noWrap w:val="0"/>
                  <w:vAlign w:val="center"/>
                </w:tcPr>
                <w:p w14:paraId="72DB64E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检测项目</w:t>
                  </w:r>
                </w:p>
              </w:tc>
              <w:tc>
                <w:tcPr>
                  <w:tcW w:w="1298" w:type="dxa"/>
                  <w:vMerge w:val="restart"/>
                  <w:tcBorders>
                    <w:top w:val="single" w:color="000000" w:sz="4" w:space="0"/>
                    <w:tl2br w:val="nil"/>
                    <w:tr2bl w:val="nil"/>
                  </w:tcBorders>
                  <w:shd w:val="clear" w:color="auto" w:fill="FFFFFF"/>
                  <w:noWrap w:val="0"/>
                  <w:vAlign w:val="center"/>
                </w:tcPr>
                <w:p w14:paraId="5A761EC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单位</w:t>
                  </w:r>
                </w:p>
              </w:tc>
              <w:tc>
                <w:tcPr>
                  <w:tcW w:w="3111" w:type="dxa"/>
                  <w:gridSpan w:val="3"/>
                  <w:tcBorders>
                    <w:top w:val="single" w:color="000000" w:sz="4" w:space="0"/>
                    <w:tl2br w:val="nil"/>
                    <w:tr2bl w:val="nil"/>
                  </w:tcBorders>
                  <w:shd w:val="clear" w:color="auto" w:fill="FFFFFF"/>
                  <w:noWrap w:val="0"/>
                  <w:vAlign w:val="center"/>
                </w:tcPr>
                <w:p w14:paraId="5F40487F">
                  <w:pPr>
                    <w:keepNext w:val="0"/>
                    <w:keepLines w:val="0"/>
                    <w:widowControl/>
                    <w:suppressLineNumbers w:val="0"/>
                    <w:jc w:val="center"/>
                    <w:textAlignment w:val="cente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pPr>
                  <w:r>
                    <w:rPr>
                      <w:rFonts w:hint="eastAsia" w:cs="Times New Roman"/>
                      <w:b w:val="0"/>
                      <w:bCs w:val="0"/>
                      <w:i w:val="0"/>
                      <w:iCs w:val="0"/>
                      <w:snapToGrid w:val="0"/>
                      <w:color w:val="000000"/>
                      <w:kern w:val="0"/>
                      <w:sz w:val="21"/>
                      <w:szCs w:val="21"/>
                      <w:highlight w:val="none"/>
                      <w:u w:val="none"/>
                      <w:lang w:val="en-US" w:eastAsia="zh-CN" w:bidi="ar"/>
                    </w:rPr>
                    <w:t>评介</w:t>
                  </w: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结果</w:t>
                  </w:r>
                </w:p>
              </w:tc>
              <w:tc>
                <w:tcPr>
                  <w:tcW w:w="1041" w:type="dxa"/>
                  <w:vMerge w:val="restart"/>
                  <w:tcBorders>
                    <w:top w:val="single" w:color="000000" w:sz="4" w:space="0"/>
                    <w:right w:val="single" w:color="000000" w:sz="4" w:space="0"/>
                    <w:tl2br w:val="nil"/>
                    <w:tr2bl w:val="nil"/>
                  </w:tcBorders>
                  <w:shd w:val="clear" w:color="auto" w:fill="FFFFFF"/>
                  <w:noWrap w:val="0"/>
                  <w:vAlign w:val="center"/>
                </w:tcPr>
                <w:p w14:paraId="6B312A01">
                  <w:pPr>
                    <w:keepNext w:val="0"/>
                    <w:keepLines w:val="0"/>
                    <w:widowControl/>
                    <w:suppressLineNumbers w:val="0"/>
                    <w:jc w:val="center"/>
                    <w:textAlignment w:val="cente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标准</w:t>
                  </w:r>
                </w:p>
              </w:tc>
            </w:tr>
            <w:tr w14:paraId="064337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vMerge w:val="continue"/>
                  <w:tcBorders>
                    <w:left w:val="single" w:color="000000" w:sz="4" w:space="0"/>
                    <w:tl2br w:val="nil"/>
                    <w:tr2bl w:val="nil"/>
                  </w:tcBorders>
                  <w:shd w:val="clear" w:color="auto" w:fill="FFFFFF"/>
                  <w:noWrap w:val="0"/>
                  <w:vAlign w:val="center"/>
                </w:tcPr>
                <w:p w14:paraId="6E75AA1B">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c>
                <w:tcPr>
                  <w:tcW w:w="2204" w:type="dxa"/>
                  <w:gridSpan w:val="2"/>
                  <w:vMerge w:val="continue"/>
                  <w:tcBorders>
                    <w:tl2br w:val="nil"/>
                    <w:tr2bl w:val="nil"/>
                  </w:tcBorders>
                  <w:shd w:val="clear" w:color="auto" w:fill="FFFFFF"/>
                  <w:noWrap w:val="0"/>
                  <w:vAlign w:val="center"/>
                </w:tcPr>
                <w:p w14:paraId="3559F6D1">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c>
                <w:tcPr>
                  <w:tcW w:w="1298" w:type="dxa"/>
                  <w:vMerge w:val="continue"/>
                  <w:tcBorders>
                    <w:tl2br w:val="nil"/>
                    <w:tr2bl w:val="nil"/>
                  </w:tcBorders>
                  <w:shd w:val="clear" w:color="auto" w:fill="FFFFFF"/>
                  <w:noWrap w:val="0"/>
                  <w:vAlign w:val="center"/>
                </w:tcPr>
                <w:p w14:paraId="74761642">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c>
                <w:tcPr>
                  <w:tcW w:w="1151" w:type="dxa"/>
                  <w:tcBorders>
                    <w:tl2br w:val="nil"/>
                    <w:tr2bl w:val="nil"/>
                  </w:tcBorders>
                  <w:shd w:val="clear" w:color="auto" w:fill="FFFFFF"/>
                  <w:noWrap w:val="0"/>
                  <w:vAlign w:val="center"/>
                </w:tcPr>
                <w:p w14:paraId="1EA6A5DF">
                  <w:pPr>
                    <w:keepNext w:val="0"/>
                    <w:keepLines w:val="0"/>
                    <w:widowControl/>
                    <w:suppressLineNumbers w:val="0"/>
                    <w:jc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1#</w:t>
                  </w:r>
                  <w:r>
                    <w:rPr>
                      <w:rFonts w:hint="default" w:ascii="Times New Roman" w:hAnsi="Times New Roman" w:eastAsia="宋体" w:cs="Times New Roman"/>
                      <w:b w:val="0"/>
                      <w:color w:val="000000"/>
                      <w:sz w:val="21"/>
                      <w:szCs w:val="21"/>
                      <w:highlight w:val="none"/>
                      <w:lang w:val="en-US" w:eastAsia="zh-CN"/>
                    </w:rPr>
                    <w:t>上库大道南侧水井</w:t>
                  </w:r>
                </w:p>
              </w:tc>
              <w:tc>
                <w:tcPr>
                  <w:tcW w:w="919" w:type="dxa"/>
                  <w:tcBorders>
                    <w:tl2br w:val="nil"/>
                    <w:tr2bl w:val="nil"/>
                  </w:tcBorders>
                  <w:shd w:val="clear" w:color="auto" w:fill="FFFFFF"/>
                  <w:noWrap w:val="0"/>
                  <w:vAlign w:val="center"/>
                </w:tcPr>
                <w:p w14:paraId="2492C2A5">
                  <w:pPr>
                    <w:keepNext w:val="0"/>
                    <w:keepLines w:val="0"/>
                    <w:widowControl/>
                    <w:suppressLineNumbers w:val="0"/>
                    <w:jc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2#</w:t>
                  </w:r>
                  <w:r>
                    <w:rPr>
                      <w:rFonts w:hint="default" w:ascii="Times New Roman" w:hAnsi="Times New Roman" w:eastAsia="宋体" w:cs="Times New Roman"/>
                      <w:b w:val="0"/>
                      <w:color w:val="000000"/>
                      <w:kern w:val="0"/>
                      <w:sz w:val="21"/>
                      <w:szCs w:val="21"/>
                      <w:highlight w:val="none"/>
                      <w:lang w:val="en-US" w:eastAsia="zh-CN"/>
                    </w:rPr>
                    <w:t>上库石油石化园上游地下水井</w:t>
                  </w:r>
                </w:p>
              </w:tc>
              <w:tc>
                <w:tcPr>
                  <w:tcW w:w="1041" w:type="dxa"/>
                  <w:tcBorders>
                    <w:tl2br w:val="nil"/>
                    <w:tr2bl w:val="nil"/>
                  </w:tcBorders>
                  <w:shd w:val="clear" w:color="auto" w:fill="FFFFFF"/>
                  <w:noWrap w:val="0"/>
                  <w:vAlign w:val="center"/>
                </w:tcPr>
                <w:p w14:paraId="6071E00B">
                  <w:pPr>
                    <w:keepNext w:val="0"/>
                    <w:keepLines w:val="0"/>
                    <w:widowControl/>
                    <w:suppressLineNumbers w:val="0"/>
                    <w:jc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rPr>
                    <w:t>3#上库石油石化园内地下水井</w:t>
                  </w:r>
                </w:p>
              </w:tc>
              <w:tc>
                <w:tcPr>
                  <w:tcW w:w="1041" w:type="dxa"/>
                  <w:vMerge w:val="continue"/>
                  <w:tcBorders>
                    <w:right w:val="single" w:color="000000" w:sz="4" w:space="0"/>
                    <w:tl2br w:val="nil"/>
                    <w:tr2bl w:val="nil"/>
                  </w:tcBorders>
                  <w:shd w:val="clear" w:color="auto" w:fill="FFFFFF"/>
                  <w:noWrap w:val="0"/>
                  <w:vAlign w:val="center"/>
                </w:tcPr>
                <w:p w14:paraId="66E602AC">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r>
            <w:tr w14:paraId="129D01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150DCF8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w:t>
                  </w:r>
                </w:p>
              </w:tc>
              <w:tc>
                <w:tcPr>
                  <w:tcW w:w="2204" w:type="dxa"/>
                  <w:gridSpan w:val="2"/>
                  <w:tcBorders>
                    <w:tl2br w:val="nil"/>
                    <w:tr2bl w:val="nil"/>
                  </w:tcBorders>
                  <w:shd w:val="clear" w:color="auto" w:fill="FFFFFF"/>
                  <w:noWrap w:val="0"/>
                  <w:vAlign w:val="center"/>
                </w:tcPr>
                <w:p w14:paraId="7D0F484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pH值</w:t>
                  </w:r>
                </w:p>
              </w:tc>
              <w:tc>
                <w:tcPr>
                  <w:tcW w:w="1298" w:type="dxa"/>
                  <w:tcBorders>
                    <w:tl2br w:val="nil"/>
                    <w:tr2bl w:val="nil"/>
                  </w:tcBorders>
                  <w:shd w:val="clear" w:color="auto" w:fill="FFFFFF"/>
                  <w:noWrap w:val="0"/>
                  <w:vAlign w:val="center"/>
                </w:tcPr>
                <w:p w14:paraId="4C473B4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无量纲</w:t>
                  </w:r>
                </w:p>
              </w:tc>
              <w:tc>
                <w:tcPr>
                  <w:tcW w:w="1151" w:type="dxa"/>
                  <w:tcBorders>
                    <w:tl2br w:val="nil"/>
                    <w:tr2bl w:val="nil"/>
                  </w:tcBorders>
                  <w:shd w:val="clear" w:color="auto" w:fill="FFFFFF"/>
                  <w:noWrap w:val="0"/>
                  <w:vAlign w:val="center"/>
                </w:tcPr>
                <w:p w14:paraId="4C7C449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0.4</w:t>
                  </w:r>
                </w:p>
              </w:tc>
              <w:tc>
                <w:tcPr>
                  <w:tcW w:w="919" w:type="dxa"/>
                  <w:tcBorders>
                    <w:tl2br w:val="nil"/>
                    <w:tr2bl w:val="nil"/>
                  </w:tcBorders>
                  <w:shd w:val="clear" w:color="auto" w:fill="FFFFFF"/>
                  <w:noWrap w:val="0"/>
                  <w:vAlign w:val="center"/>
                </w:tcPr>
                <w:p w14:paraId="63E5C7D5">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0.7</w:t>
                  </w:r>
                </w:p>
              </w:tc>
              <w:tc>
                <w:tcPr>
                  <w:tcW w:w="1041" w:type="dxa"/>
                  <w:tcBorders>
                    <w:tl2br w:val="nil"/>
                    <w:tr2bl w:val="nil"/>
                  </w:tcBorders>
                  <w:shd w:val="clear" w:color="auto" w:fill="FFFFFF"/>
                  <w:noWrap w:val="0"/>
                  <w:vAlign w:val="center"/>
                </w:tcPr>
                <w:p w14:paraId="4EF41C37">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0.06</w:t>
                  </w:r>
                </w:p>
              </w:tc>
              <w:tc>
                <w:tcPr>
                  <w:tcW w:w="1041" w:type="dxa"/>
                  <w:tcBorders>
                    <w:right w:val="single" w:color="000000" w:sz="4" w:space="0"/>
                    <w:tl2br w:val="nil"/>
                    <w:tr2bl w:val="nil"/>
                  </w:tcBorders>
                  <w:shd w:val="clear" w:color="auto" w:fill="FFFFFF"/>
                  <w:noWrap w:val="0"/>
                  <w:vAlign w:val="center"/>
                </w:tcPr>
                <w:p w14:paraId="6A340C0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6.5～8.5</w:t>
                  </w:r>
                </w:p>
              </w:tc>
            </w:tr>
            <w:tr w14:paraId="7DA04D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62" w:type="dxa"/>
                  <w:tcBorders>
                    <w:left w:val="single" w:color="000000" w:sz="4" w:space="0"/>
                    <w:tl2br w:val="nil"/>
                    <w:tr2bl w:val="nil"/>
                  </w:tcBorders>
                  <w:shd w:val="clear" w:color="auto" w:fill="FFFFFF"/>
                  <w:noWrap w:val="0"/>
                  <w:vAlign w:val="center"/>
                </w:tcPr>
                <w:p w14:paraId="51283AA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w:t>
                  </w:r>
                </w:p>
              </w:tc>
              <w:tc>
                <w:tcPr>
                  <w:tcW w:w="2204" w:type="dxa"/>
                  <w:gridSpan w:val="2"/>
                  <w:tcBorders>
                    <w:tl2br w:val="nil"/>
                    <w:tr2bl w:val="nil"/>
                  </w:tcBorders>
                  <w:shd w:val="clear" w:color="auto" w:fill="FFFFFF"/>
                  <w:noWrap w:val="0"/>
                  <w:vAlign w:val="center"/>
                </w:tcPr>
                <w:p w14:paraId="29536B3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总硬度</w:t>
                  </w:r>
                </w:p>
              </w:tc>
              <w:tc>
                <w:tcPr>
                  <w:tcW w:w="1298" w:type="dxa"/>
                  <w:tcBorders>
                    <w:tl2br w:val="nil"/>
                    <w:tr2bl w:val="nil"/>
                  </w:tcBorders>
                  <w:shd w:val="clear" w:color="auto" w:fill="FFFFFF"/>
                  <w:noWrap w:val="0"/>
                  <w:vAlign w:val="center"/>
                </w:tcPr>
                <w:p w14:paraId="378DC51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1BDD7C1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Times New Roman" w:hAnsi="Times New Roman" w:eastAsia="宋体" w:cs="Times New Roman"/>
                      <w:b w:val="0"/>
                      <w:i w:val="0"/>
                      <w:iCs w:val="0"/>
                      <w:color w:val="000000"/>
                      <w:kern w:val="0"/>
                      <w:sz w:val="21"/>
                      <w:szCs w:val="21"/>
                      <w:highlight w:val="none"/>
                      <w:u w:val="none"/>
                      <w:lang w:val="en-US" w:eastAsia="zh-CN" w:bidi="ar"/>
                    </w:rPr>
                    <w:t>1.5</w:t>
                  </w:r>
                </w:p>
              </w:tc>
              <w:tc>
                <w:tcPr>
                  <w:tcW w:w="919" w:type="dxa"/>
                  <w:tcBorders>
                    <w:tl2br w:val="nil"/>
                    <w:tr2bl w:val="nil"/>
                  </w:tcBorders>
                  <w:shd w:val="clear" w:color="auto" w:fill="FFFFFF"/>
                  <w:noWrap w:val="0"/>
                  <w:vAlign w:val="center"/>
                </w:tcPr>
                <w:p w14:paraId="70EFF20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Times New Roman" w:hAnsi="Times New Roman" w:eastAsia="宋体" w:cs="Times New Roman"/>
                      <w:b w:val="0"/>
                      <w:i w:val="0"/>
                      <w:iCs w:val="0"/>
                      <w:color w:val="000000"/>
                      <w:kern w:val="0"/>
                      <w:sz w:val="21"/>
                      <w:szCs w:val="21"/>
                      <w:highlight w:val="none"/>
                      <w:u w:val="none"/>
                      <w:lang w:val="en-US" w:eastAsia="zh-CN" w:bidi="ar"/>
                    </w:rPr>
                    <w:t>2.4</w:t>
                  </w:r>
                </w:p>
              </w:tc>
              <w:tc>
                <w:tcPr>
                  <w:tcW w:w="1041" w:type="dxa"/>
                  <w:tcBorders>
                    <w:tl2br w:val="nil"/>
                    <w:tr2bl w:val="nil"/>
                  </w:tcBorders>
                  <w:shd w:val="clear" w:color="auto" w:fill="FFFFFF"/>
                  <w:noWrap w:val="0"/>
                  <w:vAlign w:val="center"/>
                </w:tcPr>
                <w:p w14:paraId="08C71182">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6.8</w:t>
                  </w:r>
                </w:p>
              </w:tc>
              <w:tc>
                <w:tcPr>
                  <w:tcW w:w="1041" w:type="dxa"/>
                  <w:tcBorders>
                    <w:right w:val="single" w:color="000000" w:sz="4" w:space="0"/>
                    <w:tl2br w:val="nil"/>
                    <w:tr2bl w:val="nil"/>
                  </w:tcBorders>
                  <w:shd w:val="clear" w:color="auto" w:fill="FFFFFF"/>
                  <w:noWrap w:val="0"/>
                  <w:vAlign w:val="center"/>
                </w:tcPr>
                <w:p w14:paraId="361AEAA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450</w:t>
                  </w:r>
                </w:p>
              </w:tc>
            </w:tr>
            <w:tr w14:paraId="727E19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5A1E346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w:t>
                  </w:r>
                </w:p>
              </w:tc>
              <w:tc>
                <w:tcPr>
                  <w:tcW w:w="2204" w:type="dxa"/>
                  <w:gridSpan w:val="2"/>
                  <w:tcBorders>
                    <w:tl2br w:val="nil"/>
                    <w:tr2bl w:val="nil"/>
                  </w:tcBorders>
                  <w:shd w:val="clear" w:color="auto" w:fill="FFFFFF"/>
                  <w:noWrap w:val="0"/>
                  <w:vAlign w:val="center"/>
                </w:tcPr>
                <w:p w14:paraId="23E30E8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溶解性总固体</w:t>
                  </w:r>
                </w:p>
              </w:tc>
              <w:tc>
                <w:tcPr>
                  <w:tcW w:w="1298" w:type="dxa"/>
                  <w:tcBorders>
                    <w:tl2br w:val="nil"/>
                    <w:tr2bl w:val="nil"/>
                  </w:tcBorders>
                  <w:shd w:val="clear" w:color="auto" w:fill="FFFFFF"/>
                  <w:noWrap w:val="0"/>
                  <w:vAlign w:val="center"/>
                </w:tcPr>
                <w:p w14:paraId="4B632BA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03464D2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1</w:t>
                  </w:r>
                  <w:r>
                    <w:rPr>
                      <w:rFonts w:hint="eastAsia" w:ascii="Times New Roman" w:hAnsi="Times New Roman" w:eastAsia="宋体" w:cs="Times New Roman"/>
                      <w:b w:val="0"/>
                      <w:i w:val="0"/>
                      <w:iCs w:val="0"/>
                      <w:color w:val="000000"/>
                      <w:kern w:val="0"/>
                      <w:sz w:val="21"/>
                      <w:szCs w:val="21"/>
                      <w:highlight w:val="none"/>
                      <w:u w:val="none"/>
                      <w:lang w:val="en-US" w:eastAsia="zh-CN" w:bidi="ar"/>
                    </w:rPr>
                    <w:t>.</w:t>
                  </w:r>
                  <w:r>
                    <w:rPr>
                      <w:rFonts w:hint="default" w:ascii="Times New Roman" w:hAnsi="Times New Roman" w:eastAsia="宋体" w:cs="Times New Roman"/>
                      <w:b w:val="0"/>
                      <w:i w:val="0"/>
                      <w:iCs w:val="0"/>
                      <w:color w:val="000000"/>
                      <w:kern w:val="0"/>
                      <w:sz w:val="21"/>
                      <w:szCs w:val="21"/>
                      <w:highlight w:val="none"/>
                      <w:u w:val="none"/>
                      <w:lang w:val="en-US" w:eastAsia="zh-CN" w:bidi="ar"/>
                    </w:rPr>
                    <w:t>169</w:t>
                  </w:r>
                </w:p>
              </w:tc>
              <w:tc>
                <w:tcPr>
                  <w:tcW w:w="919" w:type="dxa"/>
                  <w:tcBorders>
                    <w:tl2br w:val="nil"/>
                    <w:tr2bl w:val="nil"/>
                  </w:tcBorders>
                  <w:shd w:val="clear" w:color="auto" w:fill="FFFFFF"/>
                  <w:noWrap w:val="0"/>
                  <w:vAlign w:val="center"/>
                </w:tcPr>
                <w:p w14:paraId="6CCEB5F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w:t>
                  </w:r>
                  <w:r>
                    <w:rPr>
                      <w:rFonts w:hint="eastAsia" w:ascii="Times New Roman" w:hAnsi="Times New Roman" w:eastAsia="宋体" w:cs="Times New Roman"/>
                      <w:b w:val="0"/>
                      <w:i w:val="0"/>
                      <w:iCs w:val="0"/>
                      <w:color w:val="000000"/>
                      <w:kern w:val="0"/>
                      <w:sz w:val="21"/>
                      <w:szCs w:val="21"/>
                      <w:highlight w:val="none"/>
                      <w:u w:val="none"/>
                      <w:lang w:val="en-US" w:eastAsia="zh-CN" w:bidi="ar"/>
                    </w:rPr>
                    <w:t>.</w:t>
                  </w:r>
                  <w:r>
                    <w:rPr>
                      <w:rFonts w:hint="default" w:ascii="Times New Roman" w:hAnsi="Times New Roman" w:eastAsia="宋体" w:cs="Times New Roman"/>
                      <w:b w:val="0"/>
                      <w:i w:val="0"/>
                      <w:iCs w:val="0"/>
                      <w:color w:val="000000"/>
                      <w:kern w:val="0"/>
                      <w:sz w:val="21"/>
                      <w:szCs w:val="21"/>
                      <w:highlight w:val="none"/>
                      <w:u w:val="none"/>
                      <w:lang w:val="en-US" w:eastAsia="zh-CN" w:bidi="ar"/>
                    </w:rPr>
                    <w:t>285</w:t>
                  </w:r>
                </w:p>
              </w:tc>
              <w:tc>
                <w:tcPr>
                  <w:tcW w:w="1041" w:type="dxa"/>
                  <w:tcBorders>
                    <w:tl2br w:val="nil"/>
                    <w:tr2bl w:val="nil"/>
                  </w:tcBorders>
                  <w:shd w:val="clear" w:color="auto" w:fill="FFFFFF"/>
                  <w:noWrap w:val="0"/>
                  <w:vAlign w:val="center"/>
                </w:tcPr>
                <w:p w14:paraId="300981E4">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6</w:t>
                  </w:r>
                  <w:r>
                    <w:rPr>
                      <w:rFonts w:hint="eastAsia" w:ascii="Times New Roman" w:hAnsi="Times New Roman" w:eastAsia="宋体" w:cs="Times New Roman"/>
                      <w:b w:val="0"/>
                      <w:i w:val="0"/>
                      <w:iCs w:val="0"/>
                      <w:color w:val="000000"/>
                      <w:kern w:val="0"/>
                      <w:sz w:val="21"/>
                      <w:szCs w:val="21"/>
                      <w:highlight w:val="none"/>
                      <w:u w:val="none"/>
                      <w:lang w:val="en-US" w:eastAsia="zh-CN" w:bidi="ar"/>
                    </w:rPr>
                    <w:t>.</w:t>
                  </w:r>
                  <w:r>
                    <w:rPr>
                      <w:rFonts w:hint="default" w:ascii="Times New Roman" w:hAnsi="Times New Roman" w:eastAsia="宋体" w:cs="Times New Roman"/>
                      <w:b w:val="0"/>
                      <w:i w:val="0"/>
                      <w:iCs w:val="0"/>
                      <w:color w:val="000000"/>
                      <w:kern w:val="0"/>
                      <w:sz w:val="21"/>
                      <w:szCs w:val="21"/>
                      <w:highlight w:val="none"/>
                      <w:u w:val="none"/>
                      <w:lang w:val="en-US" w:eastAsia="zh-CN" w:bidi="ar"/>
                    </w:rPr>
                    <w:t>780</w:t>
                  </w:r>
                </w:p>
              </w:tc>
              <w:tc>
                <w:tcPr>
                  <w:tcW w:w="1041" w:type="dxa"/>
                  <w:tcBorders>
                    <w:right w:val="single" w:color="000000" w:sz="4" w:space="0"/>
                    <w:tl2br w:val="nil"/>
                    <w:tr2bl w:val="nil"/>
                  </w:tcBorders>
                  <w:shd w:val="clear" w:color="auto" w:fill="FFFFFF"/>
                  <w:noWrap w:val="0"/>
                  <w:vAlign w:val="center"/>
                </w:tcPr>
                <w:p w14:paraId="109BF21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1000</w:t>
                  </w:r>
                </w:p>
              </w:tc>
            </w:tr>
            <w:tr w14:paraId="53B8EC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2E65509B">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4</w:t>
                  </w:r>
                </w:p>
              </w:tc>
              <w:tc>
                <w:tcPr>
                  <w:tcW w:w="2204" w:type="dxa"/>
                  <w:gridSpan w:val="2"/>
                  <w:tcBorders>
                    <w:tl2br w:val="nil"/>
                    <w:tr2bl w:val="nil"/>
                  </w:tcBorders>
                  <w:shd w:val="clear" w:color="auto" w:fill="FFFFFF"/>
                  <w:noWrap w:val="0"/>
                  <w:vAlign w:val="center"/>
                </w:tcPr>
                <w:p w14:paraId="1820C7E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spacing w:val="-11"/>
                      <w:kern w:val="0"/>
                      <w:sz w:val="21"/>
                      <w:szCs w:val="21"/>
                      <w:highlight w:val="none"/>
                      <w:u w:val="none"/>
                      <w:lang w:val="en-US" w:eastAsia="zh-CN" w:bidi="ar"/>
                    </w:rPr>
                    <w:t>高锰酸盐指数（耗氧量）</w:t>
                  </w:r>
                </w:p>
              </w:tc>
              <w:tc>
                <w:tcPr>
                  <w:tcW w:w="1298" w:type="dxa"/>
                  <w:tcBorders>
                    <w:tl2br w:val="nil"/>
                    <w:tr2bl w:val="nil"/>
                  </w:tcBorders>
                  <w:shd w:val="clear" w:color="auto" w:fill="FFFFFF"/>
                  <w:noWrap w:val="0"/>
                  <w:vAlign w:val="center"/>
                </w:tcPr>
                <w:p w14:paraId="5A3BED5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0EE5D7C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0.3</w:t>
                  </w:r>
                </w:p>
              </w:tc>
              <w:tc>
                <w:tcPr>
                  <w:tcW w:w="919" w:type="dxa"/>
                  <w:tcBorders>
                    <w:tl2br w:val="nil"/>
                    <w:tr2bl w:val="nil"/>
                  </w:tcBorders>
                  <w:shd w:val="clear" w:color="auto" w:fill="FFFFFF"/>
                  <w:noWrap w:val="0"/>
                  <w:vAlign w:val="center"/>
                </w:tcPr>
                <w:p w14:paraId="5876465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0.4</w:t>
                  </w:r>
                </w:p>
              </w:tc>
              <w:tc>
                <w:tcPr>
                  <w:tcW w:w="1041" w:type="dxa"/>
                  <w:tcBorders>
                    <w:tl2br w:val="nil"/>
                    <w:tr2bl w:val="nil"/>
                  </w:tcBorders>
                  <w:shd w:val="clear" w:color="auto" w:fill="FFFFFF"/>
                  <w:noWrap w:val="0"/>
                  <w:vAlign w:val="center"/>
                </w:tcPr>
                <w:p w14:paraId="22B37459">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0.57</w:t>
                  </w:r>
                </w:p>
              </w:tc>
              <w:tc>
                <w:tcPr>
                  <w:tcW w:w="1041" w:type="dxa"/>
                  <w:tcBorders>
                    <w:right w:val="single" w:color="000000" w:sz="4" w:space="0"/>
                    <w:tl2br w:val="nil"/>
                    <w:tr2bl w:val="nil"/>
                  </w:tcBorders>
                  <w:shd w:val="clear" w:color="auto" w:fill="FFFFFF"/>
                  <w:noWrap w:val="0"/>
                  <w:vAlign w:val="center"/>
                </w:tcPr>
                <w:p w14:paraId="143C59C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3.0</w:t>
                  </w:r>
                </w:p>
              </w:tc>
            </w:tr>
            <w:tr w14:paraId="4103F6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5A5A19E1">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5</w:t>
                  </w:r>
                </w:p>
              </w:tc>
              <w:tc>
                <w:tcPr>
                  <w:tcW w:w="2204" w:type="dxa"/>
                  <w:gridSpan w:val="2"/>
                  <w:tcBorders>
                    <w:tl2br w:val="nil"/>
                    <w:tr2bl w:val="nil"/>
                  </w:tcBorders>
                  <w:shd w:val="clear" w:color="auto" w:fill="FFFFFF"/>
                  <w:noWrap w:val="0"/>
                  <w:vAlign w:val="center"/>
                </w:tcPr>
                <w:p w14:paraId="7CDAC14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总大肠菌群</w:t>
                  </w:r>
                </w:p>
              </w:tc>
              <w:tc>
                <w:tcPr>
                  <w:tcW w:w="1298" w:type="dxa"/>
                  <w:tcBorders>
                    <w:tl2br w:val="nil"/>
                    <w:tr2bl w:val="nil"/>
                  </w:tcBorders>
                  <w:shd w:val="clear" w:color="auto" w:fill="FFFFFF"/>
                  <w:noWrap w:val="0"/>
                  <w:vAlign w:val="center"/>
                </w:tcPr>
                <w:p w14:paraId="4E796A4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MPN/100mL</w:t>
                  </w:r>
                </w:p>
              </w:tc>
              <w:tc>
                <w:tcPr>
                  <w:tcW w:w="1151" w:type="dxa"/>
                  <w:tcBorders>
                    <w:tl2br w:val="nil"/>
                    <w:tr2bl w:val="nil"/>
                  </w:tcBorders>
                  <w:shd w:val="clear" w:color="auto" w:fill="FFFFFF"/>
                  <w:noWrap w:val="0"/>
                  <w:vAlign w:val="center"/>
                </w:tcPr>
                <w:p w14:paraId="6828EFD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55424BF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41FDF76A">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right w:val="single" w:color="000000" w:sz="4" w:space="0"/>
                    <w:tl2br w:val="nil"/>
                    <w:tr2bl w:val="nil"/>
                  </w:tcBorders>
                  <w:shd w:val="clear" w:color="auto" w:fill="FFFFFF"/>
                  <w:noWrap w:val="0"/>
                  <w:vAlign w:val="center"/>
                </w:tcPr>
                <w:p w14:paraId="7908EB5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w:t>
                  </w:r>
                </w:p>
              </w:tc>
            </w:tr>
            <w:tr w14:paraId="73F92D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116175B5">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6</w:t>
                  </w:r>
                </w:p>
              </w:tc>
              <w:tc>
                <w:tcPr>
                  <w:tcW w:w="2204" w:type="dxa"/>
                  <w:gridSpan w:val="2"/>
                  <w:tcBorders>
                    <w:tl2br w:val="nil"/>
                    <w:tr2bl w:val="nil"/>
                  </w:tcBorders>
                  <w:shd w:val="clear" w:color="auto" w:fill="FFFFFF"/>
                  <w:noWrap w:val="0"/>
                  <w:vAlign w:val="center"/>
                </w:tcPr>
                <w:p w14:paraId="7CD87B3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氯化物（Cl</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1298" w:type="dxa"/>
                  <w:tcBorders>
                    <w:tl2br w:val="nil"/>
                    <w:tr2bl w:val="nil"/>
                  </w:tcBorders>
                  <w:shd w:val="clear" w:color="auto" w:fill="FFFFFF"/>
                  <w:noWrap w:val="0"/>
                  <w:vAlign w:val="center"/>
                </w:tcPr>
                <w:p w14:paraId="5AE4351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1EB685D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1.36</w:t>
                  </w:r>
                </w:p>
              </w:tc>
              <w:tc>
                <w:tcPr>
                  <w:tcW w:w="919" w:type="dxa"/>
                  <w:tcBorders>
                    <w:tl2br w:val="nil"/>
                    <w:tr2bl w:val="nil"/>
                  </w:tcBorders>
                  <w:shd w:val="clear" w:color="auto" w:fill="FFFFFF"/>
                  <w:noWrap w:val="0"/>
                  <w:vAlign w:val="center"/>
                </w:tcPr>
                <w:p w14:paraId="7BC4A02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2.752</w:t>
                  </w:r>
                </w:p>
              </w:tc>
              <w:tc>
                <w:tcPr>
                  <w:tcW w:w="1041" w:type="dxa"/>
                  <w:tcBorders>
                    <w:tl2br w:val="nil"/>
                    <w:tr2bl w:val="nil"/>
                  </w:tcBorders>
                  <w:shd w:val="clear" w:color="auto" w:fill="FFFFFF"/>
                  <w:noWrap w:val="0"/>
                  <w:vAlign w:val="center"/>
                </w:tcPr>
                <w:p w14:paraId="1FAAA393">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14.16</w:t>
                  </w:r>
                </w:p>
              </w:tc>
              <w:tc>
                <w:tcPr>
                  <w:tcW w:w="1041" w:type="dxa"/>
                  <w:tcBorders>
                    <w:right w:val="single" w:color="000000" w:sz="4" w:space="0"/>
                    <w:tl2br w:val="nil"/>
                    <w:tr2bl w:val="nil"/>
                  </w:tcBorders>
                  <w:shd w:val="clear" w:color="auto" w:fill="FFFFFF"/>
                  <w:noWrap w:val="0"/>
                  <w:vAlign w:val="center"/>
                </w:tcPr>
                <w:p w14:paraId="7040437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250</w:t>
                  </w:r>
                </w:p>
              </w:tc>
            </w:tr>
            <w:tr w14:paraId="3D021F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3656085F">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7</w:t>
                  </w:r>
                </w:p>
              </w:tc>
              <w:tc>
                <w:tcPr>
                  <w:tcW w:w="2204" w:type="dxa"/>
                  <w:gridSpan w:val="2"/>
                  <w:tcBorders>
                    <w:tl2br w:val="nil"/>
                    <w:tr2bl w:val="nil"/>
                  </w:tcBorders>
                  <w:shd w:val="clear" w:color="auto" w:fill="FFFFFF"/>
                  <w:noWrap w:val="0"/>
                  <w:vAlign w:val="center"/>
                </w:tcPr>
                <w:p w14:paraId="659A3B8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硫酸盐（SO</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4</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2-</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1298" w:type="dxa"/>
                  <w:tcBorders>
                    <w:tl2br w:val="nil"/>
                    <w:tr2bl w:val="nil"/>
                  </w:tcBorders>
                  <w:shd w:val="clear" w:color="auto" w:fill="FFFFFF"/>
                  <w:noWrap w:val="0"/>
                  <w:vAlign w:val="center"/>
                </w:tcPr>
                <w:p w14:paraId="08A5C32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2DC42BD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1.944</w:t>
                  </w:r>
                </w:p>
              </w:tc>
              <w:tc>
                <w:tcPr>
                  <w:tcW w:w="919" w:type="dxa"/>
                  <w:tcBorders>
                    <w:tl2br w:val="nil"/>
                    <w:tr2bl w:val="nil"/>
                  </w:tcBorders>
                  <w:shd w:val="clear" w:color="auto" w:fill="FFFFFF"/>
                  <w:noWrap w:val="0"/>
                  <w:vAlign w:val="center"/>
                </w:tcPr>
                <w:p w14:paraId="4F151F1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3.704</w:t>
                  </w:r>
                </w:p>
              </w:tc>
              <w:tc>
                <w:tcPr>
                  <w:tcW w:w="1041" w:type="dxa"/>
                  <w:tcBorders>
                    <w:tl2br w:val="nil"/>
                    <w:tr2bl w:val="nil"/>
                  </w:tcBorders>
                  <w:shd w:val="clear" w:color="auto" w:fill="FFFFFF"/>
                  <w:noWrap w:val="0"/>
                  <w:vAlign w:val="center"/>
                </w:tcPr>
                <w:p w14:paraId="0F0E17EF">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3.6</w:t>
                  </w:r>
                </w:p>
              </w:tc>
              <w:tc>
                <w:tcPr>
                  <w:tcW w:w="1041" w:type="dxa"/>
                  <w:tcBorders>
                    <w:right w:val="single" w:color="000000" w:sz="4" w:space="0"/>
                    <w:tl2br w:val="nil"/>
                    <w:tr2bl w:val="nil"/>
                  </w:tcBorders>
                  <w:shd w:val="clear" w:color="auto" w:fill="FFFFFF"/>
                  <w:noWrap w:val="0"/>
                  <w:vAlign w:val="center"/>
                </w:tcPr>
                <w:p w14:paraId="3011FC1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250</w:t>
                  </w:r>
                </w:p>
              </w:tc>
            </w:tr>
            <w:tr w14:paraId="5F25F2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16E827FA">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8</w:t>
                  </w:r>
                </w:p>
              </w:tc>
              <w:tc>
                <w:tcPr>
                  <w:tcW w:w="2204" w:type="dxa"/>
                  <w:gridSpan w:val="2"/>
                  <w:tcBorders>
                    <w:tl2br w:val="nil"/>
                    <w:tr2bl w:val="nil"/>
                  </w:tcBorders>
                  <w:shd w:val="clear" w:color="auto" w:fill="FFFFFF"/>
                  <w:noWrap w:val="0"/>
                  <w:vAlign w:val="center"/>
                </w:tcPr>
                <w:p w14:paraId="728F500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硝酸盐氮</w:t>
                  </w:r>
                </w:p>
              </w:tc>
              <w:tc>
                <w:tcPr>
                  <w:tcW w:w="1298" w:type="dxa"/>
                  <w:tcBorders>
                    <w:tl2br w:val="nil"/>
                    <w:tr2bl w:val="nil"/>
                  </w:tcBorders>
                  <w:shd w:val="clear" w:color="auto" w:fill="FFFFFF"/>
                  <w:noWrap w:val="0"/>
                  <w:vAlign w:val="center"/>
                </w:tcPr>
                <w:p w14:paraId="630CC87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0B91E2D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0.122</w:t>
                  </w:r>
                </w:p>
              </w:tc>
              <w:tc>
                <w:tcPr>
                  <w:tcW w:w="919" w:type="dxa"/>
                  <w:tcBorders>
                    <w:tl2br w:val="nil"/>
                    <w:tr2bl w:val="nil"/>
                  </w:tcBorders>
                  <w:shd w:val="clear" w:color="auto" w:fill="FFFFFF"/>
                  <w:noWrap w:val="0"/>
                  <w:vAlign w:val="center"/>
                </w:tcPr>
                <w:p w14:paraId="6CCA1B4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0.3885</w:t>
                  </w:r>
                </w:p>
              </w:tc>
              <w:tc>
                <w:tcPr>
                  <w:tcW w:w="1041" w:type="dxa"/>
                  <w:tcBorders>
                    <w:tl2br w:val="nil"/>
                    <w:tr2bl w:val="nil"/>
                  </w:tcBorders>
                  <w:shd w:val="clear" w:color="auto" w:fill="FFFFFF"/>
                  <w:noWrap w:val="0"/>
                  <w:vAlign w:val="center"/>
                </w:tcPr>
                <w:p w14:paraId="4E1E396B">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0.396</w:t>
                  </w:r>
                </w:p>
              </w:tc>
              <w:tc>
                <w:tcPr>
                  <w:tcW w:w="1041" w:type="dxa"/>
                  <w:tcBorders>
                    <w:right w:val="single" w:color="000000" w:sz="4" w:space="0"/>
                    <w:tl2br w:val="nil"/>
                    <w:tr2bl w:val="nil"/>
                  </w:tcBorders>
                  <w:shd w:val="clear" w:color="auto" w:fill="FFFFFF"/>
                  <w:noWrap w:val="0"/>
                  <w:vAlign w:val="center"/>
                </w:tcPr>
                <w:p w14:paraId="04BDD3B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20</w:t>
                  </w:r>
                </w:p>
              </w:tc>
            </w:tr>
            <w:tr w14:paraId="252120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1440382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9</w:t>
                  </w:r>
                </w:p>
              </w:tc>
              <w:tc>
                <w:tcPr>
                  <w:tcW w:w="2204" w:type="dxa"/>
                  <w:gridSpan w:val="2"/>
                  <w:tcBorders>
                    <w:tl2br w:val="nil"/>
                    <w:tr2bl w:val="nil"/>
                  </w:tcBorders>
                  <w:shd w:val="clear" w:color="auto" w:fill="FFFFFF"/>
                  <w:noWrap w:val="0"/>
                  <w:vAlign w:val="center"/>
                </w:tcPr>
                <w:p w14:paraId="5D09DF7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亚硝酸盐氮</w:t>
                  </w:r>
                </w:p>
              </w:tc>
              <w:tc>
                <w:tcPr>
                  <w:tcW w:w="1298" w:type="dxa"/>
                  <w:tcBorders>
                    <w:tl2br w:val="nil"/>
                    <w:tr2bl w:val="nil"/>
                  </w:tcBorders>
                  <w:shd w:val="clear" w:color="auto" w:fill="FFFFFF"/>
                  <w:noWrap w:val="0"/>
                  <w:vAlign w:val="center"/>
                </w:tcPr>
                <w:p w14:paraId="303660E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654C905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0.005</w:t>
                  </w:r>
                </w:p>
              </w:tc>
              <w:tc>
                <w:tcPr>
                  <w:tcW w:w="919" w:type="dxa"/>
                  <w:tcBorders>
                    <w:tl2br w:val="nil"/>
                    <w:tr2bl w:val="nil"/>
                  </w:tcBorders>
                  <w:shd w:val="clear" w:color="auto" w:fill="FFFFFF"/>
                  <w:noWrap w:val="0"/>
                  <w:vAlign w:val="center"/>
                </w:tcPr>
                <w:p w14:paraId="3373DEA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36E5EE09">
                  <w:pPr>
                    <w:keepNext w:val="0"/>
                    <w:keepLines w:val="0"/>
                    <w:widowControl/>
                    <w:suppressLineNumbers w:val="0"/>
                    <w:jc w:val="center"/>
                    <w:textAlignment w:val="top"/>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0.343</w:t>
                  </w:r>
                </w:p>
              </w:tc>
              <w:tc>
                <w:tcPr>
                  <w:tcW w:w="1041" w:type="dxa"/>
                  <w:tcBorders>
                    <w:right w:val="single" w:color="000000" w:sz="4" w:space="0"/>
                    <w:tl2br w:val="nil"/>
                    <w:tr2bl w:val="nil"/>
                  </w:tcBorders>
                  <w:shd w:val="clear" w:color="auto" w:fill="FFFFFF"/>
                  <w:noWrap w:val="0"/>
                  <w:vAlign w:val="center"/>
                </w:tcPr>
                <w:p w14:paraId="42A8B7D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3522F9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4E585EA7">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c>
                <w:tcPr>
                  <w:tcW w:w="2204" w:type="dxa"/>
                  <w:gridSpan w:val="2"/>
                  <w:tcBorders>
                    <w:tl2br w:val="nil"/>
                    <w:tr2bl w:val="nil"/>
                  </w:tcBorders>
                  <w:shd w:val="clear" w:color="auto" w:fill="FFFFFF"/>
                  <w:noWrap w:val="0"/>
                  <w:vAlign w:val="center"/>
                </w:tcPr>
                <w:p w14:paraId="67EF017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氟化物</w:t>
                  </w:r>
                </w:p>
              </w:tc>
              <w:tc>
                <w:tcPr>
                  <w:tcW w:w="1298" w:type="dxa"/>
                  <w:tcBorders>
                    <w:tl2br w:val="nil"/>
                    <w:tr2bl w:val="nil"/>
                  </w:tcBorders>
                  <w:shd w:val="clear" w:color="auto" w:fill="FFFFFF"/>
                  <w:noWrap w:val="0"/>
                  <w:vAlign w:val="center"/>
                </w:tcPr>
                <w:p w14:paraId="5E7B21E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77F5655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0.45</w:t>
                  </w:r>
                </w:p>
              </w:tc>
              <w:tc>
                <w:tcPr>
                  <w:tcW w:w="919" w:type="dxa"/>
                  <w:tcBorders>
                    <w:tl2br w:val="nil"/>
                    <w:tr2bl w:val="nil"/>
                  </w:tcBorders>
                  <w:shd w:val="clear" w:color="auto" w:fill="FFFFFF"/>
                  <w:noWrap w:val="0"/>
                  <w:vAlign w:val="center"/>
                </w:tcPr>
                <w:p w14:paraId="72B6AA8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0.28</w:t>
                  </w:r>
                </w:p>
              </w:tc>
              <w:tc>
                <w:tcPr>
                  <w:tcW w:w="1041" w:type="dxa"/>
                  <w:tcBorders>
                    <w:tl2br w:val="nil"/>
                    <w:tr2bl w:val="nil"/>
                  </w:tcBorders>
                  <w:shd w:val="clear" w:color="auto" w:fill="FFFFFF"/>
                  <w:noWrap w:val="0"/>
                  <w:vAlign w:val="center"/>
                </w:tcPr>
                <w:p w14:paraId="286DD019">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1.48</w:t>
                  </w:r>
                </w:p>
              </w:tc>
              <w:tc>
                <w:tcPr>
                  <w:tcW w:w="1041" w:type="dxa"/>
                  <w:tcBorders>
                    <w:right w:val="single" w:color="000000" w:sz="4" w:space="0"/>
                    <w:tl2br w:val="nil"/>
                    <w:tr2bl w:val="nil"/>
                  </w:tcBorders>
                  <w:shd w:val="clear" w:color="auto" w:fill="FFFFFF"/>
                  <w:noWrap w:val="0"/>
                  <w:vAlign w:val="center"/>
                </w:tcPr>
                <w:p w14:paraId="00BB62E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46BDC4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2B97A022">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11</w:t>
                  </w:r>
                </w:p>
              </w:tc>
              <w:tc>
                <w:tcPr>
                  <w:tcW w:w="2204" w:type="dxa"/>
                  <w:gridSpan w:val="2"/>
                  <w:tcBorders>
                    <w:tl2br w:val="nil"/>
                    <w:tr2bl w:val="nil"/>
                  </w:tcBorders>
                  <w:shd w:val="clear" w:color="auto" w:fill="FFFFFF"/>
                  <w:noWrap w:val="0"/>
                  <w:vAlign w:val="center"/>
                </w:tcPr>
                <w:p w14:paraId="2F94BCF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氨氮</w:t>
                  </w:r>
                </w:p>
              </w:tc>
              <w:tc>
                <w:tcPr>
                  <w:tcW w:w="1298" w:type="dxa"/>
                  <w:tcBorders>
                    <w:tl2br w:val="nil"/>
                    <w:tr2bl w:val="nil"/>
                  </w:tcBorders>
                  <w:shd w:val="clear" w:color="auto" w:fill="FFFFFF"/>
                  <w:noWrap w:val="0"/>
                  <w:vAlign w:val="center"/>
                </w:tcPr>
                <w:p w14:paraId="7422673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2C33DC5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w:t>
                  </w:r>
                  <w:r>
                    <w:rPr>
                      <w:rFonts w:hint="eastAsia" w:ascii="Times New Roman" w:hAnsi="Times New Roman" w:eastAsia="宋体" w:cs="Times New Roman"/>
                      <w:b w:val="0"/>
                      <w:i w:val="0"/>
                      <w:iCs w:val="0"/>
                      <w:color w:val="000000"/>
                      <w:kern w:val="0"/>
                      <w:sz w:val="21"/>
                      <w:szCs w:val="21"/>
                      <w:highlight w:val="none"/>
                      <w:u w:val="none"/>
                      <w:lang w:val="en-US" w:eastAsia="zh-CN" w:bidi="ar"/>
                    </w:rPr>
                    <w:t>64</w:t>
                  </w:r>
                </w:p>
              </w:tc>
              <w:tc>
                <w:tcPr>
                  <w:tcW w:w="919" w:type="dxa"/>
                  <w:tcBorders>
                    <w:tl2br w:val="nil"/>
                    <w:tr2bl w:val="nil"/>
                  </w:tcBorders>
                  <w:shd w:val="clear" w:color="auto" w:fill="FFFFFF"/>
                  <w:noWrap w:val="0"/>
                  <w:vAlign w:val="center"/>
                </w:tcPr>
                <w:p w14:paraId="5186823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w:t>
                  </w:r>
                  <w:r>
                    <w:rPr>
                      <w:rFonts w:hint="eastAsia" w:ascii="Times New Roman" w:hAnsi="Times New Roman" w:eastAsia="宋体" w:cs="Times New Roman"/>
                      <w:b w:val="0"/>
                      <w:i w:val="0"/>
                      <w:iCs w:val="0"/>
                      <w:color w:val="000000"/>
                      <w:kern w:val="0"/>
                      <w:sz w:val="21"/>
                      <w:szCs w:val="21"/>
                      <w:highlight w:val="none"/>
                      <w:u w:val="none"/>
                      <w:lang w:val="en-US" w:eastAsia="zh-CN" w:bidi="ar"/>
                    </w:rPr>
                    <w:t>0.28</w:t>
                  </w:r>
                </w:p>
              </w:tc>
              <w:tc>
                <w:tcPr>
                  <w:tcW w:w="1041" w:type="dxa"/>
                  <w:tcBorders>
                    <w:tl2br w:val="nil"/>
                    <w:tr2bl w:val="nil"/>
                  </w:tcBorders>
                  <w:shd w:val="clear" w:color="auto" w:fill="FFFFFF"/>
                  <w:noWrap w:val="0"/>
                  <w:vAlign w:val="center"/>
                </w:tcPr>
                <w:p w14:paraId="6E53714F">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right w:val="single" w:color="000000" w:sz="4" w:space="0"/>
                    <w:tl2br w:val="nil"/>
                    <w:tr2bl w:val="nil"/>
                  </w:tcBorders>
                  <w:shd w:val="clear" w:color="auto" w:fill="FFFFFF"/>
                  <w:noWrap w:val="0"/>
                  <w:vAlign w:val="center"/>
                </w:tcPr>
                <w:p w14:paraId="433FE91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0.5</w:t>
                  </w:r>
                </w:p>
              </w:tc>
            </w:tr>
            <w:tr w14:paraId="209F61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24AB1C15">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12</w:t>
                  </w:r>
                </w:p>
              </w:tc>
              <w:tc>
                <w:tcPr>
                  <w:tcW w:w="2204" w:type="dxa"/>
                  <w:gridSpan w:val="2"/>
                  <w:tcBorders>
                    <w:tl2br w:val="nil"/>
                    <w:tr2bl w:val="nil"/>
                  </w:tcBorders>
                  <w:shd w:val="clear" w:color="auto" w:fill="FFFFFF"/>
                  <w:noWrap w:val="0"/>
                  <w:vAlign w:val="center"/>
                </w:tcPr>
                <w:p w14:paraId="56A0B0E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硫化物</w:t>
                  </w:r>
                </w:p>
              </w:tc>
              <w:tc>
                <w:tcPr>
                  <w:tcW w:w="1298" w:type="dxa"/>
                  <w:tcBorders>
                    <w:tl2br w:val="nil"/>
                    <w:tr2bl w:val="nil"/>
                  </w:tcBorders>
                  <w:shd w:val="clear" w:color="auto" w:fill="FFFFFF"/>
                  <w:noWrap w:val="0"/>
                  <w:vAlign w:val="center"/>
                </w:tcPr>
                <w:p w14:paraId="0F3BA8F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2256D86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7F38CA3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2732C574">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right w:val="single" w:color="000000" w:sz="4" w:space="0"/>
                    <w:tl2br w:val="nil"/>
                    <w:tr2bl w:val="nil"/>
                  </w:tcBorders>
                  <w:shd w:val="clear" w:color="auto" w:fill="FFFFFF"/>
                  <w:noWrap w:val="0"/>
                  <w:vAlign w:val="center"/>
                </w:tcPr>
                <w:p w14:paraId="7B96E9A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0.02</w:t>
                  </w:r>
                </w:p>
              </w:tc>
            </w:tr>
            <w:tr w14:paraId="1C1EC2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1CEE9C9D">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13</w:t>
                  </w:r>
                </w:p>
              </w:tc>
              <w:tc>
                <w:tcPr>
                  <w:tcW w:w="2204" w:type="dxa"/>
                  <w:gridSpan w:val="2"/>
                  <w:tcBorders>
                    <w:tl2br w:val="nil"/>
                    <w:tr2bl w:val="nil"/>
                  </w:tcBorders>
                  <w:shd w:val="clear" w:color="auto" w:fill="FFFFFF"/>
                  <w:noWrap w:val="0"/>
                  <w:vAlign w:val="center"/>
                </w:tcPr>
                <w:p w14:paraId="05B9BBD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阴离子表面活性剂</w:t>
                  </w:r>
                </w:p>
              </w:tc>
              <w:tc>
                <w:tcPr>
                  <w:tcW w:w="1298" w:type="dxa"/>
                  <w:tcBorders>
                    <w:tl2br w:val="nil"/>
                    <w:tr2bl w:val="nil"/>
                  </w:tcBorders>
                  <w:shd w:val="clear" w:color="auto" w:fill="FFFFFF"/>
                  <w:noWrap w:val="0"/>
                  <w:vAlign w:val="center"/>
                </w:tcPr>
                <w:p w14:paraId="50B8CE4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2CDB5D6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1B7BB2F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62FDC622">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0.396</w:t>
                  </w:r>
                </w:p>
              </w:tc>
              <w:tc>
                <w:tcPr>
                  <w:tcW w:w="1041" w:type="dxa"/>
                  <w:tcBorders>
                    <w:right w:val="single" w:color="000000" w:sz="4" w:space="0"/>
                    <w:tl2br w:val="nil"/>
                    <w:tr2bl w:val="nil"/>
                  </w:tcBorders>
                  <w:shd w:val="clear" w:color="auto" w:fill="FFFFFF"/>
                  <w:noWrap w:val="0"/>
                  <w:vAlign w:val="center"/>
                </w:tcPr>
                <w:p w14:paraId="21A2389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0.3</w:t>
                  </w:r>
                </w:p>
              </w:tc>
            </w:tr>
            <w:tr w14:paraId="2D401D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36B99C91">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14</w:t>
                  </w:r>
                </w:p>
              </w:tc>
              <w:tc>
                <w:tcPr>
                  <w:tcW w:w="2204" w:type="dxa"/>
                  <w:gridSpan w:val="2"/>
                  <w:tcBorders>
                    <w:tl2br w:val="nil"/>
                    <w:tr2bl w:val="nil"/>
                  </w:tcBorders>
                  <w:shd w:val="clear" w:color="auto" w:fill="FFFFFF"/>
                  <w:noWrap w:val="0"/>
                  <w:vAlign w:val="center"/>
                </w:tcPr>
                <w:p w14:paraId="0907F84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六价铬</w:t>
                  </w:r>
                </w:p>
              </w:tc>
              <w:tc>
                <w:tcPr>
                  <w:tcW w:w="1298" w:type="dxa"/>
                  <w:tcBorders>
                    <w:tl2br w:val="nil"/>
                    <w:tr2bl w:val="nil"/>
                  </w:tcBorders>
                  <w:shd w:val="clear" w:color="auto" w:fill="FFFFFF"/>
                  <w:noWrap w:val="0"/>
                  <w:vAlign w:val="center"/>
                </w:tcPr>
                <w:p w14:paraId="6BC3A1F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17CE091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67B1FF8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0.44</w:t>
                  </w:r>
                </w:p>
              </w:tc>
              <w:tc>
                <w:tcPr>
                  <w:tcW w:w="1041" w:type="dxa"/>
                  <w:tcBorders>
                    <w:tl2br w:val="nil"/>
                    <w:tr2bl w:val="nil"/>
                  </w:tcBorders>
                  <w:shd w:val="clear" w:color="auto" w:fill="FFFFFF"/>
                  <w:noWrap w:val="0"/>
                  <w:vAlign w:val="center"/>
                </w:tcPr>
                <w:p w14:paraId="665A1CAF">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right w:val="single" w:color="000000" w:sz="4" w:space="0"/>
                    <w:tl2br w:val="nil"/>
                    <w:tr2bl w:val="nil"/>
                  </w:tcBorders>
                  <w:shd w:val="clear" w:color="auto" w:fill="FFFFFF"/>
                  <w:noWrap w:val="0"/>
                  <w:vAlign w:val="center"/>
                </w:tcPr>
                <w:p w14:paraId="4E3AB9B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0.05</w:t>
                  </w:r>
                </w:p>
              </w:tc>
            </w:tr>
            <w:tr w14:paraId="0855EE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573575BA">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15</w:t>
                  </w:r>
                </w:p>
              </w:tc>
              <w:tc>
                <w:tcPr>
                  <w:tcW w:w="2204" w:type="dxa"/>
                  <w:gridSpan w:val="2"/>
                  <w:tcBorders>
                    <w:tl2br w:val="nil"/>
                    <w:tr2bl w:val="nil"/>
                  </w:tcBorders>
                  <w:shd w:val="clear" w:color="auto" w:fill="FFFFFF"/>
                  <w:noWrap w:val="0"/>
                  <w:vAlign w:val="center"/>
                </w:tcPr>
                <w:p w14:paraId="116B192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氰化物</w:t>
                  </w:r>
                </w:p>
              </w:tc>
              <w:tc>
                <w:tcPr>
                  <w:tcW w:w="1298" w:type="dxa"/>
                  <w:tcBorders>
                    <w:tl2br w:val="nil"/>
                    <w:tr2bl w:val="nil"/>
                  </w:tcBorders>
                  <w:shd w:val="clear" w:color="auto" w:fill="FFFFFF"/>
                  <w:noWrap w:val="0"/>
                  <w:vAlign w:val="center"/>
                </w:tcPr>
                <w:p w14:paraId="1584206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750F5A3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4580F86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5B326853">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right w:val="single" w:color="000000" w:sz="4" w:space="0"/>
                    <w:tl2br w:val="nil"/>
                    <w:tr2bl w:val="nil"/>
                  </w:tcBorders>
                  <w:shd w:val="clear" w:color="auto" w:fill="FFFFFF"/>
                  <w:noWrap w:val="0"/>
                  <w:vAlign w:val="center"/>
                </w:tcPr>
                <w:p w14:paraId="779EC8F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0.05</w:t>
                  </w:r>
                </w:p>
              </w:tc>
            </w:tr>
            <w:tr w14:paraId="7E28BC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0500785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16</w:t>
                  </w:r>
                </w:p>
              </w:tc>
              <w:tc>
                <w:tcPr>
                  <w:tcW w:w="2204" w:type="dxa"/>
                  <w:gridSpan w:val="2"/>
                  <w:tcBorders>
                    <w:tl2br w:val="nil"/>
                    <w:tr2bl w:val="nil"/>
                  </w:tcBorders>
                  <w:shd w:val="clear" w:color="auto" w:fill="FFFFFF"/>
                  <w:noWrap w:val="0"/>
                  <w:vAlign w:val="center"/>
                </w:tcPr>
                <w:p w14:paraId="5FBBE2F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挥发酚</w:t>
                  </w:r>
                </w:p>
              </w:tc>
              <w:tc>
                <w:tcPr>
                  <w:tcW w:w="1298" w:type="dxa"/>
                  <w:tcBorders>
                    <w:tl2br w:val="nil"/>
                    <w:tr2bl w:val="nil"/>
                  </w:tcBorders>
                  <w:shd w:val="clear" w:color="auto" w:fill="FFFFFF"/>
                  <w:noWrap w:val="0"/>
                  <w:vAlign w:val="center"/>
                </w:tcPr>
                <w:p w14:paraId="7C5DF72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189F981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63D1177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4883B26C">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right w:val="single" w:color="000000" w:sz="4" w:space="0"/>
                    <w:tl2br w:val="nil"/>
                    <w:tr2bl w:val="nil"/>
                  </w:tcBorders>
                  <w:shd w:val="clear" w:color="auto" w:fill="FFFFFF"/>
                  <w:noWrap w:val="0"/>
                  <w:vAlign w:val="center"/>
                </w:tcPr>
                <w:p w14:paraId="5DC0C38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0.002</w:t>
                  </w:r>
                </w:p>
              </w:tc>
            </w:tr>
            <w:tr w14:paraId="09CA6E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67D3690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17</w:t>
                  </w:r>
                </w:p>
              </w:tc>
              <w:tc>
                <w:tcPr>
                  <w:tcW w:w="2204" w:type="dxa"/>
                  <w:gridSpan w:val="2"/>
                  <w:tcBorders>
                    <w:tl2br w:val="nil"/>
                    <w:tr2bl w:val="nil"/>
                  </w:tcBorders>
                  <w:shd w:val="clear" w:color="auto" w:fill="FFFFFF"/>
                  <w:noWrap w:val="0"/>
                  <w:vAlign w:val="center"/>
                </w:tcPr>
                <w:p w14:paraId="00C5E27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汞</w:t>
                  </w:r>
                </w:p>
              </w:tc>
              <w:tc>
                <w:tcPr>
                  <w:tcW w:w="1298" w:type="dxa"/>
                  <w:tcBorders>
                    <w:tl2br w:val="nil"/>
                    <w:tr2bl w:val="nil"/>
                  </w:tcBorders>
                  <w:shd w:val="clear" w:color="auto" w:fill="FFFFFF"/>
                  <w:noWrap w:val="0"/>
                  <w:vAlign w:val="center"/>
                </w:tcPr>
                <w:p w14:paraId="397D90E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49BA291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0.004</w:t>
                  </w:r>
                </w:p>
              </w:tc>
              <w:tc>
                <w:tcPr>
                  <w:tcW w:w="919" w:type="dxa"/>
                  <w:tcBorders>
                    <w:tl2br w:val="nil"/>
                    <w:tr2bl w:val="nil"/>
                  </w:tcBorders>
                  <w:shd w:val="clear" w:color="auto" w:fill="FFFFFF"/>
                  <w:noWrap w:val="0"/>
                  <w:vAlign w:val="center"/>
                </w:tcPr>
                <w:p w14:paraId="3053769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0.0004</w:t>
                  </w:r>
                </w:p>
              </w:tc>
              <w:tc>
                <w:tcPr>
                  <w:tcW w:w="1041" w:type="dxa"/>
                  <w:tcBorders>
                    <w:tl2br w:val="nil"/>
                    <w:tr2bl w:val="nil"/>
                  </w:tcBorders>
                  <w:shd w:val="clear" w:color="auto" w:fill="FFFFFF"/>
                  <w:noWrap w:val="0"/>
                  <w:vAlign w:val="center"/>
                </w:tcPr>
                <w:p w14:paraId="4E10E085">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0.00456</w:t>
                  </w:r>
                </w:p>
              </w:tc>
              <w:tc>
                <w:tcPr>
                  <w:tcW w:w="1041" w:type="dxa"/>
                  <w:tcBorders>
                    <w:right w:val="single" w:color="000000" w:sz="4" w:space="0"/>
                    <w:tl2br w:val="nil"/>
                    <w:tr2bl w:val="nil"/>
                  </w:tcBorders>
                  <w:shd w:val="clear" w:color="auto" w:fill="FFFFFF"/>
                  <w:noWrap w:val="0"/>
                  <w:vAlign w:val="center"/>
                </w:tcPr>
                <w:p w14:paraId="33F7557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0.001</w:t>
                  </w:r>
                </w:p>
              </w:tc>
            </w:tr>
            <w:tr w14:paraId="7F6849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113C831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18</w:t>
                  </w:r>
                </w:p>
              </w:tc>
              <w:tc>
                <w:tcPr>
                  <w:tcW w:w="2204" w:type="dxa"/>
                  <w:gridSpan w:val="2"/>
                  <w:tcBorders>
                    <w:tl2br w:val="nil"/>
                    <w:tr2bl w:val="nil"/>
                  </w:tcBorders>
                  <w:shd w:val="clear" w:color="auto" w:fill="FFFFFF"/>
                  <w:noWrap w:val="0"/>
                  <w:vAlign w:val="center"/>
                </w:tcPr>
                <w:p w14:paraId="361DC75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砷</w:t>
                  </w:r>
                </w:p>
              </w:tc>
              <w:tc>
                <w:tcPr>
                  <w:tcW w:w="1298" w:type="dxa"/>
                  <w:tcBorders>
                    <w:tl2br w:val="nil"/>
                    <w:tr2bl w:val="nil"/>
                  </w:tcBorders>
                  <w:shd w:val="clear" w:color="auto" w:fill="FFFFFF"/>
                  <w:noWrap w:val="0"/>
                  <w:vAlign w:val="center"/>
                </w:tcPr>
                <w:p w14:paraId="054F45B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1470173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0.03</w:t>
                  </w:r>
                </w:p>
              </w:tc>
              <w:tc>
                <w:tcPr>
                  <w:tcW w:w="919" w:type="dxa"/>
                  <w:tcBorders>
                    <w:tl2br w:val="nil"/>
                    <w:tr2bl w:val="nil"/>
                  </w:tcBorders>
                  <w:shd w:val="clear" w:color="auto" w:fill="FFFFFF"/>
                  <w:noWrap w:val="0"/>
                  <w:vAlign w:val="center"/>
                </w:tcPr>
                <w:p w14:paraId="1EB31C4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0.03</w:t>
                  </w:r>
                </w:p>
              </w:tc>
              <w:tc>
                <w:tcPr>
                  <w:tcW w:w="1041" w:type="dxa"/>
                  <w:tcBorders>
                    <w:tl2br w:val="nil"/>
                    <w:tr2bl w:val="nil"/>
                  </w:tcBorders>
                  <w:shd w:val="clear" w:color="auto" w:fill="FFFFFF"/>
                  <w:noWrap w:val="0"/>
                  <w:vAlign w:val="center"/>
                </w:tcPr>
                <w:p w14:paraId="23254536">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0.0014</w:t>
                  </w:r>
                </w:p>
              </w:tc>
              <w:tc>
                <w:tcPr>
                  <w:tcW w:w="1041" w:type="dxa"/>
                  <w:tcBorders>
                    <w:right w:val="single" w:color="000000" w:sz="4" w:space="0"/>
                    <w:tl2br w:val="nil"/>
                    <w:tr2bl w:val="nil"/>
                  </w:tcBorders>
                  <w:shd w:val="clear" w:color="auto" w:fill="FFFFFF"/>
                  <w:noWrap w:val="0"/>
                  <w:vAlign w:val="center"/>
                </w:tcPr>
                <w:p w14:paraId="37B8BCA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0.01</w:t>
                  </w:r>
                </w:p>
              </w:tc>
            </w:tr>
            <w:tr w14:paraId="70B745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32E7595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19</w:t>
                  </w:r>
                </w:p>
              </w:tc>
              <w:tc>
                <w:tcPr>
                  <w:tcW w:w="2204" w:type="dxa"/>
                  <w:gridSpan w:val="2"/>
                  <w:tcBorders>
                    <w:tl2br w:val="nil"/>
                    <w:tr2bl w:val="nil"/>
                  </w:tcBorders>
                  <w:shd w:val="clear" w:color="auto" w:fill="FFFFFF"/>
                  <w:noWrap w:val="0"/>
                  <w:vAlign w:val="center"/>
                </w:tcPr>
                <w:p w14:paraId="7DE27B8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default" w:ascii="Times New Roman" w:hAnsi="Times New Roman" w:eastAsia="宋体" w:cs="Times New Roman"/>
                      <w:b w:val="0"/>
                      <w:i w:val="0"/>
                      <w:iCs w:val="0"/>
                      <w:color w:val="000000"/>
                      <w:sz w:val="21"/>
                      <w:szCs w:val="21"/>
                      <w:highlight w:val="none"/>
                      <w:u w:val="none"/>
                      <w:lang w:val="en-US" w:eastAsia="zh-CN"/>
                    </w:rPr>
                    <w:t>硒</w:t>
                  </w:r>
                </w:p>
              </w:tc>
              <w:tc>
                <w:tcPr>
                  <w:tcW w:w="1298" w:type="dxa"/>
                  <w:tcBorders>
                    <w:tl2br w:val="nil"/>
                    <w:tr2bl w:val="nil"/>
                  </w:tcBorders>
                  <w:shd w:val="clear" w:color="auto" w:fill="FFFFFF"/>
                  <w:noWrap w:val="0"/>
                  <w:vAlign w:val="center"/>
                </w:tcPr>
                <w:p w14:paraId="386DD98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1E82FE2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0.04</w:t>
                  </w:r>
                </w:p>
              </w:tc>
              <w:tc>
                <w:tcPr>
                  <w:tcW w:w="919" w:type="dxa"/>
                  <w:tcBorders>
                    <w:tl2br w:val="nil"/>
                    <w:tr2bl w:val="nil"/>
                  </w:tcBorders>
                  <w:shd w:val="clear" w:color="auto" w:fill="FFFFFF"/>
                  <w:noWrap w:val="0"/>
                  <w:vAlign w:val="center"/>
                </w:tcPr>
                <w:p w14:paraId="7557090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0.04</w:t>
                  </w:r>
                </w:p>
              </w:tc>
              <w:tc>
                <w:tcPr>
                  <w:tcW w:w="1041" w:type="dxa"/>
                  <w:tcBorders>
                    <w:tl2br w:val="nil"/>
                    <w:tr2bl w:val="nil"/>
                  </w:tcBorders>
                  <w:shd w:val="clear" w:color="auto" w:fill="FFFFFF"/>
                  <w:noWrap w:val="0"/>
                  <w:vAlign w:val="center"/>
                </w:tcPr>
                <w:p w14:paraId="3AA4B6D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0.04</w:t>
                  </w:r>
                </w:p>
              </w:tc>
              <w:tc>
                <w:tcPr>
                  <w:tcW w:w="1041" w:type="dxa"/>
                  <w:tcBorders>
                    <w:right w:val="single" w:color="000000" w:sz="4" w:space="0"/>
                    <w:tl2br w:val="nil"/>
                    <w:tr2bl w:val="nil"/>
                  </w:tcBorders>
                  <w:shd w:val="clear" w:color="auto" w:fill="FFFFFF"/>
                  <w:noWrap w:val="0"/>
                  <w:vAlign w:val="center"/>
                </w:tcPr>
                <w:p w14:paraId="6E60272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ascii="Times New Roman" w:hAnsi="Times New Roman" w:eastAsia="宋体" w:cs="Times New Roman"/>
                      <w:b w:val="0"/>
                      <w:i w:val="0"/>
                      <w:iCs w:val="0"/>
                      <w:color w:val="000000"/>
                      <w:sz w:val="21"/>
                      <w:szCs w:val="21"/>
                      <w:highlight w:val="none"/>
                      <w:u w:val="none"/>
                      <w:lang w:val="en-US" w:eastAsia="zh-CN"/>
                    </w:rPr>
                    <w:t>0.01</w:t>
                  </w:r>
                </w:p>
              </w:tc>
            </w:tr>
            <w:tr w14:paraId="648E10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35D0BF0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20</w:t>
                  </w:r>
                </w:p>
              </w:tc>
              <w:tc>
                <w:tcPr>
                  <w:tcW w:w="2204" w:type="dxa"/>
                  <w:gridSpan w:val="2"/>
                  <w:tcBorders>
                    <w:tl2br w:val="nil"/>
                    <w:tr2bl w:val="nil"/>
                  </w:tcBorders>
                  <w:shd w:val="clear" w:color="auto" w:fill="FFFFFF"/>
                  <w:noWrap w:val="0"/>
                  <w:vAlign w:val="center"/>
                </w:tcPr>
                <w:p w14:paraId="3064EDE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铁</w:t>
                  </w:r>
                </w:p>
              </w:tc>
              <w:tc>
                <w:tcPr>
                  <w:tcW w:w="1298" w:type="dxa"/>
                  <w:tcBorders>
                    <w:tl2br w:val="nil"/>
                    <w:tr2bl w:val="nil"/>
                  </w:tcBorders>
                  <w:shd w:val="clear" w:color="auto" w:fill="FFFFFF"/>
                  <w:noWrap w:val="0"/>
                  <w:vAlign w:val="center"/>
                </w:tcPr>
                <w:p w14:paraId="62143A9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0266F13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01A1D2E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029747C4">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right w:val="single" w:color="000000" w:sz="4" w:space="0"/>
                    <w:tl2br w:val="nil"/>
                    <w:tr2bl w:val="nil"/>
                  </w:tcBorders>
                  <w:shd w:val="clear" w:color="auto" w:fill="FFFFFF"/>
                  <w:noWrap w:val="0"/>
                  <w:vAlign w:val="center"/>
                </w:tcPr>
                <w:p w14:paraId="175BA3F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0.3</w:t>
                  </w:r>
                </w:p>
              </w:tc>
            </w:tr>
            <w:tr w14:paraId="5D730C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55CACF9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21</w:t>
                  </w:r>
                </w:p>
              </w:tc>
              <w:tc>
                <w:tcPr>
                  <w:tcW w:w="2204" w:type="dxa"/>
                  <w:gridSpan w:val="2"/>
                  <w:tcBorders>
                    <w:tl2br w:val="nil"/>
                    <w:tr2bl w:val="nil"/>
                  </w:tcBorders>
                  <w:shd w:val="clear" w:color="auto" w:fill="FFFFFF"/>
                  <w:noWrap w:val="0"/>
                  <w:vAlign w:val="center"/>
                </w:tcPr>
                <w:p w14:paraId="7F1F726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锰</w:t>
                  </w:r>
                </w:p>
              </w:tc>
              <w:tc>
                <w:tcPr>
                  <w:tcW w:w="1298" w:type="dxa"/>
                  <w:tcBorders>
                    <w:tl2br w:val="nil"/>
                    <w:tr2bl w:val="nil"/>
                  </w:tcBorders>
                  <w:shd w:val="clear" w:color="auto" w:fill="FFFFFF"/>
                  <w:noWrap w:val="0"/>
                  <w:vAlign w:val="center"/>
                </w:tcPr>
                <w:p w14:paraId="2DEA0FA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7E8ECF3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0.7</w:t>
                  </w:r>
                </w:p>
              </w:tc>
              <w:tc>
                <w:tcPr>
                  <w:tcW w:w="919" w:type="dxa"/>
                  <w:tcBorders>
                    <w:tl2br w:val="nil"/>
                    <w:tr2bl w:val="nil"/>
                  </w:tcBorders>
                  <w:shd w:val="clear" w:color="auto" w:fill="FFFFFF"/>
                  <w:noWrap w:val="0"/>
                  <w:vAlign w:val="center"/>
                </w:tcPr>
                <w:p w14:paraId="348CB39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0.7</w:t>
                  </w:r>
                </w:p>
              </w:tc>
              <w:tc>
                <w:tcPr>
                  <w:tcW w:w="1041" w:type="dxa"/>
                  <w:tcBorders>
                    <w:tl2br w:val="nil"/>
                    <w:tr2bl w:val="nil"/>
                  </w:tcBorders>
                  <w:shd w:val="clear" w:color="auto" w:fill="FFFFFF"/>
                  <w:noWrap w:val="0"/>
                  <w:vAlign w:val="center"/>
                </w:tcPr>
                <w:p w14:paraId="24994035">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1</w:t>
                  </w:r>
                  <w:r>
                    <w:rPr>
                      <w:rFonts w:hint="eastAsia" w:ascii="Times New Roman" w:hAnsi="Times New Roman" w:eastAsia="宋体" w:cs="Times New Roman"/>
                      <w:b w:val="0"/>
                      <w:i w:val="0"/>
                      <w:iCs w:val="0"/>
                      <w:color w:val="000000"/>
                      <w:kern w:val="0"/>
                      <w:sz w:val="21"/>
                      <w:szCs w:val="21"/>
                      <w:highlight w:val="none"/>
                      <w:u w:val="none"/>
                      <w:lang w:val="en-US" w:eastAsia="zh-CN" w:bidi="ar"/>
                    </w:rPr>
                    <w:t>.</w:t>
                  </w:r>
                  <w:r>
                    <w:rPr>
                      <w:rFonts w:hint="default" w:ascii="Times New Roman" w:hAnsi="Times New Roman" w:eastAsia="宋体" w:cs="Times New Roman"/>
                      <w:b w:val="0"/>
                      <w:i w:val="0"/>
                      <w:iCs w:val="0"/>
                      <w:color w:val="000000"/>
                      <w:kern w:val="0"/>
                      <w:sz w:val="21"/>
                      <w:szCs w:val="21"/>
                      <w:highlight w:val="none"/>
                      <w:u w:val="none"/>
                      <w:lang w:val="en-US" w:eastAsia="zh-CN" w:bidi="ar"/>
                    </w:rPr>
                    <w:t>3</w:t>
                  </w:r>
                </w:p>
              </w:tc>
              <w:tc>
                <w:tcPr>
                  <w:tcW w:w="1041" w:type="dxa"/>
                  <w:tcBorders>
                    <w:right w:val="single" w:color="000000" w:sz="4" w:space="0"/>
                    <w:tl2br w:val="nil"/>
                    <w:tr2bl w:val="nil"/>
                  </w:tcBorders>
                  <w:shd w:val="clear" w:color="auto" w:fill="FFFFFF"/>
                  <w:noWrap w:val="0"/>
                  <w:vAlign w:val="center"/>
                </w:tcPr>
                <w:p w14:paraId="3FB83B6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0.1</w:t>
                  </w:r>
                </w:p>
              </w:tc>
            </w:tr>
            <w:tr w14:paraId="091CCD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6719205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22</w:t>
                  </w:r>
                </w:p>
              </w:tc>
              <w:tc>
                <w:tcPr>
                  <w:tcW w:w="2204" w:type="dxa"/>
                  <w:gridSpan w:val="2"/>
                  <w:tcBorders>
                    <w:tl2br w:val="nil"/>
                    <w:tr2bl w:val="nil"/>
                  </w:tcBorders>
                  <w:shd w:val="clear" w:color="auto" w:fill="FFFFFF"/>
                  <w:noWrap w:val="0"/>
                  <w:vAlign w:val="center"/>
                </w:tcPr>
                <w:p w14:paraId="3D14086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铜</w:t>
                  </w:r>
                </w:p>
              </w:tc>
              <w:tc>
                <w:tcPr>
                  <w:tcW w:w="1298" w:type="dxa"/>
                  <w:tcBorders>
                    <w:tl2br w:val="nil"/>
                    <w:tr2bl w:val="nil"/>
                  </w:tcBorders>
                  <w:shd w:val="clear" w:color="auto" w:fill="FFFFFF"/>
                  <w:noWrap w:val="0"/>
                  <w:vAlign w:val="center"/>
                </w:tcPr>
                <w:p w14:paraId="746ABC2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4594B48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0.09</w:t>
                  </w:r>
                </w:p>
              </w:tc>
              <w:tc>
                <w:tcPr>
                  <w:tcW w:w="919" w:type="dxa"/>
                  <w:tcBorders>
                    <w:tl2br w:val="nil"/>
                    <w:tr2bl w:val="nil"/>
                  </w:tcBorders>
                  <w:shd w:val="clear" w:color="auto" w:fill="FFFFFF"/>
                  <w:noWrap w:val="0"/>
                  <w:vAlign w:val="center"/>
                </w:tcPr>
                <w:p w14:paraId="59EE783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0.33</w:t>
                  </w:r>
                </w:p>
              </w:tc>
              <w:tc>
                <w:tcPr>
                  <w:tcW w:w="1041" w:type="dxa"/>
                  <w:tcBorders>
                    <w:tl2br w:val="nil"/>
                    <w:tr2bl w:val="nil"/>
                  </w:tcBorders>
                  <w:shd w:val="clear" w:color="auto" w:fill="FFFFFF"/>
                  <w:noWrap w:val="0"/>
                  <w:vAlign w:val="center"/>
                </w:tcPr>
                <w:p w14:paraId="5C81EBD5">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0.31</w:t>
                  </w:r>
                </w:p>
              </w:tc>
              <w:tc>
                <w:tcPr>
                  <w:tcW w:w="1041" w:type="dxa"/>
                  <w:tcBorders>
                    <w:right w:val="single" w:color="000000" w:sz="4" w:space="0"/>
                    <w:tl2br w:val="nil"/>
                    <w:tr2bl w:val="nil"/>
                  </w:tcBorders>
                  <w:shd w:val="clear" w:color="auto" w:fill="FFFFFF"/>
                  <w:noWrap w:val="0"/>
                  <w:vAlign w:val="center"/>
                </w:tcPr>
                <w:p w14:paraId="6C2E5EF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137D9C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31FEAB8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23</w:t>
                  </w:r>
                </w:p>
              </w:tc>
              <w:tc>
                <w:tcPr>
                  <w:tcW w:w="2204" w:type="dxa"/>
                  <w:gridSpan w:val="2"/>
                  <w:tcBorders>
                    <w:tl2br w:val="nil"/>
                    <w:tr2bl w:val="nil"/>
                  </w:tcBorders>
                  <w:shd w:val="clear" w:color="auto" w:fill="FFFFFF"/>
                  <w:noWrap w:val="0"/>
                  <w:vAlign w:val="center"/>
                </w:tcPr>
                <w:p w14:paraId="70B3B6E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锌</w:t>
                  </w:r>
                </w:p>
              </w:tc>
              <w:tc>
                <w:tcPr>
                  <w:tcW w:w="1298" w:type="dxa"/>
                  <w:tcBorders>
                    <w:tl2br w:val="nil"/>
                    <w:tr2bl w:val="nil"/>
                  </w:tcBorders>
                  <w:shd w:val="clear" w:color="auto" w:fill="FFFFFF"/>
                  <w:noWrap w:val="0"/>
                  <w:vAlign w:val="center"/>
                </w:tcPr>
                <w:p w14:paraId="7ABA700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6114A5C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554ED3B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2E45BE62">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right w:val="single" w:color="000000" w:sz="4" w:space="0"/>
                    <w:tl2br w:val="nil"/>
                    <w:tr2bl w:val="nil"/>
                  </w:tcBorders>
                  <w:shd w:val="clear" w:color="auto" w:fill="FFFFFF"/>
                  <w:noWrap w:val="0"/>
                  <w:vAlign w:val="center"/>
                </w:tcPr>
                <w:p w14:paraId="0DE1FC3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72ACF3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7D12BB4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24</w:t>
                  </w:r>
                </w:p>
              </w:tc>
              <w:tc>
                <w:tcPr>
                  <w:tcW w:w="2204" w:type="dxa"/>
                  <w:gridSpan w:val="2"/>
                  <w:tcBorders>
                    <w:tl2br w:val="nil"/>
                    <w:tr2bl w:val="nil"/>
                  </w:tcBorders>
                  <w:shd w:val="clear" w:color="auto" w:fill="FFFFFF"/>
                  <w:noWrap w:val="0"/>
                  <w:vAlign w:val="center"/>
                </w:tcPr>
                <w:p w14:paraId="734CBCD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铅</w:t>
                  </w:r>
                </w:p>
              </w:tc>
              <w:tc>
                <w:tcPr>
                  <w:tcW w:w="1298" w:type="dxa"/>
                  <w:tcBorders>
                    <w:tl2br w:val="nil"/>
                    <w:tr2bl w:val="nil"/>
                  </w:tcBorders>
                  <w:shd w:val="clear" w:color="auto" w:fill="FFFFFF"/>
                  <w:noWrap w:val="0"/>
                  <w:vAlign w:val="center"/>
                </w:tcPr>
                <w:p w14:paraId="6E139F0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257F904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0.25</w:t>
                  </w:r>
                </w:p>
              </w:tc>
              <w:tc>
                <w:tcPr>
                  <w:tcW w:w="919" w:type="dxa"/>
                  <w:tcBorders>
                    <w:tl2br w:val="nil"/>
                    <w:tr2bl w:val="nil"/>
                  </w:tcBorders>
                  <w:shd w:val="clear" w:color="auto" w:fill="FFFFFF"/>
                  <w:noWrap w:val="0"/>
                  <w:vAlign w:val="center"/>
                </w:tcPr>
                <w:p w14:paraId="174BF23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0.25</w:t>
                  </w:r>
                </w:p>
              </w:tc>
              <w:tc>
                <w:tcPr>
                  <w:tcW w:w="1041" w:type="dxa"/>
                  <w:tcBorders>
                    <w:tl2br w:val="nil"/>
                    <w:tr2bl w:val="nil"/>
                  </w:tcBorders>
                  <w:shd w:val="clear" w:color="auto" w:fill="FFFFFF"/>
                  <w:noWrap w:val="0"/>
                  <w:vAlign w:val="center"/>
                </w:tcPr>
                <w:p w14:paraId="7FDE86BF">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0.25</w:t>
                  </w:r>
                </w:p>
              </w:tc>
              <w:tc>
                <w:tcPr>
                  <w:tcW w:w="1041" w:type="dxa"/>
                  <w:tcBorders>
                    <w:right w:val="single" w:color="000000" w:sz="4" w:space="0"/>
                    <w:tl2br w:val="nil"/>
                    <w:tr2bl w:val="nil"/>
                  </w:tcBorders>
                  <w:shd w:val="clear" w:color="auto" w:fill="FFFFFF"/>
                  <w:noWrap w:val="0"/>
                  <w:vAlign w:val="center"/>
                </w:tcPr>
                <w:p w14:paraId="3E9B7A3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0.01</w:t>
                  </w:r>
                </w:p>
              </w:tc>
            </w:tr>
            <w:tr w14:paraId="49F04F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7A01C0E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25</w:t>
                  </w:r>
                </w:p>
              </w:tc>
              <w:tc>
                <w:tcPr>
                  <w:tcW w:w="2204" w:type="dxa"/>
                  <w:gridSpan w:val="2"/>
                  <w:tcBorders>
                    <w:tl2br w:val="nil"/>
                    <w:tr2bl w:val="nil"/>
                  </w:tcBorders>
                  <w:shd w:val="clear" w:color="auto" w:fill="FFFFFF"/>
                  <w:noWrap w:val="0"/>
                  <w:vAlign w:val="center"/>
                </w:tcPr>
                <w:p w14:paraId="09EED3A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镉</w:t>
                  </w:r>
                </w:p>
              </w:tc>
              <w:tc>
                <w:tcPr>
                  <w:tcW w:w="1298" w:type="dxa"/>
                  <w:tcBorders>
                    <w:tl2br w:val="nil"/>
                    <w:tr2bl w:val="nil"/>
                  </w:tcBorders>
                  <w:shd w:val="clear" w:color="auto" w:fill="FFFFFF"/>
                  <w:noWrap w:val="0"/>
                  <w:vAlign w:val="center"/>
                </w:tcPr>
                <w:p w14:paraId="7DE5844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2CECDF9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0.01</w:t>
                  </w:r>
                </w:p>
              </w:tc>
              <w:tc>
                <w:tcPr>
                  <w:tcW w:w="919" w:type="dxa"/>
                  <w:tcBorders>
                    <w:tl2br w:val="nil"/>
                    <w:tr2bl w:val="nil"/>
                  </w:tcBorders>
                  <w:shd w:val="clear" w:color="auto" w:fill="FFFFFF"/>
                  <w:noWrap w:val="0"/>
                  <w:vAlign w:val="center"/>
                </w:tcPr>
                <w:p w14:paraId="0E9459B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0.01</w:t>
                  </w:r>
                </w:p>
              </w:tc>
              <w:tc>
                <w:tcPr>
                  <w:tcW w:w="1041" w:type="dxa"/>
                  <w:tcBorders>
                    <w:tl2br w:val="nil"/>
                    <w:tr2bl w:val="nil"/>
                  </w:tcBorders>
                  <w:shd w:val="clear" w:color="auto" w:fill="FFFFFF"/>
                  <w:noWrap w:val="0"/>
                  <w:vAlign w:val="center"/>
                </w:tcPr>
                <w:p w14:paraId="57DF59FA">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0.01</w:t>
                  </w:r>
                </w:p>
              </w:tc>
              <w:tc>
                <w:tcPr>
                  <w:tcW w:w="1041" w:type="dxa"/>
                  <w:tcBorders>
                    <w:right w:val="single" w:color="000000" w:sz="4" w:space="0"/>
                    <w:tl2br w:val="nil"/>
                    <w:tr2bl w:val="nil"/>
                  </w:tcBorders>
                  <w:shd w:val="clear" w:color="auto" w:fill="FFFFFF"/>
                  <w:noWrap w:val="0"/>
                  <w:vAlign w:val="center"/>
                </w:tcPr>
                <w:p w14:paraId="59DA4ED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0.005</w:t>
                  </w:r>
                </w:p>
              </w:tc>
            </w:tr>
            <w:tr w14:paraId="252031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0FEF8C6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26</w:t>
                  </w:r>
                </w:p>
              </w:tc>
              <w:tc>
                <w:tcPr>
                  <w:tcW w:w="2204" w:type="dxa"/>
                  <w:gridSpan w:val="2"/>
                  <w:tcBorders>
                    <w:tl2br w:val="nil"/>
                    <w:tr2bl w:val="nil"/>
                  </w:tcBorders>
                  <w:shd w:val="clear" w:color="auto" w:fill="FFFFFF"/>
                  <w:noWrap w:val="0"/>
                  <w:vAlign w:val="center"/>
                </w:tcPr>
                <w:p w14:paraId="1C29210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铝</w:t>
                  </w:r>
                </w:p>
              </w:tc>
              <w:tc>
                <w:tcPr>
                  <w:tcW w:w="1298" w:type="dxa"/>
                  <w:tcBorders>
                    <w:tl2br w:val="nil"/>
                    <w:tr2bl w:val="nil"/>
                  </w:tcBorders>
                  <w:shd w:val="clear" w:color="auto" w:fill="FFFFFF"/>
                  <w:noWrap w:val="0"/>
                  <w:vAlign w:val="center"/>
                </w:tcPr>
                <w:p w14:paraId="07FEAD0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76F6CCB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0.005</w:t>
                  </w:r>
                </w:p>
              </w:tc>
              <w:tc>
                <w:tcPr>
                  <w:tcW w:w="919" w:type="dxa"/>
                  <w:tcBorders>
                    <w:tl2br w:val="nil"/>
                    <w:tr2bl w:val="nil"/>
                  </w:tcBorders>
                  <w:shd w:val="clear" w:color="auto" w:fill="FFFFFF"/>
                  <w:noWrap w:val="0"/>
                  <w:vAlign w:val="center"/>
                </w:tcPr>
                <w:p w14:paraId="624FB48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0.005</w:t>
                  </w:r>
                </w:p>
              </w:tc>
              <w:tc>
                <w:tcPr>
                  <w:tcW w:w="1041" w:type="dxa"/>
                  <w:tcBorders>
                    <w:tl2br w:val="nil"/>
                    <w:tr2bl w:val="nil"/>
                  </w:tcBorders>
                  <w:shd w:val="clear" w:color="auto" w:fill="FFFFFF"/>
                  <w:noWrap w:val="0"/>
                  <w:vAlign w:val="center"/>
                </w:tcPr>
                <w:p w14:paraId="2C4ED5C9">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0.005</w:t>
                  </w:r>
                </w:p>
              </w:tc>
              <w:tc>
                <w:tcPr>
                  <w:tcW w:w="1041" w:type="dxa"/>
                  <w:tcBorders>
                    <w:right w:val="single" w:color="000000" w:sz="4" w:space="0"/>
                    <w:tl2br w:val="nil"/>
                    <w:tr2bl w:val="nil"/>
                  </w:tcBorders>
                  <w:shd w:val="clear" w:color="auto" w:fill="FFFFFF"/>
                  <w:noWrap w:val="0"/>
                  <w:vAlign w:val="center"/>
                </w:tcPr>
                <w:p w14:paraId="141C5DE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0.2</w:t>
                  </w:r>
                </w:p>
              </w:tc>
            </w:tr>
            <w:tr w14:paraId="3DBD8F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411D909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27</w:t>
                  </w:r>
                </w:p>
              </w:tc>
              <w:tc>
                <w:tcPr>
                  <w:tcW w:w="2204" w:type="dxa"/>
                  <w:gridSpan w:val="2"/>
                  <w:tcBorders>
                    <w:tl2br w:val="nil"/>
                    <w:tr2bl w:val="nil"/>
                  </w:tcBorders>
                  <w:shd w:val="clear" w:color="auto" w:fill="FFFFFF"/>
                  <w:noWrap w:val="0"/>
                  <w:vAlign w:val="center"/>
                </w:tcPr>
                <w:p w14:paraId="5FDDF9F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钾</w:t>
                  </w:r>
                </w:p>
              </w:tc>
              <w:tc>
                <w:tcPr>
                  <w:tcW w:w="1298" w:type="dxa"/>
                  <w:tcBorders>
                    <w:tl2br w:val="nil"/>
                    <w:tr2bl w:val="nil"/>
                  </w:tcBorders>
                  <w:shd w:val="clear" w:color="auto" w:fill="FFFFFF"/>
                  <w:noWrap w:val="0"/>
                  <w:vAlign w:val="center"/>
                </w:tcPr>
                <w:p w14:paraId="5488585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3277304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47.0</w:t>
                  </w:r>
                </w:p>
              </w:tc>
              <w:tc>
                <w:tcPr>
                  <w:tcW w:w="919" w:type="dxa"/>
                  <w:tcBorders>
                    <w:tl2br w:val="nil"/>
                    <w:tr2bl w:val="nil"/>
                  </w:tcBorders>
                  <w:shd w:val="clear" w:color="auto" w:fill="FFFFFF"/>
                  <w:noWrap w:val="0"/>
                  <w:vAlign w:val="center"/>
                </w:tcPr>
                <w:p w14:paraId="0CECBF6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42.5</w:t>
                  </w:r>
                </w:p>
              </w:tc>
              <w:tc>
                <w:tcPr>
                  <w:tcW w:w="1041" w:type="dxa"/>
                  <w:tcBorders>
                    <w:tl2br w:val="nil"/>
                    <w:tr2bl w:val="nil"/>
                  </w:tcBorders>
                  <w:shd w:val="clear" w:color="auto" w:fill="FFFFFF"/>
                  <w:noWrap w:val="0"/>
                  <w:vAlign w:val="center"/>
                </w:tcPr>
                <w:p w14:paraId="6683DECE">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color w:val="000000"/>
                      <w:kern w:val="0"/>
                      <w:sz w:val="21"/>
                      <w:szCs w:val="21"/>
                      <w:highlight w:val="none"/>
                      <w:u w:val="none"/>
                      <w:lang w:val="en-US" w:eastAsia="zh-CN" w:bidi="ar"/>
                    </w:rPr>
                    <w:t>53.3</w:t>
                  </w:r>
                </w:p>
              </w:tc>
              <w:tc>
                <w:tcPr>
                  <w:tcW w:w="1041" w:type="dxa"/>
                  <w:tcBorders>
                    <w:right w:val="single" w:color="000000" w:sz="4" w:space="0"/>
                    <w:tl2br w:val="nil"/>
                    <w:tr2bl w:val="nil"/>
                  </w:tcBorders>
                  <w:shd w:val="clear" w:color="auto" w:fill="FFFFFF"/>
                  <w:noWrap w:val="0"/>
                  <w:vAlign w:val="center"/>
                </w:tcPr>
                <w:p w14:paraId="4FFBE54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17458A1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5A473C3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28</w:t>
                  </w:r>
                </w:p>
              </w:tc>
              <w:tc>
                <w:tcPr>
                  <w:tcW w:w="2204" w:type="dxa"/>
                  <w:gridSpan w:val="2"/>
                  <w:tcBorders>
                    <w:tl2br w:val="nil"/>
                    <w:tr2bl w:val="nil"/>
                  </w:tcBorders>
                  <w:shd w:val="clear" w:color="auto" w:fill="FFFFFF"/>
                  <w:noWrap w:val="0"/>
                  <w:vAlign w:val="center"/>
                </w:tcPr>
                <w:p w14:paraId="273F2D5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钠</w:t>
                  </w:r>
                </w:p>
              </w:tc>
              <w:tc>
                <w:tcPr>
                  <w:tcW w:w="1298" w:type="dxa"/>
                  <w:tcBorders>
                    <w:tl2br w:val="nil"/>
                    <w:tr2bl w:val="nil"/>
                  </w:tcBorders>
                  <w:shd w:val="clear" w:color="auto" w:fill="FFFFFF"/>
                  <w:noWrap w:val="0"/>
                  <w:vAlign w:val="center"/>
                </w:tcPr>
                <w:p w14:paraId="1976FE3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6C23B27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0.59</w:t>
                  </w:r>
                </w:p>
              </w:tc>
              <w:tc>
                <w:tcPr>
                  <w:tcW w:w="919" w:type="dxa"/>
                  <w:tcBorders>
                    <w:tl2br w:val="nil"/>
                    <w:tr2bl w:val="nil"/>
                  </w:tcBorders>
                  <w:shd w:val="clear" w:color="auto" w:fill="FFFFFF"/>
                  <w:noWrap w:val="0"/>
                  <w:vAlign w:val="center"/>
                </w:tcPr>
                <w:p w14:paraId="0734DBE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0.625</w:t>
                  </w:r>
                </w:p>
              </w:tc>
              <w:tc>
                <w:tcPr>
                  <w:tcW w:w="1041" w:type="dxa"/>
                  <w:tcBorders>
                    <w:tl2br w:val="nil"/>
                    <w:tr2bl w:val="nil"/>
                  </w:tcBorders>
                  <w:shd w:val="clear" w:color="auto" w:fill="FFFFFF"/>
                  <w:noWrap w:val="0"/>
                  <w:vAlign w:val="center"/>
                </w:tcPr>
                <w:p w14:paraId="0A3F8112">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1.585</w:t>
                  </w:r>
                </w:p>
              </w:tc>
              <w:tc>
                <w:tcPr>
                  <w:tcW w:w="1041" w:type="dxa"/>
                  <w:tcBorders>
                    <w:right w:val="single" w:color="000000" w:sz="4" w:space="0"/>
                    <w:tl2br w:val="nil"/>
                    <w:tr2bl w:val="nil"/>
                  </w:tcBorders>
                  <w:shd w:val="clear" w:color="auto" w:fill="FFFFFF"/>
                  <w:noWrap w:val="0"/>
                  <w:vAlign w:val="center"/>
                </w:tcPr>
                <w:p w14:paraId="71AF3AE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200</w:t>
                  </w:r>
                </w:p>
              </w:tc>
            </w:tr>
            <w:tr w14:paraId="3CA3BA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27CDADD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29</w:t>
                  </w:r>
                </w:p>
              </w:tc>
              <w:tc>
                <w:tcPr>
                  <w:tcW w:w="2204" w:type="dxa"/>
                  <w:gridSpan w:val="2"/>
                  <w:tcBorders>
                    <w:tl2br w:val="nil"/>
                    <w:tr2bl w:val="nil"/>
                  </w:tcBorders>
                  <w:shd w:val="clear" w:color="auto" w:fill="FFFFFF"/>
                  <w:noWrap w:val="0"/>
                  <w:vAlign w:val="center"/>
                </w:tcPr>
                <w:p w14:paraId="5152041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钙</w:t>
                  </w:r>
                </w:p>
              </w:tc>
              <w:tc>
                <w:tcPr>
                  <w:tcW w:w="1298" w:type="dxa"/>
                  <w:tcBorders>
                    <w:tl2br w:val="nil"/>
                    <w:tr2bl w:val="nil"/>
                  </w:tcBorders>
                  <w:shd w:val="clear" w:color="auto" w:fill="FFFFFF"/>
                  <w:noWrap w:val="0"/>
                  <w:vAlign w:val="center"/>
                </w:tcPr>
                <w:p w14:paraId="71857ED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418522D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30AF31F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071E26AD">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right w:val="single" w:color="000000" w:sz="4" w:space="0"/>
                    <w:tl2br w:val="nil"/>
                    <w:tr2bl w:val="nil"/>
                  </w:tcBorders>
                  <w:shd w:val="clear" w:color="auto" w:fill="FFFFFF"/>
                  <w:noWrap w:val="0"/>
                  <w:vAlign w:val="center"/>
                </w:tcPr>
                <w:p w14:paraId="679C5B5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7BAD9B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42EBD99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30</w:t>
                  </w:r>
                </w:p>
              </w:tc>
              <w:tc>
                <w:tcPr>
                  <w:tcW w:w="2204" w:type="dxa"/>
                  <w:gridSpan w:val="2"/>
                  <w:tcBorders>
                    <w:tl2br w:val="nil"/>
                    <w:tr2bl w:val="nil"/>
                  </w:tcBorders>
                  <w:shd w:val="clear" w:color="auto" w:fill="FFFFFF"/>
                  <w:noWrap w:val="0"/>
                  <w:vAlign w:val="center"/>
                </w:tcPr>
                <w:p w14:paraId="422044D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镁</w:t>
                  </w:r>
                </w:p>
              </w:tc>
              <w:tc>
                <w:tcPr>
                  <w:tcW w:w="1298" w:type="dxa"/>
                  <w:tcBorders>
                    <w:tl2br w:val="nil"/>
                    <w:tr2bl w:val="nil"/>
                  </w:tcBorders>
                  <w:shd w:val="clear" w:color="auto" w:fill="FFFFFF"/>
                  <w:noWrap w:val="0"/>
                  <w:vAlign w:val="center"/>
                </w:tcPr>
                <w:p w14:paraId="22D8471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4EA70C5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09990BB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4887F664">
                  <w:pPr>
                    <w:keepNext w:val="0"/>
                    <w:keepLines w:val="0"/>
                    <w:widowControl/>
                    <w:suppressLineNumbers w:val="0"/>
                    <w:jc w:val="center"/>
                    <w:textAlignment w:val="top"/>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right w:val="single" w:color="000000" w:sz="4" w:space="0"/>
                    <w:tl2br w:val="nil"/>
                    <w:tr2bl w:val="nil"/>
                  </w:tcBorders>
                  <w:shd w:val="clear" w:color="auto" w:fill="FFFFFF"/>
                  <w:noWrap w:val="0"/>
                  <w:vAlign w:val="center"/>
                </w:tcPr>
                <w:p w14:paraId="3E7FD5C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014092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560D626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31</w:t>
                  </w:r>
                </w:p>
              </w:tc>
              <w:tc>
                <w:tcPr>
                  <w:tcW w:w="2204" w:type="dxa"/>
                  <w:gridSpan w:val="2"/>
                  <w:tcBorders>
                    <w:tl2br w:val="nil"/>
                    <w:tr2bl w:val="nil"/>
                  </w:tcBorders>
                  <w:shd w:val="clear" w:color="auto" w:fill="FFFFFF"/>
                  <w:noWrap w:val="0"/>
                  <w:vAlign w:val="center"/>
                </w:tcPr>
                <w:p w14:paraId="2375C34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苯</w:t>
                  </w:r>
                </w:p>
              </w:tc>
              <w:tc>
                <w:tcPr>
                  <w:tcW w:w="1298" w:type="dxa"/>
                  <w:tcBorders>
                    <w:tl2br w:val="nil"/>
                    <w:tr2bl w:val="nil"/>
                  </w:tcBorders>
                  <w:shd w:val="clear" w:color="auto" w:fill="FFFFFF"/>
                  <w:noWrap w:val="0"/>
                  <w:vAlign w:val="center"/>
                </w:tcPr>
                <w:p w14:paraId="62434C4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1151" w:type="dxa"/>
                  <w:tcBorders>
                    <w:tl2br w:val="nil"/>
                    <w:tr2bl w:val="nil"/>
                  </w:tcBorders>
                  <w:shd w:val="clear" w:color="auto" w:fill="FFFFFF"/>
                  <w:noWrap w:val="0"/>
                  <w:vAlign w:val="center"/>
                </w:tcPr>
                <w:p w14:paraId="0A6C457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607B3A5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038F5EEC">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right w:val="single" w:color="000000" w:sz="4" w:space="0"/>
                    <w:tl2br w:val="nil"/>
                    <w:tr2bl w:val="nil"/>
                  </w:tcBorders>
                  <w:shd w:val="clear" w:color="auto" w:fill="FFFFFF"/>
                  <w:noWrap w:val="0"/>
                  <w:vAlign w:val="center"/>
                </w:tcPr>
                <w:p w14:paraId="074AC6F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0.01</w:t>
                  </w:r>
                </w:p>
              </w:tc>
            </w:tr>
            <w:tr w14:paraId="1B2D43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4770CAF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32</w:t>
                  </w:r>
                </w:p>
              </w:tc>
              <w:tc>
                <w:tcPr>
                  <w:tcW w:w="2204" w:type="dxa"/>
                  <w:gridSpan w:val="2"/>
                  <w:tcBorders>
                    <w:tl2br w:val="nil"/>
                    <w:tr2bl w:val="nil"/>
                  </w:tcBorders>
                  <w:shd w:val="clear" w:color="auto" w:fill="FFFFFF"/>
                  <w:noWrap w:val="0"/>
                  <w:vAlign w:val="center"/>
                </w:tcPr>
                <w:p w14:paraId="14AB68C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甲苯</w:t>
                  </w:r>
                </w:p>
              </w:tc>
              <w:tc>
                <w:tcPr>
                  <w:tcW w:w="1298" w:type="dxa"/>
                  <w:tcBorders>
                    <w:tl2br w:val="nil"/>
                    <w:tr2bl w:val="nil"/>
                  </w:tcBorders>
                  <w:shd w:val="clear" w:color="auto" w:fill="FFFFFF"/>
                  <w:noWrap w:val="0"/>
                  <w:vAlign w:val="center"/>
                </w:tcPr>
                <w:p w14:paraId="36DB8D4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1151" w:type="dxa"/>
                  <w:tcBorders>
                    <w:tl2br w:val="nil"/>
                    <w:tr2bl w:val="nil"/>
                  </w:tcBorders>
                  <w:shd w:val="clear" w:color="auto" w:fill="FFFFFF"/>
                  <w:noWrap w:val="0"/>
                  <w:vAlign w:val="center"/>
                </w:tcPr>
                <w:p w14:paraId="263AE2A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12369B8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2FCE9BFD">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right w:val="single" w:color="000000" w:sz="4" w:space="0"/>
                    <w:tl2br w:val="nil"/>
                    <w:tr2bl w:val="nil"/>
                  </w:tcBorders>
                  <w:shd w:val="clear" w:color="auto" w:fill="FFFFFF"/>
                  <w:noWrap w:val="0"/>
                  <w:vAlign w:val="center"/>
                </w:tcPr>
                <w:p w14:paraId="2895C38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0.7</w:t>
                  </w:r>
                </w:p>
              </w:tc>
            </w:tr>
            <w:tr w14:paraId="5D2C07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vMerge w:val="restart"/>
                  <w:tcBorders>
                    <w:left w:val="single" w:color="000000" w:sz="4" w:space="0"/>
                    <w:tl2br w:val="nil"/>
                    <w:tr2bl w:val="nil"/>
                  </w:tcBorders>
                  <w:shd w:val="clear" w:color="auto" w:fill="FFFFFF"/>
                  <w:noWrap/>
                  <w:vAlign w:val="center"/>
                </w:tcPr>
                <w:p w14:paraId="10F3D57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33</w:t>
                  </w:r>
                </w:p>
              </w:tc>
              <w:tc>
                <w:tcPr>
                  <w:tcW w:w="536" w:type="dxa"/>
                  <w:vMerge w:val="restart"/>
                  <w:tcBorders>
                    <w:tl2br w:val="nil"/>
                    <w:tr2bl w:val="nil"/>
                  </w:tcBorders>
                  <w:shd w:val="clear" w:color="auto" w:fill="FFFFFF"/>
                  <w:noWrap w:val="0"/>
                  <w:vAlign w:val="center"/>
                </w:tcPr>
                <w:p w14:paraId="26AAA3C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二甲苯</w:t>
                  </w:r>
                </w:p>
              </w:tc>
              <w:tc>
                <w:tcPr>
                  <w:tcW w:w="1668" w:type="dxa"/>
                  <w:tcBorders>
                    <w:tl2br w:val="nil"/>
                    <w:tr2bl w:val="nil"/>
                  </w:tcBorders>
                  <w:shd w:val="clear" w:color="auto" w:fill="FFFFFF"/>
                  <w:noWrap w:val="0"/>
                  <w:vAlign w:val="center"/>
                </w:tcPr>
                <w:p w14:paraId="0BF9B7DD">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对二甲苯</w:t>
                  </w:r>
                </w:p>
              </w:tc>
              <w:tc>
                <w:tcPr>
                  <w:tcW w:w="1298" w:type="dxa"/>
                  <w:tcBorders>
                    <w:tl2br w:val="nil"/>
                    <w:tr2bl w:val="nil"/>
                  </w:tcBorders>
                  <w:shd w:val="clear" w:color="auto" w:fill="FFFFFF"/>
                  <w:noWrap w:val="0"/>
                  <w:vAlign w:val="center"/>
                </w:tcPr>
                <w:p w14:paraId="2ADBC9E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1151" w:type="dxa"/>
                  <w:tcBorders>
                    <w:tl2br w:val="nil"/>
                    <w:tr2bl w:val="nil"/>
                  </w:tcBorders>
                  <w:shd w:val="clear" w:color="auto" w:fill="FFFFFF"/>
                  <w:noWrap w:val="0"/>
                  <w:vAlign w:val="center"/>
                </w:tcPr>
                <w:p w14:paraId="7AB53BC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0B7ACCB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3BEB6895">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vMerge w:val="restart"/>
                  <w:tcBorders>
                    <w:right w:val="single" w:color="000000" w:sz="4" w:space="0"/>
                    <w:tl2br w:val="nil"/>
                    <w:tr2bl w:val="nil"/>
                  </w:tcBorders>
                  <w:shd w:val="clear" w:color="auto" w:fill="FFFFFF"/>
                  <w:noWrap w:val="0"/>
                  <w:vAlign w:val="center"/>
                </w:tcPr>
                <w:p w14:paraId="15396C5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0.5</w:t>
                  </w:r>
                </w:p>
              </w:tc>
            </w:tr>
            <w:tr w14:paraId="386FAB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vMerge w:val="continue"/>
                  <w:tcBorders>
                    <w:left w:val="single" w:color="000000" w:sz="4" w:space="0"/>
                    <w:tl2br w:val="nil"/>
                    <w:tr2bl w:val="nil"/>
                  </w:tcBorders>
                  <w:shd w:val="clear" w:color="auto" w:fill="FFFFFF"/>
                  <w:noWrap/>
                  <w:vAlign w:val="center"/>
                </w:tcPr>
                <w:p w14:paraId="23C3F9F2">
                  <w:pPr>
                    <w:jc w:val="center"/>
                    <w:rPr>
                      <w:rFonts w:hint="default" w:ascii="Times New Roman" w:hAnsi="Times New Roman" w:eastAsia="宋体" w:cs="Times New Roman"/>
                      <w:b w:val="0"/>
                      <w:i w:val="0"/>
                      <w:iCs w:val="0"/>
                      <w:color w:val="000000"/>
                      <w:sz w:val="21"/>
                      <w:szCs w:val="21"/>
                      <w:highlight w:val="none"/>
                      <w:u w:val="none"/>
                    </w:rPr>
                  </w:pPr>
                </w:p>
              </w:tc>
              <w:tc>
                <w:tcPr>
                  <w:tcW w:w="536" w:type="dxa"/>
                  <w:vMerge w:val="continue"/>
                  <w:tcBorders>
                    <w:tl2br w:val="nil"/>
                    <w:tr2bl w:val="nil"/>
                  </w:tcBorders>
                  <w:shd w:val="clear" w:color="auto" w:fill="FFFFFF"/>
                  <w:noWrap w:val="0"/>
                  <w:vAlign w:val="center"/>
                </w:tcPr>
                <w:p w14:paraId="2C21699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1668" w:type="dxa"/>
                  <w:tcBorders>
                    <w:tl2br w:val="nil"/>
                    <w:tr2bl w:val="nil"/>
                  </w:tcBorders>
                  <w:shd w:val="clear" w:color="auto" w:fill="FFFFFF"/>
                  <w:noWrap w:val="0"/>
                  <w:vAlign w:val="center"/>
                </w:tcPr>
                <w:p w14:paraId="38E23F50">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间二甲苯</w:t>
                  </w:r>
                </w:p>
              </w:tc>
              <w:tc>
                <w:tcPr>
                  <w:tcW w:w="1298" w:type="dxa"/>
                  <w:tcBorders>
                    <w:tl2br w:val="nil"/>
                    <w:tr2bl w:val="nil"/>
                  </w:tcBorders>
                  <w:shd w:val="clear" w:color="auto" w:fill="FFFFFF"/>
                  <w:noWrap w:val="0"/>
                  <w:vAlign w:val="center"/>
                </w:tcPr>
                <w:p w14:paraId="480CBD9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1151" w:type="dxa"/>
                  <w:tcBorders>
                    <w:tl2br w:val="nil"/>
                    <w:tr2bl w:val="nil"/>
                  </w:tcBorders>
                  <w:shd w:val="clear" w:color="auto" w:fill="FFFFFF"/>
                  <w:noWrap w:val="0"/>
                  <w:vAlign w:val="center"/>
                </w:tcPr>
                <w:p w14:paraId="3E8891A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4966613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709AF9DB">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vMerge w:val="continue"/>
                  <w:tcBorders>
                    <w:right w:val="single" w:color="000000" w:sz="4" w:space="0"/>
                    <w:tl2br w:val="nil"/>
                    <w:tr2bl w:val="nil"/>
                  </w:tcBorders>
                  <w:shd w:val="clear" w:color="auto" w:fill="FFFFFF"/>
                  <w:noWrap w:val="0"/>
                  <w:vAlign w:val="center"/>
                </w:tcPr>
                <w:p w14:paraId="50C8013D">
                  <w:pPr>
                    <w:jc w:val="center"/>
                    <w:rPr>
                      <w:rFonts w:hint="default" w:ascii="Times New Roman" w:hAnsi="Times New Roman" w:eastAsia="宋体" w:cs="Times New Roman"/>
                      <w:b w:val="0"/>
                      <w:i w:val="0"/>
                      <w:iCs w:val="0"/>
                      <w:color w:val="000000"/>
                      <w:sz w:val="21"/>
                      <w:szCs w:val="21"/>
                      <w:highlight w:val="none"/>
                      <w:u w:val="none"/>
                    </w:rPr>
                  </w:pPr>
                </w:p>
              </w:tc>
            </w:tr>
            <w:tr w14:paraId="77D3D7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vMerge w:val="continue"/>
                  <w:tcBorders>
                    <w:left w:val="single" w:color="000000" w:sz="4" w:space="0"/>
                    <w:tl2br w:val="nil"/>
                    <w:tr2bl w:val="nil"/>
                  </w:tcBorders>
                  <w:shd w:val="clear" w:color="auto" w:fill="FFFFFF"/>
                  <w:noWrap/>
                  <w:vAlign w:val="center"/>
                </w:tcPr>
                <w:p w14:paraId="07EA96B6">
                  <w:pPr>
                    <w:jc w:val="center"/>
                    <w:rPr>
                      <w:rFonts w:hint="default" w:ascii="Times New Roman" w:hAnsi="Times New Roman" w:eastAsia="宋体" w:cs="Times New Roman"/>
                      <w:b w:val="0"/>
                      <w:i w:val="0"/>
                      <w:iCs w:val="0"/>
                      <w:color w:val="000000"/>
                      <w:sz w:val="21"/>
                      <w:szCs w:val="21"/>
                      <w:highlight w:val="none"/>
                      <w:u w:val="none"/>
                    </w:rPr>
                  </w:pPr>
                </w:p>
              </w:tc>
              <w:tc>
                <w:tcPr>
                  <w:tcW w:w="536" w:type="dxa"/>
                  <w:vMerge w:val="continue"/>
                  <w:tcBorders>
                    <w:tl2br w:val="nil"/>
                    <w:tr2bl w:val="nil"/>
                  </w:tcBorders>
                  <w:shd w:val="clear" w:color="auto" w:fill="FFFFFF"/>
                  <w:noWrap w:val="0"/>
                  <w:vAlign w:val="center"/>
                </w:tcPr>
                <w:p w14:paraId="404FD74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1668" w:type="dxa"/>
                  <w:tcBorders>
                    <w:tl2br w:val="nil"/>
                    <w:tr2bl w:val="nil"/>
                  </w:tcBorders>
                  <w:shd w:val="clear" w:color="auto" w:fill="FFFFFF"/>
                  <w:noWrap w:val="0"/>
                  <w:vAlign w:val="center"/>
                </w:tcPr>
                <w:p w14:paraId="5EB7A596">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邻二甲苯</w:t>
                  </w:r>
                </w:p>
              </w:tc>
              <w:tc>
                <w:tcPr>
                  <w:tcW w:w="1298" w:type="dxa"/>
                  <w:tcBorders>
                    <w:tl2br w:val="nil"/>
                    <w:tr2bl w:val="nil"/>
                  </w:tcBorders>
                  <w:shd w:val="clear" w:color="auto" w:fill="FFFFFF"/>
                  <w:noWrap w:val="0"/>
                  <w:vAlign w:val="center"/>
                </w:tcPr>
                <w:p w14:paraId="2235DBA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1151" w:type="dxa"/>
                  <w:tcBorders>
                    <w:tl2br w:val="nil"/>
                    <w:tr2bl w:val="nil"/>
                  </w:tcBorders>
                  <w:shd w:val="clear" w:color="auto" w:fill="FFFFFF"/>
                  <w:noWrap w:val="0"/>
                  <w:vAlign w:val="center"/>
                </w:tcPr>
                <w:p w14:paraId="514A77F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444CC0F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50F00AC7">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vMerge w:val="continue"/>
                  <w:tcBorders>
                    <w:right w:val="single" w:color="000000" w:sz="4" w:space="0"/>
                    <w:tl2br w:val="nil"/>
                    <w:tr2bl w:val="nil"/>
                  </w:tcBorders>
                  <w:shd w:val="clear" w:color="auto" w:fill="FFFFFF"/>
                  <w:noWrap w:val="0"/>
                  <w:vAlign w:val="center"/>
                </w:tcPr>
                <w:p w14:paraId="191A8678">
                  <w:pPr>
                    <w:jc w:val="center"/>
                    <w:rPr>
                      <w:rFonts w:hint="default" w:ascii="Times New Roman" w:hAnsi="Times New Roman" w:eastAsia="宋体" w:cs="Times New Roman"/>
                      <w:b w:val="0"/>
                      <w:i w:val="0"/>
                      <w:iCs w:val="0"/>
                      <w:color w:val="000000"/>
                      <w:sz w:val="21"/>
                      <w:szCs w:val="21"/>
                      <w:highlight w:val="none"/>
                      <w:u w:val="none"/>
                    </w:rPr>
                  </w:pPr>
                </w:p>
              </w:tc>
            </w:tr>
            <w:tr w14:paraId="5341C4B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tl2br w:val="nil"/>
                    <w:tr2bl w:val="nil"/>
                  </w:tcBorders>
                  <w:shd w:val="clear" w:color="auto" w:fill="FFFFFF"/>
                  <w:noWrap w:val="0"/>
                  <w:vAlign w:val="center"/>
                </w:tcPr>
                <w:p w14:paraId="5724EB0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34</w:t>
                  </w:r>
                </w:p>
              </w:tc>
              <w:tc>
                <w:tcPr>
                  <w:tcW w:w="2204" w:type="dxa"/>
                  <w:gridSpan w:val="2"/>
                  <w:tcBorders>
                    <w:tl2br w:val="nil"/>
                    <w:tr2bl w:val="nil"/>
                  </w:tcBorders>
                  <w:shd w:val="clear" w:color="auto" w:fill="FFFFFF"/>
                  <w:noWrap w:val="0"/>
                  <w:vAlign w:val="center"/>
                </w:tcPr>
                <w:p w14:paraId="6A01CC2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碳酸根（CO</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3</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2-</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1298" w:type="dxa"/>
                  <w:tcBorders>
                    <w:tl2br w:val="nil"/>
                    <w:tr2bl w:val="nil"/>
                  </w:tcBorders>
                  <w:shd w:val="clear" w:color="auto" w:fill="FFFFFF"/>
                  <w:noWrap w:val="0"/>
                  <w:vAlign w:val="center"/>
                </w:tcPr>
                <w:p w14:paraId="47ED51B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tl2br w:val="nil"/>
                    <w:tr2bl w:val="nil"/>
                  </w:tcBorders>
                  <w:shd w:val="clear" w:color="auto" w:fill="FFFFFF"/>
                  <w:noWrap w:val="0"/>
                  <w:vAlign w:val="center"/>
                </w:tcPr>
                <w:p w14:paraId="3999B7E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tl2br w:val="nil"/>
                    <w:tr2bl w:val="nil"/>
                  </w:tcBorders>
                  <w:shd w:val="clear" w:color="auto" w:fill="FFFFFF"/>
                  <w:noWrap w:val="0"/>
                  <w:vAlign w:val="center"/>
                </w:tcPr>
                <w:p w14:paraId="6B6BCD6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tl2br w:val="nil"/>
                    <w:tr2bl w:val="nil"/>
                  </w:tcBorders>
                  <w:shd w:val="clear" w:color="auto" w:fill="FFFFFF"/>
                  <w:noWrap w:val="0"/>
                  <w:vAlign w:val="center"/>
                </w:tcPr>
                <w:p w14:paraId="7E844E76">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right w:val="single" w:color="000000" w:sz="4" w:space="0"/>
                    <w:tl2br w:val="nil"/>
                    <w:tr2bl w:val="nil"/>
                  </w:tcBorders>
                  <w:shd w:val="clear" w:color="auto" w:fill="FFFFFF"/>
                  <w:noWrap w:val="0"/>
                  <w:vAlign w:val="center"/>
                </w:tcPr>
                <w:p w14:paraId="68BBA9D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075F7D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62" w:type="dxa"/>
                  <w:tcBorders>
                    <w:left w:val="single" w:color="000000" w:sz="4" w:space="0"/>
                    <w:bottom w:val="single" w:color="000000" w:sz="4" w:space="0"/>
                    <w:tl2br w:val="nil"/>
                    <w:tr2bl w:val="nil"/>
                  </w:tcBorders>
                  <w:shd w:val="clear" w:color="auto" w:fill="FFFFFF"/>
                  <w:noWrap w:val="0"/>
                  <w:vAlign w:val="center"/>
                </w:tcPr>
                <w:p w14:paraId="585B4C3C">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34</w:t>
                  </w:r>
                </w:p>
              </w:tc>
              <w:tc>
                <w:tcPr>
                  <w:tcW w:w="2204" w:type="dxa"/>
                  <w:gridSpan w:val="2"/>
                  <w:tcBorders>
                    <w:bottom w:val="single" w:color="000000" w:sz="4" w:space="0"/>
                    <w:tl2br w:val="nil"/>
                    <w:tr2bl w:val="nil"/>
                  </w:tcBorders>
                  <w:shd w:val="clear" w:color="auto" w:fill="FFFFFF"/>
                  <w:noWrap w:val="0"/>
                  <w:vAlign w:val="center"/>
                </w:tcPr>
                <w:p w14:paraId="1CEAAB8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重碳酸根（HCO</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3</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1298" w:type="dxa"/>
                  <w:tcBorders>
                    <w:bottom w:val="single" w:color="000000" w:sz="4" w:space="0"/>
                    <w:tl2br w:val="nil"/>
                    <w:tr2bl w:val="nil"/>
                  </w:tcBorders>
                  <w:shd w:val="clear" w:color="auto" w:fill="FFFFFF"/>
                  <w:noWrap w:val="0"/>
                  <w:vAlign w:val="center"/>
                </w:tcPr>
                <w:p w14:paraId="443FD39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1151" w:type="dxa"/>
                  <w:tcBorders>
                    <w:bottom w:val="single" w:color="000000" w:sz="4" w:space="0"/>
                    <w:tl2br w:val="nil"/>
                    <w:tr2bl w:val="nil"/>
                  </w:tcBorders>
                  <w:shd w:val="clear" w:color="auto" w:fill="FFFFFF"/>
                  <w:noWrap w:val="0"/>
                  <w:vAlign w:val="center"/>
                </w:tcPr>
                <w:p w14:paraId="640C62D3">
                  <w:pPr>
                    <w:keepNext w:val="0"/>
                    <w:keepLines w:val="0"/>
                    <w:widowControl/>
                    <w:suppressLineNumbers w:val="0"/>
                    <w:jc w:val="center"/>
                    <w:textAlignment w:val="top"/>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919" w:type="dxa"/>
                  <w:tcBorders>
                    <w:bottom w:val="single" w:color="000000" w:sz="4" w:space="0"/>
                    <w:tl2br w:val="nil"/>
                    <w:tr2bl w:val="nil"/>
                  </w:tcBorders>
                  <w:shd w:val="clear" w:color="auto" w:fill="FFFFFF"/>
                  <w:noWrap w:val="0"/>
                  <w:vAlign w:val="center"/>
                </w:tcPr>
                <w:p w14:paraId="7EFE349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bottom w:val="single" w:color="000000" w:sz="4" w:space="0"/>
                    <w:tl2br w:val="nil"/>
                    <w:tr2bl w:val="nil"/>
                  </w:tcBorders>
                  <w:shd w:val="clear" w:color="auto" w:fill="FFFFFF"/>
                  <w:noWrap w:val="0"/>
                  <w:vAlign w:val="center"/>
                </w:tcPr>
                <w:p w14:paraId="3584C863">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1041" w:type="dxa"/>
                  <w:tcBorders>
                    <w:bottom w:val="single" w:color="000000" w:sz="4" w:space="0"/>
                    <w:right w:val="single" w:color="000000" w:sz="4" w:space="0"/>
                    <w:tl2br w:val="nil"/>
                    <w:tr2bl w:val="nil"/>
                  </w:tcBorders>
                  <w:shd w:val="clear" w:color="auto" w:fill="FFFFFF"/>
                  <w:noWrap w:val="0"/>
                  <w:vAlign w:val="center"/>
                </w:tcPr>
                <w:p w14:paraId="2786813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bl>
          <w:p w14:paraId="27FA543F">
            <w:pPr>
              <w:pStyle w:val="7"/>
              <w:spacing w:line="240" w:lineRule="auto"/>
              <w:ind w:firstLine="0" w:firstLineChars="0"/>
              <w:jc w:val="center"/>
              <w:rPr>
                <w:rFonts w:hAnsi="宋体" w:eastAsia="宋体"/>
                <w:b/>
                <w:bCs/>
                <w:color w:val="000000"/>
                <w:highlight w:val="none"/>
              </w:rPr>
            </w:pPr>
            <w:r>
              <w:rPr>
                <w:rFonts w:hint="default" w:ascii="Times New Roman" w:hAnsi="Times New Roman" w:eastAsia="宋体" w:cs="Times New Roman"/>
                <w:b/>
                <w:bCs/>
                <w:color w:val="auto"/>
                <w:sz w:val="21"/>
                <w:szCs w:val="21"/>
                <w:highlight w:val="none"/>
              </w:rPr>
              <w:t>表</w:t>
            </w:r>
            <w:r>
              <w:rPr>
                <w:rFonts w:hint="eastAsia" w:ascii="Times New Roman" w:hAnsi="Times New Roman" w:eastAsia="宋体" w:cs="Times New Roman"/>
                <w:b/>
                <w:bCs/>
                <w:color w:val="auto"/>
                <w:sz w:val="21"/>
                <w:szCs w:val="21"/>
                <w:highlight w:val="none"/>
              </w:rPr>
              <w:t>3</w:t>
            </w:r>
            <w:r>
              <w:rPr>
                <w:rFonts w:hint="eastAsia" w:ascii="Times New Roman" w:cs="Times New Roman"/>
                <w:b/>
                <w:bCs/>
                <w:color w:val="auto"/>
                <w:sz w:val="21"/>
                <w:szCs w:val="21"/>
                <w:highlight w:val="none"/>
                <w:lang w:val="en-US" w:eastAsia="zh-CN"/>
              </w:rPr>
              <w:t>-6</w:t>
            </w:r>
            <w:r>
              <w:rPr>
                <w:rFonts w:hint="eastAsia"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rPr>
              <w:t>地下水水质评价结果表（2025年7月3日）</w:t>
            </w:r>
          </w:p>
          <w:tbl>
            <w:tblPr>
              <w:tblStyle w:val="15"/>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982"/>
              <w:gridCol w:w="609"/>
              <w:gridCol w:w="1813"/>
              <w:gridCol w:w="1524"/>
              <w:gridCol w:w="1128"/>
              <w:gridCol w:w="1178"/>
              <w:gridCol w:w="1155"/>
            </w:tblGrid>
            <w:tr w14:paraId="249545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vMerge w:val="restart"/>
                  <w:tcBorders>
                    <w:top w:val="single" w:color="000000" w:sz="4" w:space="0"/>
                    <w:left w:val="single" w:color="000000" w:sz="4" w:space="0"/>
                    <w:tl2br w:val="nil"/>
                    <w:tr2bl w:val="nil"/>
                  </w:tcBorders>
                  <w:shd w:val="clear" w:color="auto" w:fill="FFFFFF"/>
                  <w:noWrap w:val="0"/>
                  <w:vAlign w:val="center"/>
                </w:tcPr>
                <w:p w14:paraId="5A63EF0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序号</w:t>
                  </w:r>
                </w:p>
              </w:tc>
              <w:tc>
                <w:tcPr>
                  <w:tcW w:w="1443" w:type="pct"/>
                  <w:gridSpan w:val="2"/>
                  <w:vMerge w:val="restart"/>
                  <w:tcBorders>
                    <w:top w:val="single" w:color="000000" w:sz="4" w:space="0"/>
                    <w:tl2br w:val="nil"/>
                    <w:tr2bl w:val="nil"/>
                  </w:tcBorders>
                  <w:shd w:val="clear" w:color="auto" w:fill="FFFFFF"/>
                  <w:noWrap w:val="0"/>
                  <w:vAlign w:val="center"/>
                </w:tcPr>
                <w:p w14:paraId="4E99B4D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检测项目</w:t>
                  </w:r>
                </w:p>
              </w:tc>
              <w:tc>
                <w:tcPr>
                  <w:tcW w:w="908" w:type="pct"/>
                  <w:vMerge w:val="restart"/>
                  <w:tcBorders>
                    <w:top w:val="single" w:color="000000" w:sz="4" w:space="0"/>
                    <w:tl2br w:val="nil"/>
                    <w:tr2bl w:val="nil"/>
                  </w:tcBorders>
                  <w:shd w:val="clear" w:color="auto" w:fill="FFFFFF"/>
                  <w:noWrap w:val="0"/>
                  <w:vAlign w:val="center"/>
                </w:tcPr>
                <w:p w14:paraId="00A6E5B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单位</w:t>
                  </w:r>
                </w:p>
              </w:tc>
              <w:tc>
                <w:tcPr>
                  <w:tcW w:w="1374" w:type="pct"/>
                  <w:gridSpan w:val="2"/>
                  <w:tcBorders>
                    <w:top w:val="single" w:color="000000" w:sz="4" w:space="0"/>
                    <w:right w:val="single" w:color="000000" w:sz="4" w:space="0"/>
                    <w:tl2br w:val="nil"/>
                    <w:tr2bl w:val="nil"/>
                  </w:tcBorders>
                  <w:shd w:val="clear" w:color="auto" w:fill="FFFFFF"/>
                  <w:noWrap w:val="0"/>
                  <w:vAlign w:val="center"/>
                </w:tcPr>
                <w:p w14:paraId="51C98724">
                  <w:pPr>
                    <w:keepNext w:val="0"/>
                    <w:keepLines w:val="0"/>
                    <w:widowControl/>
                    <w:suppressLineNumbers w:val="0"/>
                    <w:jc w:val="center"/>
                    <w:textAlignment w:val="cente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检测结果</w:t>
                  </w:r>
                </w:p>
              </w:tc>
              <w:tc>
                <w:tcPr>
                  <w:tcW w:w="688" w:type="pct"/>
                  <w:vMerge w:val="restart"/>
                  <w:tcBorders>
                    <w:top w:val="single" w:color="000000" w:sz="4" w:space="0"/>
                    <w:right w:val="single" w:color="000000" w:sz="4" w:space="0"/>
                    <w:tl2br w:val="nil"/>
                    <w:tr2bl w:val="nil"/>
                  </w:tcBorders>
                  <w:shd w:val="clear" w:color="auto" w:fill="FFFFFF"/>
                  <w:noWrap w:val="0"/>
                  <w:vAlign w:val="center"/>
                </w:tcPr>
                <w:p w14:paraId="45035E5A">
                  <w:pPr>
                    <w:keepNext w:val="0"/>
                    <w:keepLines w:val="0"/>
                    <w:widowControl/>
                    <w:suppressLineNumbers w:val="0"/>
                    <w:jc w:val="center"/>
                    <w:textAlignment w:val="cente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bCs w:val="0"/>
                      <w:i w:val="0"/>
                      <w:iCs w:val="0"/>
                      <w:snapToGrid w:val="0"/>
                      <w:color w:val="000000"/>
                      <w:kern w:val="0"/>
                      <w:sz w:val="21"/>
                      <w:szCs w:val="21"/>
                      <w:highlight w:val="none"/>
                      <w:u w:val="none"/>
                      <w:lang w:val="en-US" w:eastAsia="zh-CN" w:bidi="ar"/>
                    </w:rPr>
                    <w:t>标准</w:t>
                  </w:r>
                </w:p>
              </w:tc>
            </w:tr>
            <w:tr w14:paraId="68A953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vMerge w:val="continue"/>
                  <w:tcBorders>
                    <w:left w:val="single" w:color="000000" w:sz="4" w:space="0"/>
                    <w:tl2br w:val="nil"/>
                    <w:tr2bl w:val="nil"/>
                  </w:tcBorders>
                  <w:shd w:val="clear" w:color="auto" w:fill="FFFFFF"/>
                  <w:noWrap w:val="0"/>
                  <w:vAlign w:val="center"/>
                </w:tcPr>
                <w:p w14:paraId="17386D8C">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c>
                <w:tcPr>
                  <w:tcW w:w="1443" w:type="pct"/>
                  <w:gridSpan w:val="2"/>
                  <w:vMerge w:val="continue"/>
                  <w:tcBorders>
                    <w:tl2br w:val="nil"/>
                    <w:tr2bl w:val="nil"/>
                  </w:tcBorders>
                  <w:shd w:val="clear" w:color="auto" w:fill="FFFFFF"/>
                  <w:noWrap w:val="0"/>
                  <w:vAlign w:val="center"/>
                </w:tcPr>
                <w:p w14:paraId="482E9AD6">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c>
                <w:tcPr>
                  <w:tcW w:w="908" w:type="pct"/>
                  <w:vMerge w:val="continue"/>
                  <w:tcBorders>
                    <w:tl2br w:val="nil"/>
                    <w:tr2bl w:val="nil"/>
                  </w:tcBorders>
                  <w:shd w:val="clear" w:color="auto" w:fill="FFFFFF"/>
                  <w:noWrap w:val="0"/>
                  <w:vAlign w:val="center"/>
                </w:tcPr>
                <w:p w14:paraId="5C141FFE">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c>
                <w:tcPr>
                  <w:tcW w:w="672" w:type="pct"/>
                  <w:tcBorders>
                    <w:tl2br w:val="nil"/>
                    <w:tr2bl w:val="nil"/>
                  </w:tcBorders>
                  <w:shd w:val="clear" w:color="auto" w:fill="FFFFFF"/>
                  <w:noWrap w:val="0"/>
                  <w:vAlign w:val="center"/>
                </w:tcPr>
                <w:p w14:paraId="24685BE2">
                  <w:pPr>
                    <w:keepNext w:val="0"/>
                    <w:keepLines w:val="0"/>
                    <w:widowControl/>
                    <w:suppressLineNumbers w:val="0"/>
                    <w:jc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4#</w:t>
                  </w:r>
                  <w:r>
                    <w:rPr>
                      <w:rFonts w:hint="default" w:ascii="Times New Roman" w:hAnsi="Times New Roman" w:eastAsia="宋体" w:cs="Times New Roman"/>
                      <w:b w:val="0"/>
                      <w:color w:val="000000"/>
                      <w:kern w:val="0"/>
                      <w:sz w:val="21"/>
                      <w:szCs w:val="21"/>
                      <w:highlight w:val="none"/>
                      <w:lang w:val="en-US" w:eastAsia="zh-CN"/>
                    </w:rPr>
                    <w:t>上库石油石化园上游地下水井井</w:t>
                  </w:r>
                </w:p>
              </w:tc>
              <w:tc>
                <w:tcPr>
                  <w:tcW w:w="702" w:type="pct"/>
                  <w:tcBorders>
                    <w:tl2br w:val="nil"/>
                    <w:tr2bl w:val="nil"/>
                  </w:tcBorders>
                  <w:shd w:val="clear" w:color="auto" w:fill="FFFFFF"/>
                  <w:noWrap w:val="0"/>
                  <w:vAlign w:val="center"/>
                </w:tcPr>
                <w:p w14:paraId="70AB6651">
                  <w:pPr>
                    <w:keepNext w:val="0"/>
                    <w:keepLines w:val="0"/>
                    <w:widowControl/>
                    <w:suppressLineNumbers w:val="0"/>
                    <w:jc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5#</w:t>
                  </w:r>
                  <w:r>
                    <w:rPr>
                      <w:rFonts w:hint="default" w:ascii="Times New Roman" w:hAnsi="Times New Roman" w:eastAsia="宋体" w:cs="Times New Roman"/>
                      <w:b w:val="0"/>
                      <w:color w:val="000000"/>
                      <w:kern w:val="0"/>
                      <w:sz w:val="21"/>
                      <w:szCs w:val="21"/>
                      <w:highlight w:val="none"/>
                      <w:lang w:val="en-US" w:eastAsia="zh-CN"/>
                    </w:rPr>
                    <w:t>上库石油石化园上游地下水井</w:t>
                  </w:r>
                  <w:r>
                    <w:rPr>
                      <w:rFonts w:hint="default" w:ascii="Times New Roman" w:hAnsi="Times New Roman" w:eastAsia="宋体" w:cs="Times New Roman"/>
                      <w:b w:val="0"/>
                      <w:color w:val="000000"/>
                      <w:kern w:val="0"/>
                      <w:sz w:val="21"/>
                      <w:szCs w:val="21"/>
                      <w:highlight w:val="none"/>
                      <w:lang w:val="en-US" w:eastAsia="zh-CN" w:bidi="ar"/>
                    </w:rPr>
                    <w:t>游）</w:t>
                  </w:r>
                </w:p>
              </w:tc>
              <w:tc>
                <w:tcPr>
                  <w:tcW w:w="688" w:type="pct"/>
                  <w:vMerge w:val="continue"/>
                  <w:tcBorders>
                    <w:right w:val="single" w:color="000000" w:sz="4" w:space="0"/>
                    <w:tl2br w:val="nil"/>
                    <w:tr2bl w:val="nil"/>
                  </w:tcBorders>
                  <w:shd w:val="clear" w:color="auto" w:fill="FFFFFF"/>
                  <w:noWrap w:val="0"/>
                  <w:vAlign w:val="center"/>
                </w:tcPr>
                <w:p w14:paraId="6B90CCF8">
                  <w:pPr>
                    <w:keepNext w:val="0"/>
                    <w:keepLines w:val="0"/>
                    <w:widowControl/>
                    <w:suppressLineNumbers w:val="0"/>
                    <w:jc w:val="center"/>
                    <w:textAlignment w:val="center"/>
                    <w:rPr>
                      <w:rFonts w:hint="default" w:ascii="Times New Roman" w:hAnsi="Times New Roman" w:eastAsia="宋体" w:cs="Times New Roman"/>
                      <w:b w:val="0"/>
                      <w:bCs/>
                      <w:i w:val="0"/>
                      <w:iCs w:val="0"/>
                      <w:snapToGrid w:val="0"/>
                      <w:color w:val="000000"/>
                      <w:kern w:val="0"/>
                      <w:sz w:val="21"/>
                      <w:szCs w:val="21"/>
                      <w:highlight w:val="none"/>
                      <w:u w:val="none"/>
                      <w:lang w:val="en-US" w:eastAsia="zh-CN" w:bidi="ar"/>
                    </w:rPr>
                  </w:pPr>
                </w:p>
              </w:tc>
            </w:tr>
            <w:tr w14:paraId="07E6A1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235B0E1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w:t>
                  </w:r>
                </w:p>
              </w:tc>
              <w:tc>
                <w:tcPr>
                  <w:tcW w:w="1443" w:type="pct"/>
                  <w:gridSpan w:val="2"/>
                  <w:tcBorders>
                    <w:tl2br w:val="nil"/>
                    <w:tr2bl w:val="nil"/>
                  </w:tcBorders>
                  <w:shd w:val="clear" w:color="auto" w:fill="FFFFFF"/>
                  <w:noWrap w:val="0"/>
                  <w:vAlign w:val="center"/>
                </w:tcPr>
                <w:p w14:paraId="3FF682B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pH值</w:t>
                  </w:r>
                </w:p>
              </w:tc>
              <w:tc>
                <w:tcPr>
                  <w:tcW w:w="908" w:type="pct"/>
                  <w:tcBorders>
                    <w:tl2br w:val="nil"/>
                    <w:tr2bl w:val="nil"/>
                  </w:tcBorders>
                  <w:shd w:val="clear" w:color="auto" w:fill="FFFFFF"/>
                  <w:noWrap w:val="0"/>
                  <w:vAlign w:val="center"/>
                </w:tcPr>
                <w:p w14:paraId="6778747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无量纲</w:t>
                  </w:r>
                </w:p>
              </w:tc>
              <w:tc>
                <w:tcPr>
                  <w:tcW w:w="672" w:type="pct"/>
                  <w:tcBorders>
                    <w:tl2br w:val="nil"/>
                    <w:tr2bl w:val="nil"/>
                  </w:tcBorders>
                  <w:shd w:val="clear" w:color="auto" w:fill="FFFFFF"/>
                  <w:noWrap w:val="0"/>
                  <w:vAlign w:val="center"/>
                </w:tcPr>
                <w:p w14:paraId="0133D73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0.5</w:t>
                  </w:r>
                </w:p>
              </w:tc>
              <w:tc>
                <w:tcPr>
                  <w:tcW w:w="702" w:type="pct"/>
                  <w:tcBorders>
                    <w:tl2br w:val="nil"/>
                    <w:tr2bl w:val="nil"/>
                  </w:tcBorders>
                  <w:shd w:val="clear" w:color="auto" w:fill="FFFFFF"/>
                  <w:noWrap w:val="0"/>
                  <w:vAlign w:val="center"/>
                </w:tcPr>
                <w:p w14:paraId="658CFB83">
                  <w:pPr>
                    <w:keepNext w:val="0"/>
                    <w:keepLines w:val="0"/>
                    <w:widowControl/>
                    <w:suppressLineNumbers w:val="0"/>
                    <w:ind w:firstLine="210" w:firstLineChars="10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0.7</w:t>
                  </w:r>
                </w:p>
              </w:tc>
              <w:tc>
                <w:tcPr>
                  <w:tcW w:w="688" w:type="pct"/>
                  <w:tcBorders>
                    <w:right w:val="single" w:color="000000" w:sz="4" w:space="0"/>
                    <w:tl2br w:val="nil"/>
                    <w:tr2bl w:val="nil"/>
                  </w:tcBorders>
                  <w:shd w:val="clear" w:color="auto" w:fill="FFFFFF"/>
                  <w:noWrap w:val="0"/>
                  <w:vAlign w:val="center"/>
                </w:tcPr>
                <w:p w14:paraId="15FD6CC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6.5～8.5</w:t>
                  </w:r>
                </w:p>
              </w:tc>
            </w:tr>
            <w:tr w14:paraId="1FD5BB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66A7643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w:t>
                  </w:r>
                </w:p>
              </w:tc>
              <w:tc>
                <w:tcPr>
                  <w:tcW w:w="1443" w:type="pct"/>
                  <w:gridSpan w:val="2"/>
                  <w:tcBorders>
                    <w:tl2br w:val="nil"/>
                    <w:tr2bl w:val="nil"/>
                  </w:tcBorders>
                  <w:shd w:val="clear" w:color="auto" w:fill="FFFFFF"/>
                  <w:noWrap w:val="0"/>
                  <w:vAlign w:val="center"/>
                </w:tcPr>
                <w:p w14:paraId="6377B44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总硬度</w:t>
                  </w:r>
                </w:p>
              </w:tc>
              <w:tc>
                <w:tcPr>
                  <w:tcW w:w="908" w:type="pct"/>
                  <w:tcBorders>
                    <w:tl2br w:val="nil"/>
                    <w:tr2bl w:val="nil"/>
                  </w:tcBorders>
                  <w:shd w:val="clear" w:color="auto" w:fill="FFFFFF"/>
                  <w:noWrap w:val="0"/>
                  <w:vAlign w:val="center"/>
                </w:tcPr>
                <w:p w14:paraId="0F89C3D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1AEE47B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Times New Roman" w:hAnsi="Times New Roman" w:eastAsia="宋体" w:cs="Times New Roman"/>
                      <w:b w:val="0"/>
                      <w:i w:val="0"/>
                      <w:iCs w:val="0"/>
                      <w:color w:val="000000"/>
                      <w:kern w:val="0"/>
                      <w:sz w:val="21"/>
                      <w:szCs w:val="21"/>
                      <w:highlight w:val="none"/>
                      <w:u w:val="none"/>
                      <w:lang w:val="en-US" w:eastAsia="zh-CN" w:bidi="ar"/>
                    </w:rPr>
                    <w:t>1.5</w:t>
                  </w:r>
                </w:p>
              </w:tc>
              <w:tc>
                <w:tcPr>
                  <w:tcW w:w="702" w:type="pct"/>
                  <w:tcBorders>
                    <w:tl2br w:val="nil"/>
                    <w:tr2bl w:val="nil"/>
                  </w:tcBorders>
                  <w:shd w:val="clear" w:color="auto" w:fill="FFFFFF"/>
                  <w:noWrap w:val="0"/>
                  <w:vAlign w:val="center"/>
                </w:tcPr>
                <w:p w14:paraId="3F036A3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Times New Roman" w:hAnsi="Times New Roman" w:eastAsia="宋体" w:cs="Times New Roman"/>
                      <w:b w:val="0"/>
                      <w:i w:val="0"/>
                      <w:iCs w:val="0"/>
                      <w:color w:val="000000"/>
                      <w:kern w:val="0"/>
                      <w:sz w:val="21"/>
                      <w:szCs w:val="21"/>
                      <w:highlight w:val="none"/>
                      <w:u w:val="none"/>
                      <w:lang w:val="en-US" w:eastAsia="zh-CN" w:bidi="ar"/>
                    </w:rPr>
                    <w:t>2.4</w:t>
                  </w:r>
                </w:p>
              </w:tc>
              <w:tc>
                <w:tcPr>
                  <w:tcW w:w="688" w:type="pct"/>
                  <w:tcBorders>
                    <w:right w:val="single" w:color="000000" w:sz="4" w:space="0"/>
                    <w:tl2br w:val="nil"/>
                    <w:tr2bl w:val="nil"/>
                  </w:tcBorders>
                  <w:shd w:val="clear" w:color="auto" w:fill="FFFFFF"/>
                  <w:noWrap w:val="0"/>
                  <w:vAlign w:val="center"/>
                </w:tcPr>
                <w:p w14:paraId="1479367B">
                  <w:pPr>
                    <w:keepNext w:val="0"/>
                    <w:keepLines w:val="0"/>
                    <w:widowControl/>
                    <w:suppressLineNumbers w:val="0"/>
                    <w:jc w:val="both"/>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450</w:t>
                  </w:r>
                </w:p>
              </w:tc>
            </w:tr>
            <w:tr w14:paraId="5ABE6F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08461C5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w:t>
                  </w:r>
                </w:p>
              </w:tc>
              <w:tc>
                <w:tcPr>
                  <w:tcW w:w="1443" w:type="pct"/>
                  <w:gridSpan w:val="2"/>
                  <w:tcBorders>
                    <w:tl2br w:val="nil"/>
                    <w:tr2bl w:val="nil"/>
                  </w:tcBorders>
                  <w:shd w:val="clear" w:color="auto" w:fill="FFFFFF"/>
                  <w:noWrap w:val="0"/>
                  <w:vAlign w:val="center"/>
                </w:tcPr>
                <w:p w14:paraId="68569E5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溶解性总固体</w:t>
                  </w:r>
                </w:p>
              </w:tc>
              <w:tc>
                <w:tcPr>
                  <w:tcW w:w="908" w:type="pct"/>
                  <w:tcBorders>
                    <w:tl2br w:val="nil"/>
                    <w:tr2bl w:val="nil"/>
                  </w:tcBorders>
                  <w:shd w:val="clear" w:color="auto" w:fill="FFFFFF"/>
                  <w:noWrap w:val="0"/>
                  <w:vAlign w:val="center"/>
                </w:tcPr>
                <w:p w14:paraId="077E0C5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0A1BB97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1</w:t>
                  </w:r>
                  <w:r>
                    <w:rPr>
                      <w:rFonts w:hint="eastAsia" w:ascii="Times New Roman" w:hAnsi="Times New Roman" w:eastAsia="宋体" w:cs="Times New Roman"/>
                      <w:b w:val="0"/>
                      <w:i w:val="0"/>
                      <w:iCs w:val="0"/>
                      <w:color w:val="000000"/>
                      <w:kern w:val="0"/>
                      <w:sz w:val="21"/>
                      <w:szCs w:val="21"/>
                      <w:highlight w:val="none"/>
                      <w:u w:val="none"/>
                      <w:lang w:val="en-US" w:eastAsia="zh-CN" w:bidi="ar"/>
                    </w:rPr>
                    <w:t>.</w:t>
                  </w:r>
                  <w:r>
                    <w:rPr>
                      <w:rFonts w:hint="default" w:ascii="Times New Roman" w:hAnsi="Times New Roman" w:eastAsia="宋体" w:cs="Times New Roman"/>
                      <w:b w:val="0"/>
                      <w:i w:val="0"/>
                      <w:iCs w:val="0"/>
                      <w:color w:val="000000"/>
                      <w:kern w:val="0"/>
                      <w:sz w:val="21"/>
                      <w:szCs w:val="21"/>
                      <w:highlight w:val="none"/>
                      <w:u w:val="none"/>
                      <w:lang w:val="en-US" w:eastAsia="zh-CN" w:bidi="ar"/>
                    </w:rPr>
                    <w:t>1</w:t>
                  </w:r>
                  <w:r>
                    <w:rPr>
                      <w:rFonts w:hint="eastAsia" w:ascii="Times New Roman" w:hAnsi="Times New Roman" w:eastAsia="宋体" w:cs="Times New Roman"/>
                      <w:b w:val="0"/>
                      <w:i w:val="0"/>
                      <w:iCs w:val="0"/>
                      <w:color w:val="000000"/>
                      <w:kern w:val="0"/>
                      <w:sz w:val="21"/>
                      <w:szCs w:val="21"/>
                      <w:highlight w:val="none"/>
                      <w:u w:val="none"/>
                      <w:lang w:val="en-US" w:eastAsia="zh-CN" w:bidi="ar"/>
                    </w:rPr>
                    <w:t>7</w:t>
                  </w:r>
                </w:p>
              </w:tc>
              <w:tc>
                <w:tcPr>
                  <w:tcW w:w="702" w:type="pct"/>
                  <w:tcBorders>
                    <w:tl2br w:val="nil"/>
                    <w:tr2bl w:val="nil"/>
                  </w:tcBorders>
                  <w:shd w:val="clear" w:color="auto" w:fill="FFFFFF"/>
                  <w:noWrap w:val="0"/>
                  <w:vAlign w:val="center"/>
                </w:tcPr>
                <w:p w14:paraId="11AB5A8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2</w:t>
                  </w:r>
                  <w:r>
                    <w:rPr>
                      <w:rFonts w:hint="eastAsia" w:ascii="Times New Roman" w:hAnsi="Times New Roman" w:eastAsia="宋体" w:cs="Times New Roman"/>
                      <w:b w:val="0"/>
                      <w:i w:val="0"/>
                      <w:iCs w:val="0"/>
                      <w:color w:val="000000"/>
                      <w:kern w:val="0"/>
                      <w:sz w:val="21"/>
                      <w:szCs w:val="21"/>
                      <w:highlight w:val="none"/>
                      <w:u w:val="none"/>
                      <w:lang w:val="en-US" w:eastAsia="zh-CN" w:bidi="ar"/>
                    </w:rPr>
                    <w:t>.</w:t>
                  </w:r>
                  <w:r>
                    <w:rPr>
                      <w:rFonts w:hint="default" w:ascii="Times New Roman" w:hAnsi="Times New Roman" w:eastAsia="宋体" w:cs="Times New Roman"/>
                      <w:b w:val="0"/>
                      <w:i w:val="0"/>
                      <w:iCs w:val="0"/>
                      <w:color w:val="000000"/>
                      <w:kern w:val="0"/>
                      <w:sz w:val="21"/>
                      <w:szCs w:val="21"/>
                      <w:highlight w:val="none"/>
                      <w:u w:val="none"/>
                      <w:lang w:val="en-US" w:eastAsia="zh-CN" w:bidi="ar"/>
                    </w:rPr>
                    <w:t>25</w:t>
                  </w:r>
                </w:p>
              </w:tc>
              <w:tc>
                <w:tcPr>
                  <w:tcW w:w="688" w:type="pct"/>
                  <w:tcBorders>
                    <w:right w:val="single" w:color="000000" w:sz="4" w:space="0"/>
                    <w:tl2br w:val="nil"/>
                    <w:tr2bl w:val="nil"/>
                  </w:tcBorders>
                  <w:shd w:val="clear" w:color="auto" w:fill="FFFFFF"/>
                  <w:noWrap w:val="0"/>
                  <w:vAlign w:val="center"/>
                </w:tcPr>
                <w:p w14:paraId="4627ABD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1000</w:t>
                  </w:r>
                </w:p>
              </w:tc>
            </w:tr>
            <w:tr w14:paraId="4016EB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0E8AAFAD">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4</w:t>
                  </w:r>
                </w:p>
              </w:tc>
              <w:tc>
                <w:tcPr>
                  <w:tcW w:w="1443" w:type="pct"/>
                  <w:gridSpan w:val="2"/>
                  <w:tcBorders>
                    <w:tl2br w:val="nil"/>
                    <w:tr2bl w:val="nil"/>
                  </w:tcBorders>
                  <w:shd w:val="clear" w:color="auto" w:fill="FFFFFF"/>
                  <w:noWrap w:val="0"/>
                  <w:vAlign w:val="center"/>
                </w:tcPr>
                <w:p w14:paraId="194352E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spacing w:val="-11"/>
                      <w:kern w:val="0"/>
                      <w:sz w:val="21"/>
                      <w:szCs w:val="21"/>
                      <w:highlight w:val="none"/>
                      <w:u w:val="none"/>
                      <w:lang w:val="en-US" w:eastAsia="zh-CN" w:bidi="ar"/>
                    </w:rPr>
                    <w:t>高锰酸盐指数（耗氧量）</w:t>
                  </w:r>
                </w:p>
              </w:tc>
              <w:tc>
                <w:tcPr>
                  <w:tcW w:w="908" w:type="pct"/>
                  <w:tcBorders>
                    <w:tl2br w:val="nil"/>
                    <w:tr2bl w:val="nil"/>
                  </w:tcBorders>
                  <w:shd w:val="clear" w:color="auto" w:fill="FFFFFF"/>
                  <w:noWrap w:val="0"/>
                  <w:vAlign w:val="center"/>
                </w:tcPr>
                <w:p w14:paraId="7279D38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35CC84D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0.3</w:t>
                  </w:r>
                </w:p>
              </w:tc>
              <w:tc>
                <w:tcPr>
                  <w:tcW w:w="702" w:type="pct"/>
                  <w:tcBorders>
                    <w:tl2br w:val="nil"/>
                    <w:tr2bl w:val="nil"/>
                  </w:tcBorders>
                  <w:shd w:val="clear" w:color="auto" w:fill="FFFFFF"/>
                  <w:noWrap w:val="0"/>
                  <w:vAlign w:val="center"/>
                </w:tcPr>
                <w:p w14:paraId="3EE809E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0.4</w:t>
                  </w:r>
                </w:p>
              </w:tc>
              <w:tc>
                <w:tcPr>
                  <w:tcW w:w="688" w:type="pct"/>
                  <w:tcBorders>
                    <w:right w:val="single" w:color="000000" w:sz="4" w:space="0"/>
                    <w:tl2br w:val="nil"/>
                    <w:tr2bl w:val="nil"/>
                  </w:tcBorders>
                  <w:shd w:val="clear" w:color="auto" w:fill="FFFFFF"/>
                  <w:noWrap w:val="0"/>
                  <w:vAlign w:val="center"/>
                </w:tcPr>
                <w:p w14:paraId="2EDBD9D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3.0</w:t>
                  </w:r>
                </w:p>
              </w:tc>
            </w:tr>
            <w:tr w14:paraId="2789F0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56649900">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5</w:t>
                  </w:r>
                </w:p>
              </w:tc>
              <w:tc>
                <w:tcPr>
                  <w:tcW w:w="1443" w:type="pct"/>
                  <w:gridSpan w:val="2"/>
                  <w:tcBorders>
                    <w:tl2br w:val="nil"/>
                    <w:tr2bl w:val="nil"/>
                  </w:tcBorders>
                  <w:shd w:val="clear" w:color="auto" w:fill="FFFFFF"/>
                  <w:noWrap w:val="0"/>
                  <w:vAlign w:val="center"/>
                </w:tcPr>
                <w:p w14:paraId="6A52D03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总大肠菌群</w:t>
                  </w:r>
                </w:p>
              </w:tc>
              <w:tc>
                <w:tcPr>
                  <w:tcW w:w="908" w:type="pct"/>
                  <w:tcBorders>
                    <w:tl2br w:val="nil"/>
                    <w:tr2bl w:val="nil"/>
                  </w:tcBorders>
                  <w:shd w:val="clear" w:color="auto" w:fill="FFFFFF"/>
                  <w:noWrap w:val="0"/>
                  <w:vAlign w:val="center"/>
                </w:tcPr>
                <w:p w14:paraId="5137E4B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MPN/100mL</w:t>
                  </w:r>
                </w:p>
              </w:tc>
              <w:tc>
                <w:tcPr>
                  <w:tcW w:w="672" w:type="pct"/>
                  <w:tcBorders>
                    <w:tl2br w:val="nil"/>
                    <w:tr2bl w:val="nil"/>
                  </w:tcBorders>
                  <w:shd w:val="clear" w:color="auto" w:fill="FFFFFF"/>
                  <w:noWrap w:val="0"/>
                  <w:vAlign w:val="center"/>
                </w:tcPr>
                <w:p w14:paraId="40F559C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686E491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tcBorders>
                    <w:right w:val="single" w:color="000000" w:sz="4" w:space="0"/>
                    <w:tl2br w:val="nil"/>
                    <w:tr2bl w:val="nil"/>
                  </w:tcBorders>
                  <w:shd w:val="clear" w:color="auto" w:fill="FFFFFF"/>
                  <w:noWrap w:val="0"/>
                  <w:vAlign w:val="center"/>
                </w:tcPr>
                <w:p w14:paraId="1221F60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w:t>
                  </w:r>
                </w:p>
              </w:tc>
            </w:tr>
            <w:tr w14:paraId="79CC1A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6EC30D47">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6</w:t>
                  </w:r>
                </w:p>
              </w:tc>
              <w:tc>
                <w:tcPr>
                  <w:tcW w:w="1443" w:type="pct"/>
                  <w:gridSpan w:val="2"/>
                  <w:tcBorders>
                    <w:tl2br w:val="nil"/>
                    <w:tr2bl w:val="nil"/>
                  </w:tcBorders>
                  <w:shd w:val="clear" w:color="auto" w:fill="FFFFFF"/>
                  <w:noWrap w:val="0"/>
                  <w:vAlign w:val="center"/>
                </w:tcPr>
                <w:p w14:paraId="0EB5C1E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氯化物（Cl</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908" w:type="pct"/>
                  <w:tcBorders>
                    <w:tl2br w:val="nil"/>
                    <w:tr2bl w:val="nil"/>
                  </w:tcBorders>
                  <w:shd w:val="clear" w:color="auto" w:fill="FFFFFF"/>
                  <w:noWrap w:val="0"/>
                  <w:vAlign w:val="center"/>
                </w:tcPr>
                <w:p w14:paraId="13B8F3C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7F6A443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1.36</w:t>
                  </w:r>
                </w:p>
              </w:tc>
              <w:tc>
                <w:tcPr>
                  <w:tcW w:w="702" w:type="pct"/>
                  <w:tcBorders>
                    <w:tl2br w:val="nil"/>
                    <w:tr2bl w:val="nil"/>
                  </w:tcBorders>
                  <w:shd w:val="clear" w:color="auto" w:fill="FFFFFF"/>
                  <w:noWrap w:val="0"/>
                  <w:vAlign w:val="center"/>
                </w:tcPr>
                <w:p w14:paraId="60DC3DD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2.752</w:t>
                  </w:r>
                </w:p>
              </w:tc>
              <w:tc>
                <w:tcPr>
                  <w:tcW w:w="688" w:type="pct"/>
                  <w:tcBorders>
                    <w:right w:val="single" w:color="000000" w:sz="4" w:space="0"/>
                    <w:tl2br w:val="nil"/>
                    <w:tr2bl w:val="nil"/>
                  </w:tcBorders>
                  <w:shd w:val="clear" w:color="auto" w:fill="FFFFFF"/>
                  <w:noWrap w:val="0"/>
                  <w:vAlign w:val="center"/>
                </w:tcPr>
                <w:p w14:paraId="47DCBB6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250</w:t>
                  </w:r>
                </w:p>
              </w:tc>
            </w:tr>
            <w:tr w14:paraId="031798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549DFFA9">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7</w:t>
                  </w:r>
                </w:p>
              </w:tc>
              <w:tc>
                <w:tcPr>
                  <w:tcW w:w="1443" w:type="pct"/>
                  <w:gridSpan w:val="2"/>
                  <w:tcBorders>
                    <w:tl2br w:val="nil"/>
                    <w:tr2bl w:val="nil"/>
                  </w:tcBorders>
                  <w:shd w:val="clear" w:color="auto" w:fill="FFFFFF"/>
                  <w:noWrap w:val="0"/>
                  <w:vAlign w:val="center"/>
                </w:tcPr>
                <w:p w14:paraId="33208BC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硫酸盐（SO</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4</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2-</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908" w:type="pct"/>
                  <w:tcBorders>
                    <w:tl2br w:val="nil"/>
                    <w:tr2bl w:val="nil"/>
                  </w:tcBorders>
                  <w:shd w:val="clear" w:color="auto" w:fill="FFFFFF"/>
                  <w:noWrap w:val="0"/>
                  <w:vAlign w:val="center"/>
                </w:tcPr>
                <w:p w14:paraId="1A22EA3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6E08AC1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1.944</w:t>
                  </w:r>
                </w:p>
              </w:tc>
              <w:tc>
                <w:tcPr>
                  <w:tcW w:w="702" w:type="pct"/>
                  <w:tcBorders>
                    <w:tl2br w:val="nil"/>
                    <w:tr2bl w:val="nil"/>
                  </w:tcBorders>
                  <w:shd w:val="clear" w:color="auto" w:fill="FFFFFF"/>
                  <w:noWrap w:val="0"/>
                  <w:vAlign w:val="center"/>
                </w:tcPr>
                <w:p w14:paraId="24CCDDD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3.704</w:t>
                  </w:r>
                </w:p>
              </w:tc>
              <w:tc>
                <w:tcPr>
                  <w:tcW w:w="688" w:type="pct"/>
                  <w:tcBorders>
                    <w:right w:val="single" w:color="000000" w:sz="4" w:space="0"/>
                    <w:tl2br w:val="nil"/>
                    <w:tr2bl w:val="nil"/>
                  </w:tcBorders>
                  <w:shd w:val="clear" w:color="auto" w:fill="FFFFFF"/>
                  <w:noWrap w:val="0"/>
                  <w:vAlign w:val="center"/>
                </w:tcPr>
                <w:p w14:paraId="2B2B182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250</w:t>
                  </w:r>
                </w:p>
              </w:tc>
            </w:tr>
            <w:tr w14:paraId="673D1C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32D8041F">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8</w:t>
                  </w:r>
                </w:p>
              </w:tc>
              <w:tc>
                <w:tcPr>
                  <w:tcW w:w="1443" w:type="pct"/>
                  <w:gridSpan w:val="2"/>
                  <w:tcBorders>
                    <w:tl2br w:val="nil"/>
                    <w:tr2bl w:val="nil"/>
                  </w:tcBorders>
                  <w:shd w:val="clear" w:color="auto" w:fill="FFFFFF"/>
                  <w:noWrap w:val="0"/>
                  <w:vAlign w:val="center"/>
                </w:tcPr>
                <w:p w14:paraId="7461FA9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硝酸盐氮</w:t>
                  </w:r>
                </w:p>
              </w:tc>
              <w:tc>
                <w:tcPr>
                  <w:tcW w:w="908" w:type="pct"/>
                  <w:tcBorders>
                    <w:tl2br w:val="nil"/>
                    <w:tr2bl w:val="nil"/>
                  </w:tcBorders>
                  <w:shd w:val="clear" w:color="auto" w:fill="FFFFFF"/>
                  <w:noWrap w:val="0"/>
                  <w:vAlign w:val="center"/>
                </w:tcPr>
                <w:p w14:paraId="0B3459C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131F03E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0.122</w:t>
                  </w:r>
                </w:p>
              </w:tc>
              <w:tc>
                <w:tcPr>
                  <w:tcW w:w="702" w:type="pct"/>
                  <w:tcBorders>
                    <w:tl2br w:val="nil"/>
                    <w:tr2bl w:val="nil"/>
                  </w:tcBorders>
                  <w:shd w:val="clear" w:color="auto" w:fill="FFFFFF"/>
                  <w:noWrap w:val="0"/>
                  <w:vAlign w:val="center"/>
                </w:tcPr>
                <w:p w14:paraId="598F9CE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0.3885</w:t>
                  </w:r>
                </w:p>
              </w:tc>
              <w:tc>
                <w:tcPr>
                  <w:tcW w:w="688" w:type="pct"/>
                  <w:tcBorders>
                    <w:right w:val="single" w:color="000000" w:sz="4" w:space="0"/>
                    <w:tl2br w:val="nil"/>
                    <w:tr2bl w:val="nil"/>
                  </w:tcBorders>
                  <w:shd w:val="clear" w:color="auto" w:fill="FFFFFF"/>
                  <w:noWrap w:val="0"/>
                  <w:vAlign w:val="center"/>
                </w:tcPr>
                <w:p w14:paraId="5866096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20</w:t>
                  </w:r>
                </w:p>
              </w:tc>
            </w:tr>
            <w:tr w14:paraId="4C02D8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5EF903B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9</w:t>
                  </w:r>
                </w:p>
              </w:tc>
              <w:tc>
                <w:tcPr>
                  <w:tcW w:w="1443" w:type="pct"/>
                  <w:gridSpan w:val="2"/>
                  <w:tcBorders>
                    <w:tl2br w:val="nil"/>
                    <w:tr2bl w:val="nil"/>
                  </w:tcBorders>
                  <w:shd w:val="clear" w:color="auto" w:fill="FFFFFF"/>
                  <w:noWrap w:val="0"/>
                  <w:vAlign w:val="center"/>
                </w:tcPr>
                <w:p w14:paraId="698BD7B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亚硝酸盐氮</w:t>
                  </w:r>
                </w:p>
              </w:tc>
              <w:tc>
                <w:tcPr>
                  <w:tcW w:w="908" w:type="pct"/>
                  <w:tcBorders>
                    <w:tl2br w:val="nil"/>
                    <w:tr2bl w:val="nil"/>
                  </w:tcBorders>
                  <w:shd w:val="clear" w:color="auto" w:fill="FFFFFF"/>
                  <w:noWrap w:val="0"/>
                  <w:vAlign w:val="center"/>
                </w:tcPr>
                <w:p w14:paraId="4525C87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12B26D4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0.005</w:t>
                  </w:r>
                </w:p>
              </w:tc>
              <w:tc>
                <w:tcPr>
                  <w:tcW w:w="702" w:type="pct"/>
                  <w:tcBorders>
                    <w:tl2br w:val="nil"/>
                    <w:tr2bl w:val="nil"/>
                  </w:tcBorders>
                  <w:shd w:val="clear" w:color="auto" w:fill="FFFFFF"/>
                  <w:noWrap w:val="0"/>
                  <w:vAlign w:val="center"/>
                </w:tcPr>
                <w:p w14:paraId="4719A05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tcBorders>
                    <w:right w:val="single" w:color="000000" w:sz="4" w:space="0"/>
                    <w:tl2br w:val="nil"/>
                    <w:tr2bl w:val="nil"/>
                  </w:tcBorders>
                  <w:shd w:val="clear" w:color="auto" w:fill="FFFFFF"/>
                  <w:noWrap w:val="0"/>
                  <w:vAlign w:val="center"/>
                </w:tcPr>
                <w:p w14:paraId="71555D6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4DAC3C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6DA382A4">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c>
                <w:tcPr>
                  <w:tcW w:w="1443" w:type="pct"/>
                  <w:gridSpan w:val="2"/>
                  <w:tcBorders>
                    <w:tl2br w:val="nil"/>
                    <w:tr2bl w:val="nil"/>
                  </w:tcBorders>
                  <w:shd w:val="clear" w:color="auto" w:fill="FFFFFF"/>
                  <w:noWrap w:val="0"/>
                  <w:vAlign w:val="center"/>
                </w:tcPr>
                <w:p w14:paraId="3678024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氟化物</w:t>
                  </w:r>
                </w:p>
              </w:tc>
              <w:tc>
                <w:tcPr>
                  <w:tcW w:w="908" w:type="pct"/>
                  <w:tcBorders>
                    <w:tl2br w:val="nil"/>
                    <w:tr2bl w:val="nil"/>
                  </w:tcBorders>
                  <w:shd w:val="clear" w:color="auto" w:fill="FFFFFF"/>
                  <w:noWrap w:val="0"/>
                  <w:vAlign w:val="center"/>
                </w:tcPr>
                <w:p w14:paraId="36A1E4E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1BAACFD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0.45</w:t>
                  </w:r>
                </w:p>
              </w:tc>
              <w:tc>
                <w:tcPr>
                  <w:tcW w:w="702" w:type="pct"/>
                  <w:tcBorders>
                    <w:tl2br w:val="nil"/>
                    <w:tr2bl w:val="nil"/>
                  </w:tcBorders>
                  <w:shd w:val="clear" w:color="auto" w:fill="FFFFFF"/>
                  <w:noWrap w:val="0"/>
                  <w:vAlign w:val="center"/>
                </w:tcPr>
                <w:p w14:paraId="1FD974A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0.28</w:t>
                  </w:r>
                </w:p>
              </w:tc>
              <w:tc>
                <w:tcPr>
                  <w:tcW w:w="688" w:type="pct"/>
                  <w:tcBorders>
                    <w:right w:val="single" w:color="000000" w:sz="4" w:space="0"/>
                    <w:tl2br w:val="nil"/>
                    <w:tr2bl w:val="nil"/>
                  </w:tcBorders>
                  <w:shd w:val="clear" w:color="auto" w:fill="FFFFFF"/>
                  <w:noWrap w:val="0"/>
                  <w:vAlign w:val="center"/>
                </w:tcPr>
                <w:p w14:paraId="459F619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792C1C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4BED7155">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11</w:t>
                  </w:r>
                </w:p>
              </w:tc>
              <w:tc>
                <w:tcPr>
                  <w:tcW w:w="1443" w:type="pct"/>
                  <w:gridSpan w:val="2"/>
                  <w:tcBorders>
                    <w:tl2br w:val="nil"/>
                    <w:tr2bl w:val="nil"/>
                  </w:tcBorders>
                  <w:shd w:val="clear" w:color="auto" w:fill="FFFFFF"/>
                  <w:noWrap w:val="0"/>
                  <w:vAlign w:val="center"/>
                </w:tcPr>
                <w:p w14:paraId="50EE65E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氨氮</w:t>
                  </w:r>
                </w:p>
              </w:tc>
              <w:tc>
                <w:tcPr>
                  <w:tcW w:w="908" w:type="pct"/>
                  <w:tcBorders>
                    <w:tl2br w:val="nil"/>
                    <w:tr2bl w:val="nil"/>
                  </w:tcBorders>
                  <w:shd w:val="clear" w:color="auto" w:fill="FFFFFF"/>
                  <w:noWrap w:val="0"/>
                  <w:vAlign w:val="center"/>
                </w:tcPr>
                <w:p w14:paraId="28F72EC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290C7C0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w:t>
                  </w:r>
                  <w:r>
                    <w:rPr>
                      <w:rFonts w:hint="eastAsia" w:ascii="Times New Roman" w:hAnsi="Times New Roman" w:eastAsia="宋体" w:cs="Times New Roman"/>
                      <w:b w:val="0"/>
                      <w:i w:val="0"/>
                      <w:iCs w:val="0"/>
                      <w:color w:val="000000"/>
                      <w:kern w:val="0"/>
                      <w:sz w:val="21"/>
                      <w:szCs w:val="21"/>
                      <w:highlight w:val="none"/>
                      <w:u w:val="none"/>
                      <w:lang w:val="en-US" w:eastAsia="zh-CN" w:bidi="ar"/>
                    </w:rPr>
                    <w:t>64</w:t>
                  </w:r>
                </w:p>
              </w:tc>
              <w:tc>
                <w:tcPr>
                  <w:tcW w:w="702" w:type="pct"/>
                  <w:tcBorders>
                    <w:tl2br w:val="nil"/>
                    <w:tr2bl w:val="nil"/>
                  </w:tcBorders>
                  <w:shd w:val="clear" w:color="auto" w:fill="FFFFFF"/>
                  <w:noWrap w:val="0"/>
                  <w:vAlign w:val="center"/>
                </w:tcPr>
                <w:p w14:paraId="0F5A20B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w:t>
                  </w:r>
                  <w:r>
                    <w:rPr>
                      <w:rFonts w:hint="eastAsia" w:ascii="Times New Roman" w:hAnsi="Times New Roman" w:eastAsia="宋体" w:cs="Times New Roman"/>
                      <w:b w:val="0"/>
                      <w:i w:val="0"/>
                      <w:iCs w:val="0"/>
                      <w:color w:val="000000"/>
                      <w:kern w:val="0"/>
                      <w:sz w:val="21"/>
                      <w:szCs w:val="21"/>
                      <w:highlight w:val="none"/>
                      <w:u w:val="none"/>
                      <w:lang w:val="en-US" w:eastAsia="zh-CN" w:bidi="ar"/>
                    </w:rPr>
                    <w:t>0.28</w:t>
                  </w:r>
                </w:p>
              </w:tc>
              <w:tc>
                <w:tcPr>
                  <w:tcW w:w="688" w:type="pct"/>
                  <w:tcBorders>
                    <w:right w:val="single" w:color="000000" w:sz="4" w:space="0"/>
                    <w:tl2br w:val="nil"/>
                    <w:tr2bl w:val="nil"/>
                  </w:tcBorders>
                  <w:shd w:val="clear" w:color="auto" w:fill="FFFFFF"/>
                  <w:noWrap w:val="0"/>
                  <w:vAlign w:val="center"/>
                </w:tcPr>
                <w:p w14:paraId="43BC77D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0.5</w:t>
                  </w:r>
                </w:p>
              </w:tc>
            </w:tr>
            <w:tr w14:paraId="550D64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13D8EA44">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12</w:t>
                  </w:r>
                </w:p>
              </w:tc>
              <w:tc>
                <w:tcPr>
                  <w:tcW w:w="1443" w:type="pct"/>
                  <w:gridSpan w:val="2"/>
                  <w:tcBorders>
                    <w:tl2br w:val="nil"/>
                    <w:tr2bl w:val="nil"/>
                  </w:tcBorders>
                  <w:shd w:val="clear" w:color="auto" w:fill="FFFFFF"/>
                  <w:noWrap w:val="0"/>
                  <w:vAlign w:val="center"/>
                </w:tcPr>
                <w:p w14:paraId="439D565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硫化物</w:t>
                  </w:r>
                </w:p>
              </w:tc>
              <w:tc>
                <w:tcPr>
                  <w:tcW w:w="908" w:type="pct"/>
                  <w:tcBorders>
                    <w:tl2br w:val="nil"/>
                    <w:tr2bl w:val="nil"/>
                  </w:tcBorders>
                  <w:shd w:val="clear" w:color="auto" w:fill="FFFFFF"/>
                  <w:noWrap w:val="0"/>
                  <w:vAlign w:val="center"/>
                </w:tcPr>
                <w:p w14:paraId="62D1B00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688C870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7304131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tcBorders>
                    <w:right w:val="single" w:color="000000" w:sz="4" w:space="0"/>
                    <w:tl2br w:val="nil"/>
                    <w:tr2bl w:val="nil"/>
                  </w:tcBorders>
                  <w:shd w:val="clear" w:color="auto" w:fill="FFFFFF"/>
                  <w:noWrap w:val="0"/>
                  <w:vAlign w:val="center"/>
                </w:tcPr>
                <w:p w14:paraId="1D1EF5C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0.02</w:t>
                  </w:r>
                </w:p>
              </w:tc>
            </w:tr>
            <w:tr w14:paraId="6677C7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7F857582">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13</w:t>
                  </w:r>
                </w:p>
              </w:tc>
              <w:tc>
                <w:tcPr>
                  <w:tcW w:w="1443" w:type="pct"/>
                  <w:gridSpan w:val="2"/>
                  <w:tcBorders>
                    <w:tl2br w:val="nil"/>
                    <w:tr2bl w:val="nil"/>
                  </w:tcBorders>
                  <w:shd w:val="clear" w:color="auto" w:fill="FFFFFF"/>
                  <w:noWrap w:val="0"/>
                  <w:vAlign w:val="center"/>
                </w:tcPr>
                <w:p w14:paraId="5C24E43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阴离子表面活性剂</w:t>
                  </w:r>
                </w:p>
              </w:tc>
              <w:tc>
                <w:tcPr>
                  <w:tcW w:w="908" w:type="pct"/>
                  <w:tcBorders>
                    <w:tl2br w:val="nil"/>
                    <w:tr2bl w:val="nil"/>
                  </w:tcBorders>
                  <w:shd w:val="clear" w:color="auto" w:fill="FFFFFF"/>
                  <w:noWrap w:val="0"/>
                  <w:vAlign w:val="center"/>
                </w:tcPr>
                <w:p w14:paraId="09513E7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42F8B61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12881E9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tcBorders>
                    <w:right w:val="single" w:color="000000" w:sz="4" w:space="0"/>
                    <w:tl2br w:val="nil"/>
                    <w:tr2bl w:val="nil"/>
                  </w:tcBorders>
                  <w:shd w:val="clear" w:color="auto" w:fill="FFFFFF"/>
                  <w:noWrap w:val="0"/>
                  <w:vAlign w:val="center"/>
                </w:tcPr>
                <w:p w14:paraId="4F01211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0.3</w:t>
                  </w:r>
                </w:p>
              </w:tc>
            </w:tr>
            <w:tr w14:paraId="4DBD9E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66F6D935">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14</w:t>
                  </w:r>
                </w:p>
              </w:tc>
              <w:tc>
                <w:tcPr>
                  <w:tcW w:w="1443" w:type="pct"/>
                  <w:gridSpan w:val="2"/>
                  <w:tcBorders>
                    <w:tl2br w:val="nil"/>
                    <w:tr2bl w:val="nil"/>
                  </w:tcBorders>
                  <w:shd w:val="clear" w:color="auto" w:fill="FFFFFF"/>
                  <w:noWrap w:val="0"/>
                  <w:vAlign w:val="center"/>
                </w:tcPr>
                <w:p w14:paraId="3E08101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六价铬</w:t>
                  </w:r>
                </w:p>
              </w:tc>
              <w:tc>
                <w:tcPr>
                  <w:tcW w:w="908" w:type="pct"/>
                  <w:tcBorders>
                    <w:tl2br w:val="nil"/>
                    <w:tr2bl w:val="nil"/>
                  </w:tcBorders>
                  <w:shd w:val="clear" w:color="auto" w:fill="FFFFFF"/>
                  <w:noWrap w:val="0"/>
                  <w:vAlign w:val="center"/>
                </w:tcPr>
                <w:p w14:paraId="32B63CE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2D97BD3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4C10CB5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0.44</w:t>
                  </w:r>
                </w:p>
              </w:tc>
              <w:tc>
                <w:tcPr>
                  <w:tcW w:w="688" w:type="pct"/>
                  <w:tcBorders>
                    <w:right w:val="single" w:color="000000" w:sz="4" w:space="0"/>
                    <w:tl2br w:val="nil"/>
                    <w:tr2bl w:val="nil"/>
                  </w:tcBorders>
                  <w:shd w:val="clear" w:color="auto" w:fill="FFFFFF"/>
                  <w:noWrap w:val="0"/>
                  <w:vAlign w:val="center"/>
                </w:tcPr>
                <w:p w14:paraId="3678879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0.05</w:t>
                  </w:r>
                </w:p>
              </w:tc>
            </w:tr>
            <w:tr w14:paraId="3F61B1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6B18DA01">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15</w:t>
                  </w:r>
                </w:p>
              </w:tc>
              <w:tc>
                <w:tcPr>
                  <w:tcW w:w="1443" w:type="pct"/>
                  <w:gridSpan w:val="2"/>
                  <w:tcBorders>
                    <w:tl2br w:val="nil"/>
                    <w:tr2bl w:val="nil"/>
                  </w:tcBorders>
                  <w:shd w:val="clear" w:color="auto" w:fill="FFFFFF"/>
                  <w:noWrap w:val="0"/>
                  <w:vAlign w:val="center"/>
                </w:tcPr>
                <w:p w14:paraId="3626145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氰化物</w:t>
                  </w:r>
                </w:p>
              </w:tc>
              <w:tc>
                <w:tcPr>
                  <w:tcW w:w="908" w:type="pct"/>
                  <w:tcBorders>
                    <w:tl2br w:val="nil"/>
                    <w:tr2bl w:val="nil"/>
                  </w:tcBorders>
                  <w:shd w:val="clear" w:color="auto" w:fill="FFFFFF"/>
                  <w:noWrap w:val="0"/>
                  <w:vAlign w:val="center"/>
                </w:tcPr>
                <w:p w14:paraId="447C39B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1FA92BC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6986A8E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tcBorders>
                    <w:right w:val="single" w:color="000000" w:sz="4" w:space="0"/>
                    <w:tl2br w:val="nil"/>
                    <w:tr2bl w:val="nil"/>
                  </w:tcBorders>
                  <w:shd w:val="clear" w:color="auto" w:fill="FFFFFF"/>
                  <w:noWrap w:val="0"/>
                  <w:vAlign w:val="center"/>
                </w:tcPr>
                <w:p w14:paraId="29A7720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0.05</w:t>
                  </w:r>
                </w:p>
              </w:tc>
            </w:tr>
            <w:tr w14:paraId="7B8A40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4099AF2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16</w:t>
                  </w:r>
                </w:p>
              </w:tc>
              <w:tc>
                <w:tcPr>
                  <w:tcW w:w="1443" w:type="pct"/>
                  <w:gridSpan w:val="2"/>
                  <w:tcBorders>
                    <w:tl2br w:val="nil"/>
                    <w:tr2bl w:val="nil"/>
                  </w:tcBorders>
                  <w:shd w:val="clear" w:color="auto" w:fill="FFFFFF"/>
                  <w:noWrap w:val="0"/>
                  <w:vAlign w:val="center"/>
                </w:tcPr>
                <w:p w14:paraId="2DFD805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挥发酚</w:t>
                  </w:r>
                </w:p>
              </w:tc>
              <w:tc>
                <w:tcPr>
                  <w:tcW w:w="908" w:type="pct"/>
                  <w:tcBorders>
                    <w:tl2br w:val="nil"/>
                    <w:tr2bl w:val="nil"/>
                  </w:tcBorders>
                  <w:shd w:val="clear" w:color="auto" w:fill="FFFFFF"/>
                  <w:noWrap w:val="0"/>
                  <w:vAlign w:val="center"/>
                </w:tcPr>
                <w:p w14:paraId="794D4AB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0E46582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7ADA2F2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tcBorders>
                    <w:right w:val="single" w:color="000000" w:sz="4" w:space="0"/>
                    <w:tl2br w:val="nil"/>
                    <w:tr2bl w:val="nil"/>
                  </w:tcBorders>
                  <w:shd w:val="clear" w:color="auto" w:fill="FFFFFF"/>
                  <w:noWrap w:val="0"/>
                  <w:vAlign w:val="center"/>
                </w:tcPr>
                <w:p w14:paraId="3913748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0.002</w:t>
                  </w:r>
                </w:p>
              </w:tc>
            </w:tr>
            <w:tr w14:paraId="5152FC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66C2CB1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17</w:t>
                  </w:r>
                </w:p>
              </w:tc>
              <w:tc>
                <w:tcPr>
                  <w:tcW w:w="1443" w:type="pct"/>
                  <w:gridSpan w:val="2"/>
                  <w:tcBorders>
                    <w:tl2br w:val="nil"/>
                    <w:tr2bl w:val="nil"/>
                  </w:tcBorders>
                  <w:shd w:val="clear" w:color="auto" w:fill="FFFFFF"/>
                  <w:noWrap w:val="0"/>
                  <w:vAlign w:val="center"/>
                </w:tcPr>
                <w:p w14:paraId="770F5A7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汞</w:t>
                  </w:r>
                </w:p>
              </w:tc>
              <w:tc>
                <w:tcPr>
                  <w:tcW w:w="908" w:type="pct"/>
                  <w:tcBorders>
                    <w:tl2br w:val="nil"/>
                    <w:tr2bl w:val="nil"/>
                  </w:tcBorders>
                  <w:shd w:val="clear" w:color="auto" w:fill="FFFFFF"/>
                  <w:noWrap w:val="0"/>
                  <w:vAlign w:val="center"/>
                </w:tcPr>
                <w:p w14:paraId="17B6D9C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13211A0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0.004</w:t>
                  </w:r>
                </w:p>
              </w:tc>
              <w:tc>
                <w:tcPr>
                  <w:tcW w:w="702" w:type="pct"/>
                  <w:tcBorders>
                    <w:tl2br w:val="nil"/>
                    <w:tr2bl w:val="nil"/>
                  </w:tcBorders>
                  <w:shd w:val="clear" w:color="auto" w:fill="FFFFFF"/>
                  <w:noWrap w:val="0"/>
                  <w:vAlign w:val="center"/>
                </w:tcPr>
                <w:p w14:paraId="1475312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0.0004</w:t>
                  </w:r>
                </w:p>
              </w:tc>
              <w:tc>
                <w:tcPr>
                  <w:tcW w:w="688" w:type="pct"/>
                  <w:tcBorders>
                    <w:right w:val="single" w:color="000000" w:sz="4" w:space="0"/>
                    <w:tl2br w:val="nil"/>
                    <w:tr2bl w:val="nil"/>
                  </w:tcBorders>
                  <w:shd w:val="clear" w:color="auto" w:fill="FFFFFF"/>
                  <w:noWrap w:val="0"/>
                  <w:vAlign w:val="center"/>
                </w:tcPr>
                <w:p w14:paraId="1A9C445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0.001</w:t>
                  </w:r>
                </w:p>
              </w:tc>
            </w:tr>
            <w:tr w14:paraId="039F59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37FCBE7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18</w:t>
                  </w:r>
                </w:p>
              </w:tc>
              <w:tc>
                <w:tcPr>
                  <w:tcW w:w="1443" w:type="pct"/>
                  <w:gridSpan w:val="2"/>
                  <w:tcBorders>
                    <w:tl2br w:val="nil"/>
                    <w:tr2bl w:val="nil"/>
                  </w:tcBorders>
                  <w:shd w:val="clear" w:color="auto" w:fill="FFFFFF"/>
                  <w:noWrap w:val="0"/>
                  <w:vAlign w:val="center"/>
                </w:tcPr>
                <w:p w14:paraId="3A8AFFE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砷</w:t>
                  </w:r>
                </w:p>
              </w:tc>
              <w:tc>
                <w:tcPr>
                  <w:tcW w:w="908" w:type="pct"/>
                  <w:tcBorders>
                    <w:tl2br w:val="nil"/>
                    <w:tr2bl w:val="nil"/>
                  </w:tcBorders>
                  <w:shd w:val="clear" w:color="auto" w:fill="FFFFFF"/>
                  <w:noWrap w:val="0"/>
                  <w:vAlign w:val="center"/>
                </w:tcPr>
                <w:p w14:paraId="5653D8D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76A54B9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0.03</w:t>
                  </w:r>
                </w:p>
              </w:tc>
              <w:tc>
                <w:tcPr>
                  <w:tcW w:w="702" w:type="pct"/>
                  <w:tcBorders>
                    <w:tl2br w:val="nil"/>
                    <w:tr2bl w:val="nil"/>
                  </w:tcBorders>
                  <w:shd w:val="clear" w:color="auto" w:fill="FFFFFF"/>
                  <w:noWrap w:val="0"/>
                  <w:vAlign w:val="center"/>
                </w:tcPr>
                <w:p w14:paraId="6C780C9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0.03</w:t>
                  </w:r>
                </w:p>
              </w:tc>
              <w:tc>
                <w:tcPr>
                  <w:tcW w:w="688" w:type="pct"/>
                  <w:tcBorders>
                    <w:right w:val="single" w:color="000000" w:sz="4" w:space="0"/>
                    <w:tl2br w:val="nil"/>
                    <w:tr2bl w:val="nil"/>
                  </w:tcBorders>
                  <w:shd w:val="clear" w:color="auto" w:fill="FFFFFF"/>
                  <w:noWrap w:val="0"/>
                  <w:vAlign w:val="center"/>
                </w:tcPr>
                <w:p w14:paraId="7A02BF5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0.01</w:t>
                  </w:r>
                </w:p>
              </w:tc>
            </w:tr>
            <w:tr w14:paraId="759D5F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056F74C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19</w:t>
                  </w:r>
                </w:p>
              </w:tc>
              <w:tc>
                <w:tcPr>
                  <w:tcW w:w="1443" w:type="pct"/>
                  <w:gridSpan w:val="2"/>
                  <w:tcBorders>
                    <w:tl2br w:val="nil"/>
                    <w:tr2bl w:val="nil"/>
                  </w:tcBorders>
                  <w:shd w:val="clear" w:color="auto" w:fill="FFFFFF"/>
                  <w:noWrap w:val="0"/>
                  <w:vAlign w:val="center"/>
                </w:tcPr>
                <w:p w14:paraId="020F726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default" w:ascii="Times New Roman" w:hAnsi="Times New Roman" w:eastAsia="宋体" w:cs="Times New Roman"/>
                      <w:b w:val="0"/>
                      <w:i w:val="0"/>
                      <w:iCs w:val="0"/>
                      <w:color w:val="000000"/>
                      <w:sz w:val="21"/>
                      <w:szCs w:val="21"/>
                      <w:highlight w:val="none"/>
                      <w:u w:val="none"/>
                      <w:lang w:val="en-US" w:eastAsia="zh-CN"/>
                    </w:rPr>
                    <w:t>硒</w:t>
                  </w:r>
                </w:p>
              </w:tc>
              <w:tc>
                <w:tcPr>
                  <w:tcW w:w="908" w:type="pct"/>
                  <w:tcBorders>
                    <w:tl2br w:val="nil"/>
                    <w:tr2bl w:val="nil"/>
                  </w:tcBorders>
                  <w:shd w:val="clear" w:color="auto" w:fill="FFFFFF"/>
                  <w:noWrap w:val="0"/>
                  <w:vAlign w:val="center"/>
                </w:tcPr>
                <w:p w14:paraId="5A37A7E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32D5F0D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0.04</w:t>
                  </w:r>
                </w:p>
              </w:tc>
              <w:tc>
                <w:tcPr>
                  <w:tcW w:w="702" w:type="pct"/>
                  <w:tcBorders>
                    <w:tl2br w:val="nil"/>
                    <w:tr2bl w:val="nil"/>
                  </w:tcBorders>
                  <w:shd w:val="clear" w:color="auto" w:fill="FFFFFF"/>
                  <w:noWrap w:val="0"/>
                  <w:vAlign w:val="center"/>
                </w:tcPr>
                <w:p w14:paraId="2221766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0.04</w:t>
                  </w:r>
                </w:p>
              </w:tc>
              <w:tc>
                <w:tcPr>
                  <w:tcW w:w="688" w:type="pct"/>
                  <w:tcBorders>
                    <w:right w:val="single" w:color="000000" w:sz="4" w:space="0"/>
                    <w:tl2br w:val="nil"/>
                    <w:tr2bl w:val="nil"/>
                  </w:tcBorders>
                  <w:shd w:val="clear" w:color="auto" w:fill="FFFFFF"/>
                  <w:noWrap w:val="0"/>
                  <w:vAlign w:val="center"/>
                </w:tcPr>
                <w:p w14:paraId="0BFE41D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ascii="Times New Roman" w:hAnsi="Times New Roman" w:eastAsia="宋体" w:cs="Times New Roman"/>
                      <w:b w:val="0"/>
                      <w:i w:val="0"/>
                      <w:iCs w:val="0"/>
                      <w:color w:val="000000"/>
                      <w:sz w:val="21"/>
                      <w:szCs w:val="21"/>
                      <w:highlight w:val="none"/>
                      <w:u w:val="none"/>
                      <w:lang w:val="en-US" w:eastAsia="zh-CN"/>
                    </w:rPr>
                    <w:t>0.01</w:t>
                  </w:r>
                </w:p>
              </w:tc>
            </w:tr>
            <w:tr w14:paraId="4D7460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6C69B3F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20</w:t>
                  </w:r>
                </w:p>
              </w:tc>
              <w:tc>
                <w:tcPr>
                  <w:tcW w:w="1443" w:type="pct"/>
                  <w:gridSpan w:val="2"/>
                  <w:tcBorders>
                    <w:tl2br w:val="nil"/>
                    <w:tr2bl w:val="nil"/>
                  </w:tcBorders>
                  <w:shd w:val="clear" w:color="auto" w:fill="FFFFFF"/>
                  <w:noWrap w:val="0"/>
                  <w:vAlign w:val="center"/>
                </w:tcPr>
                <w:p w14:paraId="1C58288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铁</w:t>
                  </w:r>
                </w:p>
              </w:tc>
              <w:tc>
                <w:tcPr>
                  <w:tcW w:w="908" w:type="pct"/>
                  <w:tcBorders>
                    <w:tl2br w:val="nil"/>
                    <w:tr2bl w:val="nil"/>
                  </w:tcBorders>
                  <w:shd w:val="clear" w:color="auto" w:fill="FFFFFF"/>
                  <w:noWrap w:val="0"/>
                  <w:vAlign w:val="center"/>
                </w:tcPr>
                <w:p w14:paraId="209578C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4150AC0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4D96E4F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tcBorders>
                    <w:right w:val="single" w:color="000000" w:sz="4" w:space="0"/>
                    <w:tl2br w:val="nil"/>
                    <w:tr2bl w:val="nil"/>
                  </w:tcBorders>
                  <w:shd w:val="clear" w:color="auto" w:fill="FFFFFF"/>
                  <w:noWrap w:val="0"/>
                  <w:vAlign w:val="center"/>
                </w:tcPr>
                <w:p w14:paraId="198E258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0.3</w:t>
                  </w:r>
                </w:p>
              </w:tc>
            </w:tr>
            <w:tr w14:paraId="4325EC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08A1F61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21</w:t>
                  </w:r>
                </w:p>
              </w:tc>
              <w:tc>
                <w:tcPr>
                  <w:tcW w:w="1443" w:type="pct"/>
                  <w:gridSpan w:val="2"/>
                  <w:tcBorders>
                    <w:tl2br w:val="nil"/>
                    <w:tr2bl w:val="nil"/>
                  </w:tcBorders>
                  <w:shd w:val="clear" w:color="auto" w:fill="FFFFFF"/>
                  <w:noWrap w:val="0"/>
                  <w:vAlign w:val="center"/>
                </w:tcPr>
                <w:p w14:paraId="5CB2282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锰</w:t>
                  </w:r>
                </w:p>
              </w:tc>
              <w:tc>
                <w:tcPr>
                  <w:tcW w:w="908" w:type="pct"/>
                  <w:tcBorders>
                    <w:tl2br w:val="nil"/>
                    <w:tr2bl w:val="nil"/>
                  </w:tcBorders>
                  <w:shd w:val="clear" w:color="auto" w:fill="FFFFFF"/>
                  <w:noWrap w:val="0"/>
                  <w:vAlign w:val="center"/>
                </w:tcPr>
                <w:p w14:paraId="249F75C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2014CC4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0.7</w:t>
                  </w:r>
                </w:p>
              </w:tc>
              <w:tc>
                <w:tcPr>
                  <w:tcW w:w="702" w:type="pct"/>
                  <w:tcBorders>
                    <w:tl2br w:val="nil"/>
                    <w:tr2bl w:val="nil"/>
                  </w:tcBorders>
                  <w:shd w:val="clear" w:color="auto" w:fill="FFFFFF"/>
                  <w:noWrap w:val="0"/>
                  <w:vAlign w:val="center"/>
                </w:tcPr>
                <w:p w14:paraId="24624DD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0.7</w:t>
                  </w:r>
                </w:p>
              </w:tc>
              <w:tc>
                <w:tcPr>
                  <w:tcW w:w="688" w:type="pct"/>
                  <w:tcBorders>
                    <w:right w:val="single" w:color="000000" w:sz="4" w:space="0"/>
                    <w:tl2br w:val="nil"/>
                    <w:tr2bl w:val="nil"/>
                  </w:tcBorders>
                  <w:shd w:val="clear" w:color="auto" w:fill="FFFFFF"/>
                  <w:noWrap w:val="0"/>
                  <w:vAlign w:val="center"/>
                </w:tcPr>
                <w:p w14:paraId="35FDB74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0.1</w:t>
                  </w:r>
                </w:p>
              </w:tc>
            </w:tr>
            <w:tr w14:paraId="0C7E37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2EF8BD2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22</w:t>
                  </w:r>
                </w:p>
              </w:tc>
              <w:tc>
                <w:tcPr>
                  <w:tcW w:w="1443" w:type="pct"/>
                  <w:gridSpan w:val="2"/>
                  <w:tcBorders>
                    <w:tl2br w:val="nil"/>
                    <w:tr2bl w:val="nil"/>
                  </w:tcBorders>
                  <w:shd w:val="clear" w:color="auto" w:fill="FFFFFF"/>
                  <w:noWrap w:val="0"/>
                  <w:vAlign w:val="center"/>
                </w:tcPr>
                <w:p w14:paraId="7940209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铜</w:t>
                  </w:r>
                </w:p>
              </w:tc>
              <w:tc>
                <w:tcPr>
                  <w:tcW w:w="908" w:type="pct"/>
                  <w:tcBorders>
                    <w:tl2br w:val="nil"/>
                    <w:tr2bl w:val="nil"/>
                  </w:tcBorders>
                  <w:shd w:val="clear" w:color="auto" w:fill="FFFFFF"/>
                  <w:noWrap w:val="0"/>
                  <w:vAlign w:val="center"/>
                </w:tcPr>
                <w:p w14:paraId="171D856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1B02B59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0.09</w:t>
                  </w:r>
                </w:p>
              </w:tc>
              <w:tc>
                <w:tcPr>
                  <w:tcW w:w="702" w:type="pct"/>
                  <w:tcBorders>
                    <w:tl2br w:val="nil"/>
                    <w:tr2bl w:val="nil"/>
                  </w:tcBorders>
                  <w:shd w:val="clear" w:color="auto" w:fill="FFFFFF"/>
                  <w:noWrap w:val="0"/>
                  <w:vAlign w:val="center"/>
                </w:tcPr>
                <w:p w14:paraId="06DCFED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0.33</w:t>
                  </w:r>
                </w:p>
              </w:tc>
              <w:tc>
                <w:tcPr>
                  <w:tcW w:w="688" w:type="pct"/>
                  <w:tcBorders>
                    <w:right w:val="single" w:color="000000" w:sz="4" w:space="0"/>
                    <w:tl2br w:val="nil"/>
                    <w:tr2bl w:val="nil"/>
                  </w:tcBorders>
                  <w:shd w:val="clear" w:color="auto" w:fill="FFFFFF"/>
                  <w:noWrap w:val="0"/>
                  <w:vAlign w:val="center"/>
                </w:tcPr>
                <w:p w14:paraId="7C8292E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57E17D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3DD7350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23</w:t>
                  </w:r>
                </w:p>
              </w:tc>
              <w:tc>
                <w:tcPr>
                  <w:tcW w:w="1443" w:type="pct"/>
                  <w:gridSpan w:val="2"/>
                  <w:tcBorders>
                    <w:tl2br w:val="nil"/>
                    <w:tr2bl w:val="nil"/>
                  </w:tcBorders>
                  <w:shd w:val="clear" w:color="auto" w:fill="FFFFFF"/>
                  <w:noWrap w:val="0"/>
                  <w:vAlign w:val="center"/>
                </w:tcPr>
                <w:p w14:paraId="20FD296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锌</w:t>
                  </w:r>
                </w:p>
              </w:tc>
              <w:tc>
                <w:tcPr>
                  <w:tcW w:w="908" w:type="pct"/>
                  <w:tcBorders>
                    <w:tl2br w:val="nil"/>
                    <w:tr2bl w:val="nil"/>
                  </w:tcBorders>
                  <w:shd w:val="clear" w:color="auto" w:fill="FFFFFF"/>
                  <w:noWrap w:val="0"/>
                  <w:vAlign w:val="center"/>
                </w:tcPr>
                <w:p w14:paraId="0F4EA12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17717AE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4952AD3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tcBorders>
                    <w:right w:val="single" w:color="000000" w:sz="4" w:space="0"/>
                    <w:tl2br w:val="nil"/>
                    <w:tr2bl w:val="nil"/>
                  </w:tcBorders>
                  <w:shd w:val="clear" w:color="auto" w:fill="FFFFFF"/>
                  <w:noWrap w:val="0"/>
                  <w:vAlign w:val="center"/>
                </w:tcPr>
                <w:p w14:paraId="5397C4A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1.0</w:t>
                  </w:r>
                </w:p>
              </w:tc>
            </w:tr>
            <w:tr w14:paraId="1D1218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5BB1214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24</w:t>
                  </w:r>
                </w:p>
              </w:tc>
              <w:tc>
                <w:tcPr>
                  <w:tcW w:w="1443" w:type="pct"/>
                  <w:gridSpan w:val="2"/>
                  <w:tcBorders>
                    <w:tl2br w:val="nil"/>
                    <w:tr2bl w:val="nil"/>
                  </w:tcBorders>
                  <w:shd w:val="clear" w:color="auto" w:fill="FFFFFF"/>
                  <w:noWrap w:val="0"/>
                  <w:vAlign w:val="center"/>
                </w:tcPr>
                <w:p w14:paraId="6B370DA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铅</w:t>
                  </w:r>
                </w:p>
              </w:tc>
              <w:tc>
                <w:tcPr>
                  <w:tcW w:w="908" w:type="pct"/>
                  <w:tcBorders>
                    <w:tl2br w:val="nil"/>
                    <w:tr2bl w:val="nil"/>
                  </w:tcBorders>
                  <w:shd w:val="clear" w:color="auto" w:fill="FFFFFF"/>
                  <w:noWrap w:val="0"/>
                  <w:vAlign w:val="center"/>
                </w:tcPr>
                <w:p w14:paraId="48A9038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2853DF8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0.25</w:t>
                  </w:r>
                </w:p>
              </w:tc>
              <w:tc>
                <w:tcPr>
                  <w:tcW w:w="702" w:type="pct"/>
                  <w:tcBorders>
                    <w:tl2br w:val="nil"/>
                    <w:tr2bl w:val="nil"/>
                  </w:tcBorders>
                  <w:shd w:val="clear" w:color="auto" w:fill="FFFFFF"/>
                  <w:noWrap w:val="0"/>
                  <w:vAlign w:val="center"/>
                </w:tcPr>
                <w:p w14:paraId="35EAEF2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0.25</w:t>
                  </w:r>
                </w:p>
              </w:tc>
              <w:tc>
                <w:tcPr>
                  <w:tcW w:w="688" w:type="pct"/>
                  <w:tcBorders>
                    <w:right w:val="single" w:color="000000" w:sz="4" w:space="0"/>
                    <w:tl2br w:val="nil"/>
                    <w:tr2bl w:val="nil"/>
                  </w:tcBorders>
                  <w:shd w:val="clear" w:color="auto" w:fill="FFFFFF"/>
                  <w:noWrap w:val="0"/>
                  <w:vAlign w:val="center"/>
                </w:tcPr>
                <w:p w14:paraId="0D01156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0.01</w:t>
                  </w:r>
                </w:p>
              </w:tc>
            </w:tr>
            <w:tr w14:paraId="54A130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16FB8CA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25</w:t>
                  </w:r>
                </w:p>
              </w:tc>
              <w:tc>
                <w:tcPr>
                  <w:tcW w:w="1443" w:type="pct"/>
                  <w:gridSpan w:val="2"/>
                  <w:tcBorders>
                    <w:tl2br w:val="nil"/>
                    <w:tr2bl w:val="nil"/>
                  </w:tcBorders>
                  <w:shd w:val="clear" w:color="auto" w:fill="FFFFFF"/>
                  <w:noWrap w:val="0"/>
                  <w:vAlign w:val="center"/>
                </w:tcPr>
                <w:p w14:paraId="149F1A2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镉</w:t>
                  </w:r>
                </w:p>
              </w:tc>
              <w:tc>
                <w:tcPr>
                  <w:tcW w:w="908" w:type="pct"/>
                  <w:tcBorders>
                    <w:tl2br w:val="nil"/>
                    <w:tr2bl w:val="nil"/>
                  </w:tcBorders>
                  <w:shd w:val="clear" w:color="auto" w:fill="FFFFFF"/>
                  <w:noWrap w:val="0"/>
                  <w:vAlign w:val="center"/>
                </w:tcPr>
                <w:p w14:paraId="7423359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4C44461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0.01</w:t>
                  </w:r>
                </w:p>
              </w:tc>
              <w:tc>
                <w:tcPr>
                  <w:tcW w:w="702" w:type="pct"/>
                  <w:tcBorders>
                    <w:tl2br w:val="nil"/>
                    <w:tr2bl w:val="nil"/>
                  </w:tcBorders>
                  <w:shd w:val="clear" w:color="auto" w:fill="FFFFFF"/>
                  <w:noWrap w:val="0"/>
                  <w:vAlign w:val="center"/>
                </w:tcPr>
                <w:p w14:paraId="031FA2C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0.01</w:t>
                  </w:r>
                </w:p>
              </w:tc>
              <w:tc>
                <w:tcPr>
                  <w:tcW w:w="688" w:type="pct"/>
                  <w:tcBorders>
                    <w:right w:val="single" w:color="000000" w:sz="4" w:space="0"/>
                    <w:tl2br w:val="nil"/>
                    <w:tr2bl w:val="nil"/>
                  </w:tcBorders>
                  <w:shd w:val="clear" w:color="auto" w:fill="FFFFFF"/>
                  <w:noWrap w:val="0"/>
                  <w:vAlign w:val="center"/>
                </w:tcPr>
                <w:p w14:paraId="4893B6D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0.005</w:t>
                  </w:r>
                </w:p>
              </w:tc>
            </w:tr>
            <w:tr w14:paraId="4C7780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545000C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26</w:t>
                  </w:r>
                </w:p>
              </w:tc>
              <w:tc>
                <w:tcPr>
                  <w:tcW w:w="1443" w:type="pct"/>
                  <w:gridSpan w:val="2"/>
                  <w:tcBorders>
                    <w:tl2br w:val="nil"/>
                    <w:tr2bl w:val="nil"/>
                  </w:tcBorders>
                  <w:shd w:val="clear" w:color="auto" w:fill="FFFFFF"/>
                  <w:noWrap w:val="0"/>
                  <w:vAlign w:val="center"/>
                </w:tcPr>
                <w:p w14:paraId="444BB9C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铝</w:t>
                  </w:r>
                </w:p>
              </w:tc>
              <w:tc>
                <w:tcPr>
                  <w:tcW w:w="908" w:type="pct"/>
                  <w:tcBorders>
                    <w:tl2br w:val="nil"/>
                    <w:tr2bl w:val="nil"/>
                  </w:tcBorders>
                  <w:shd w:val="clear" w:color="auto" w:fill="FFFFFF"/>
                  <w:noWrap w:val="0"/>
                  <w:vAlign w:val="center"/>
                </w:tcPr>
                <w:p w14:paraId="3D8A0D1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3A30F01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0.005</w:t>
                  </w:r>
                </w:p>
              </w:tc>
              <w:tc>
                <w:tcPr>
                  <w:tcW w:w="702" w:type="pct"/>
                  <w:tcBorders>
                    <w:tl2br w:val="nil"/>
                    <w:tr2bl w:val="nil"/>
                  </w:tcBorders>
                  <w:shd w:val="clear" w:color="auto" w:fill="FFFFFF"/>
                  <w:noWrap w:val="0"/>
                  <w:vAlign w:val="center"/>
                </w:tcPr>
                <w:p w14:paraId="5B86B5A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0.005</w:t>
                  </w:r>
                </w:p>
              </w:tc>
              <w:tc>
                <w:tcPr>
                  <w:tcW w:w="688" w:type="pct"/>
                  <w:tcBorders>
                    <w:right w:val="single" w:color="000000" w:sz="4" w:space="0"/>
                    <w:tl2br w:val="nil"/>
                    <w:tr2bl w:val="nil"/>
                  </w:tcBorders>
                  <w:shd w:val="clear" w:color="auto" w:fill="FFFFFF"/>
                  <w:noWrap w:val="0"/>
                  <w:vAlign w:val="center"/>
                </w:tcPr>
                <w:p w14:paraId="34D5B85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0.2</w:t>
                  </w:r>
                </w:p>
              </w:tc>
            </w:tr>
            <w:tr w14:paraId="3724D6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4A1A75D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27</w:t>
                  </w:r>
                </w:p>
              </w:tc>
              <w:tc>
                <w:tcPr>
                  <w:tcW w:w="1443" w:type="pct"/>
                  <w:gridSpan w:val="2"/>
                  <w:tcBorders>
                    <w:tl2br w:val="nil"/>
                    <w:tr2bl w:val="nil"/>
                  </w:tcBorders>
                  <w:shd w:val="clear" w:color="auto" w:fill="FFFFFF"/>
                  <w:noWrap w:val="0"/>
                  <w:vAlign w:val="center"/>
                </w:tcPr>
                <w:p w14:paraId="1897F4F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钾</w:t>
                  </w:r>
                </w:p>
              </w:tc>
              <w:tc>
                <w:tcPr>
                  <w:tcW w:w="908" w:type="pct"/>
                  <w:tcBorders>
                    <w:tl2br w:val="nil"/>
                    <w:tr2bl w:val="nil"/>
                  </w:tcBorders>
                  <w:shd w:val="clear" w:color="auto" w:fill="FFFFFF"/>
                  <w:noWrap w:val="0"/>
                  <w:vAlign w:val="center"/>
                </w:tcPr>
                <w:p w14:paraId="13EA988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0A3D81B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47.0</w:t>
                  </w:r>
                </w:p>
              </w:tc>
              <w:tc>
                <w:tcPr>
                  <w:tcW w:w="702" w:type="pct"/>
                  <w:tcBorders>
                    <w:tl2br w:val="nil"/>
                    <w:tr2bl w:val="nil"/>
                  </w:tcBorders>
                  <w:shd w:val="clear" w:color="auto" w:fill="FFFFFF"/>
                  <w:noWrap w:val="0"/>
                  <w:vAlign w:val="center"/>
                </w:tcPr>
                <w:p w14:paraId="727429A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lang w:val="en-US" w:eastAsia="zh-CN" w:bidi="ar"/>
                    </w:rPr>
                    <w:t>42.5</w:t>
                  </w:r>
                </w:p>
              </w:tc>
              <w:tc>
                <w:tcPr>
                  <w:tcW w:w="688" w:type="pct"/>
                  <w:tcBorders>
                    <w:right w:val="single" w:color="000000" w:sz="4" w:space="0"/>
                    <w:tl2br w:val="nil"/>
                    <w:tr2bl w:val="nil"/>
                  </w:tcBorders>
                  <w:shd w:val="clear" w:color="auto" w:fill="FFFFFF"/>
                  <w:noWrap w:val="0"/>
                  <w:vAlign w:val="center"/>
                </w:tcPr>
                <w:p w14:paraId="34578DC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7BE9CD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2B53D46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28</w:t>
                  </w:r>
                </w:p>
              </w:tc>
              <w:tc>
                <w:tcPr>
                  <w:tcW w:w="1443" w:type="pct"/>
                  <w:gridSpan w:val="2"/>
                  <w:tcBorders>
                    <w:tl2br w:val="nil"/>
                    <w:tr2bl w:val="nil"/>
                  </w:tcBorders>
                  <w:shd w:val="clear" w:color="auto" w:fill="FFFFFF"/>
                  <w:noWrap w:val="0"/>
                  <w:vAlign w:val="center"/>
                </w:tcPr>
                <w:p w14:paraId="3F64567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钠</w:t>
                  </w:r>
                </w:p>
              </w:tc>
              <w:tc>
                <w:tcPr>
                  <w:tcW w:w="908" w:type="pct"/>
                  <w:tcBorders>
                    <w:tl2br w:val="nil"/>
                    <w:tr2bl w:val="nil"/>
                  </w:tcBorders>
                  <w:shd w:val="clear" w:color="auto" w:fill="FFFFFF"/>
                  <w:noWrap w:val="0"/>
                  <w:vAlign w:val="center"/>
                </w:tcPr>
                <w:p w14:paraId="0C6BE1B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2659DD9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0.59</w:t>
                  </w:r>
                </w:p>
              </w:tc>
              <w:tc>
                <w:tcPr>
                  <w:tcW w:w="702" w:type="pct"/>
                  <w:tcBorders>
                    <w:tl2br w:val="nil"/>
                    <w:tr2bl w:val="nil"/>
                  </w:tcBorders>
                  <w:shd w:val="clear" w:color="auto" w:fill="FFFFFF"/>
                  <w:noWrap w:val="0"/>
                  <w:vAlign w:val="center"/>
                </w:tcPr>
                <w:p w14:paraId="25D6AE7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0.625</w:t>
                  </w:r>
                </w:p>
              </w:tc>
              <w:tc>
                <w:tcPr>
                  <w:tcW w:w="688" w:type="pct"/>
                  <w:tcBorders>
                    <w:right w:val="single" w:color="000000" w:sz="4" w:space="0"/>
                    <w:tl2br w:val="nil"/>
                    <w:tr2bl w:val="nil"/>
                  </w:tcBorders>
                  <w:shd w:val="clear" w:color="auto" w:fill="FFFFFF"/>
                  <w:noWrap w:val="0"/>
                  <w:vAlign w:val="center"/>
                </w:tcPr>
                <w:p w14:paraId="3737A2D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200</w:t>
                  </w:r>
                </w:p>
              </w:tc>
            </w:tr>
            <w:tr w14:paraId="20C1FA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2001EAA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29</w:t>
                  </w:r>
                </w:p>
              </w:tc>
              <w:tc>
                <w:tcPr>
                  <w:tcW w:w="1443" w:type="pct"/>
                  <w:gridSpan w:val="2"/>
                  <w:tcBorders>
                    <w:tl2br w:val="nil"/>
                    <w:tr2bl w:val="nil"/>
                  </w:tcBorders>
                  <w:shd w:val="clear" w:color="auto" w:fill="FFFFFF"/>
                  <w:noWrap w:val="0"/>
                  <w:vAlign w:val="center"/>
                </w:tcPr>
                <w:p w14:paraId="2CD60A5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钙</w:t>
                  </w:r>
                </w:p>
              </w:tc>
              <w:tc>
                <w:tcPr>
                  <w:tcW w:w="908" w:type="pct"/>
                  <w:tcBorders>
                    <w:tl2br w:val="nil"/>
                    <w:tr2bl w:val="nil"/>
                  </w:tcBorders>
                  <w:shd w:val="clear" w:color="auto" w:fill="FFFFFF"/>
                  <w:noWrap w:val="0"/>
                  <w:vAlign w:val="center"/>
                </w:tcPr>
                <w:p w14:paraId="2C9240A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0E4D4B1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24E332F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tcBorders>
                    <w:right w:val="single" w:color="000000" w:sz="4" w:space="0"/>
                    <w:tl2br w:val="nil"/>
                    <w:tr2bl w:val="nil"/>
                  </w:tcBorders>
                  <w:shd w:val="clear" w:color="auto" w:fill="FFFFFF"/>
                  <w:noWrap w:val="0"/>
                  <w:vAlign w:val="center"/>
                </w:tcPr>
                <w:p w14:paraId="0DAFA0F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06B195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20177E1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30</w:t>
                  </w:r>
                </w:p>
              </w:tc>
              <w:tc>
                <w:tcPr>
                  <w:tcW w:w="1443" w:type="pct"/>
                  <w:gridSpan w:val="2"/>
                  <w:tcBorders>
                    <w:tl2br w:val="nil"/>
                    <w:tr2bl w:val="nil"/>
                  </w:tcBorders>
                  <w:shd w:val="clear" w:color="auto" w:fill="FFFFFF"/>
                  <w:noWrap w:val="0"/>
                  <w:vAlign w:val="center"/>
                </w:tcPr>
                <w:p w14:paraId="20DBFDC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镁</w:t>
                  </w:r>
                </w:p>
              </w:tc>
              <w:tc>
                <w:tcPr>
                  <w:tcW w:w="908" w:type="pct"/>
                  <w:tcBorders>
                    <w:tl2br w:val="nil"/>
                    <w:tr2bl w:val="nil"/>
                  </w:tcBorders>
                  <w:shd w:val="clear" w:color="auto" w:fill="FFFFFF"/>
                  <w:noWrap w:val="0"/>
                  <w:vAlign w:val="center"/>
                </w:tcPr>
                <w:p w14:paraId="119009C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7D49F11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764093D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tcBorders>
                    <w:right w:val="single" w:color="000000" w:sz="4" w:space="0"/>
                    <w:tl2br w:val="nil"/>
                    <w:tr2bl w:val="nil"/>
                  </w:tcBorders>
                  <w:shd w:val="clear" w:color="auto" w:fill="FFFFFF"/>
                  <w:noWrap w:val="0"/>
                  <w:vAlign w:val="center"/>
                </w:tcPr>
                <w:p w14:paraId="1A459D7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1B264F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7607138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31</w:t>
                  </w:r>
                </w:p>
              </w:tc>
              <w:tc>
                <w:tcPr>
                  <w:tcW w:w="1443" w:type="pct"/>
                  <w:gridSpan w:val="2"/>
                  <w:tcBorders>
                    <w:tl2br w:val="nil"/>
                    <w:tr2bl w:val="nil"/>
                  </w:tcBorders>
                  <w:shd w:val="clear" w:color="auto" w:fill="FFFFFF"/>
                  <w:noWrap w:val="0"/>
                  <w:vAlign w:val="center"/>
                </w:tcPr>
                <w:p w14:paraId="5C984F8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苯</w:t>
                  </w:r>
                </w:p>
              </w:tc>
              <w:tc>
                <w:tcPr>
                  <w:tcW w:w="908" w:type="pct"/>
                  <w:tcBorders>
                    <w:tl2br w:val="nil"/>
                    <w:tr2bl w:val="nil"/>
                  </w:tcBorders>
                  <w:shd w:val="clear" w:color="auto" w:fill="FFFFFF"/>
                  <w:noWrap w:val="0"/>
                  <w:vAlign w:val="center"/>
                </w:tcPr>
                <w:p w14:paraId="50ECFE2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672" w:type="pct"/>
                  <w:tcBorders>
                    <w:tl2br w:val="nil"/>
                    <w:tr2bl w:val="nil"/>
                  </w:tcBorders>
                  <w:shd w:val="clear" w:color="auto" w:fill="FFFFFF"/>
                  <w:noWrap w:val="0"/>
                  <w:vAlign w:val="center"/>
                </w:tcPr>
                <w:p w14:paraId="6C54BB6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3A18441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tcBorders>
                    <w:right w:val="single" w:color="000000" w:sz="4" w:space="0"/>
                    <w:tl2br w:val="nil"/>
                    <w:tr2bl w:val="nil"/>
                  </w:tcBorders>
                  <w:shd w:val="clear" w:color="auto" w:fill="FFFFFF"/>
                  <w:noWrap w:val="0"/>
                  <w:vAlign w:val="center"/>
                </w:tcPr>
                <w:p w14:paraId="48267EF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0.01</w:t>
                  </w:r>
                </w:p>
              </w:tc>
            </w:tr>
            <w:tr w14:paraId="53165C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4EA6E84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32</w:t>
                  </w:r>
                </w:p>
              </w:tc>
              <w:tc>
                <w:tcPr>
                  <w:tcW w:w="1443" w:type="pct"/>
                  <w:gridSpan w:val="2"/>
                  <w:tcBorders>
                    <w:tl2br w:val="nil"/>
                    <w:tr2bl w:val="nil"/>
                  </w:tcBorders>
                  <w:shd w:val="clear" w:color="auto" w:fill="FFFFFF"/>
                  <w:noWrap w:val="0"/>
                  <w:vAlign w:val="center"/>
                </w:tcPr>
                <w:p w14:paraId="187ECE3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甲苯</w:t>
                  </w:r>
                </w:p>
              </w:tc>
              <w:tc>
                <w:tcPr>
                  <w:tcW w:w="908" w:type="pct"/>
                  <w:tcBorders>
                    <w:tl2br w:val="nil"/>
                    <w:tr2bl w:val="nil"/>
                  </w:tcBorders>
                  <w:shd w:val="clear" w:color="auto" w:fill="FFFFFF"/>
                  <w:noWrap w:val="0"/>
                  <w:vAlign w:val="center"/>
                </w:tcPr>
                <w:p w14:paraId="2C8E95D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672" w:type="pct"/>
                  <w:tcBorders>
                    <w:tl2br w:val="nil"/>
                    <w:tr2bl w:val="nil"/>
                  </w:tcBorders>
                  <w:shd w:val="clear" w:color="auto" w:fill="FFFFFF"/>
                  <w:noWrap w:val="0"/>
                  <w:vAlign w:val="center"/>
                </w:tcPr>
                <w:p w14:paraId="4CDE190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6095034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tcBorders>
                    <w:right w:val="single" w:color="000000" w:sz="4" w:space="0"/>
                    <w:tl2br w:val="nil"/>
                    <w:tr2bl w:val="nil"/>
                  </w:tcBorders>
                  <w:shd w:val="clear" w:color="auto" w:fill="FFFFFF"/>
                  <w:noWrap w:val="0"/>
                  <w:vAlign w:val="center"/>
                </w:tcPr>
                <w:p w14:paraId="26BAF8C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0.7</w:t>
                  </w:r>
                </w:p>
              </w:tc>
            </w:tr>
            <w:tr w14:paraId="420A54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vMerge w:val="restart"/>
                  <w:tcBorders>
                    <w:left w:val="single" w:color="000000" w:sz="4" w:space="0"/>
                    <w:tl2br w:val="nil"/>
                    <w:tr2bl w:val="nil"/>
                  </w:tcBorders>
                  <w:shd w:val="clear" w:color="auto" w:fill="FFFFFF"/>
                  <w:noWrap/>
                  <w:vAlign w:val="center"/>
                </w:tcPr>
                <w:p w14:paraId="45E474B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33</w:t>
                  </w:r>
                </w:p>
              </w:tc>
              <w:tc>
                <w:tcPr>
                  <w:tcW w:w="363" w:type="pct"/>
                  <w:vMerge w:val="restart"/>
                  <w:tcBorders>
                    <w:tl2br w:val="nil"/>
                    <w:tr2bl w:val="nil"/>
                  </w:tcBorders>
                  <w:shd w:val="clear" w:color="auto" w:fill="FFFFFF"/>
                  <w:noWrap w:val="0"/>
                  <w:vAlign w:val="center"/>
                </w:tcPr>
                <w:p w14:paraId="0EE5134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二甲苯</w:t>
                  </w:r>
                </w:p>
              </w:tc>
              <w:tc>
                <w:tcPr>
                  <w:tcW w:w="1079" w:type="pct"/>
                  <w:tcBorders>
                    <w:tl2br w:val="nil"/>
                    <w:tr2bl w:val="nil"/>
                  </w:tcBorders>
                  <w:shd w:val="clear" w:color="auto" w:fill="FFFFFF"/>
                  <w:noWrap w:val="0"/>
                  <w:vAlign w:val="center"/>
                </w:tcPr>
                <w:p w14:paraId="21796BF2">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对二甲苯</w:t>
                  </w:r>
                </w:p>
              </w:tc>
              <w:tc>
                <w:tcPr>
                  <w:tcW w:w="908" w:type="pct"/>
                  <w:tcBorders>
                    <w:tl2br w:val="nil"/>
                    <w:tr2bl w:val="nil"/>
                  </w:tcBorders>
                  <w:shd w:val="clear" w:color="auto" w:fill="FFFFFF"/>
                  <w:noWrap w:val="0"/>
                  <w:vAlign w:val="center"/>
                </w:tcPr>
                <w:p w14:paraId="6C2AFB0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672" w:type="pct"/>
                  <w:tcBorders>
                    <w:tl2br w:val="nil"/>
                    <w:tr2bl w:val="nil"/>
                  </w:tcBorders>
                  <w:shd w:val="clear" w:color="auto" w:fill="FFFFFF"/>
                  <w:noWrap w:val="0"/>
                  <w:vAlign w:val="center"/>
                </w:tcPr>
                <w:p w14:paraId="4B4CCF5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7EDE6FA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vMerge w:val="restart"/>
                  <w:tcBorders>
                    <w:right w:val="single" w:color="000000" w:sz="4" w:space="0"/>
                    <w:tl2br w:val="nil"/>
                    <w:tr2bl w:val="nil"/>
                  </w:tcBorders>
                  <w:shd w:val="clear" w:color="auto" w:fill="FFFFFF"/>
                  <w:noWrap w:val="0"/>
                  <w:vAlign w:val="center"/>
                </w:tcPr>
                <w:p w14:paraId="7D3E986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0.5</w:t>
                  </w:r>
                </w:p>
              </w:tc>
            </w:tr>
            <w:tr w14:paraId="2061A2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vMerge w:val="continue"/>
                  <w:tcBorders>
                    <w:left w:val="single" w:color="000000" w:sz="4" w:space="0"/>
                    <w:tl2br w:val="nil"/>
                    <w:tr2bl w:val="nil"/>
                  </w:tcBorders>
                  <w:shd w:val="clear" w:color="auto" w:fill="FFFFFF"/>
                  <w:noWrap/>
                  <w:vAlign w:val="center"/>
                </w:tcPr>
                <w:p w14:paraId="68D790B1">
                  <w:pPr>
                    <w:jc w:val="center"/>
                    <w:rPr>
                      <w:rFonts w:hint="default" w:ascii="Times New Roman" w:hAnsi="Times New Roman" w:eastAsia="宋体" w:cs="Times New Roman"/>
                      <w:b w:val="0"/>
                      <w:i w:val="0"/>
                      <w:iCs w:val="0"/>
                      <w:color w:val="000000"/>
                      <w:sz w:val="21"/>
                      <w:szCs w:val="21"/>
                      <w:highlight w:val="none"/>
                      <w:u w:val="none"/>
                    </w:rPr>
                  </w:pPr>
                </w:p>
              </w:tc>
              <w:tc>
                <w:tcPr>
                  <w:tcW w:w="363" w:type="pct"/>
                  <w:vMerge w:val="continue"/>
                  <w:tcBorders>
                    <w:tl2br w:val="nil"/>
                    <w:tr2bl w:val="nil"/>
                  </w:tcBorders>
                  <w:shd w:val="clear" w:color="auto" w:fill="FFFFFF"/>
                  <w:noWrap w:val="0"/>
                  <w:vAlign w:val="center"/>
                </w:tcPr>
                <w:p w14:paraId="70C5FDD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1079" w:type="pct"/>
                  <w:tcBorders>
                    <w:tl2br w:val="nil"/>
                    <w:tr2bl w:val="nil"/>
                  </w:tcBorders>
                  <w:shd w:val="clear" w:color="auto" w:fill="FFFFFF"/>
                  <w:noWrap w:val="0"/>
                  <w:vAlign w:val="center"/>
                </w:tcPr>
                <w:p w14:paraId="35BB7692">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间二甲苯</w:t>
                  </w:r>
                </w:p>
              </w:tc>
              <w:tc>
                <w:tcPr>
                  <w:tcW w:w="908" w:type="pct"/>
                  <w:tcBorders>
                    <w:tl2br w:val="nil"/>
                    <w:tr2bl w:val="nil"/>
                  </w:tcBorders>
                  <w:shd w:val="clear" w:color="auto" w:fill="FFFFFF"/>
                  <w:noWrap w:val="0"/>
                  <w:vAlign w:val="center"/>
                </w:tcPr>
                <w:p w14:paraId="316CCC1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672" w:type="pct"/>
                  <w:tcBorders>
                    <w:tl2br w:val="nil"/>
                    <w:tr2bl w:val="nil"/>
                  </w:tcBorders>
                  <w:shd w:val="clear" w:color="auto" w:fill="FFFFFF"/>
                  <w:noWrap w:val="0"/>
                  <w:vAlign w:val="center"/>
                </w:tcPr>
                <w:p w14:paraId="652CE02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56252A1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vMerge w:val="continue"/>
                  <w:tcBorders>
                    <w:right w:val="single" w:color="000000" w:sz="4" w:space="0"/>
                    <w:tl2br w:val="nil"/>
                    <w:tr2bl w:val="nil"/>
                  </w:tcBorders>
                  <w:shd w:val="clear" w:color="auto" w:fill="FFFFFF"/>
                  <w:noWrap w:val="0"/>
                  <w:vAlign w:val="center"/>
                </w:tcPr>
                <w:p w14:paraId="2CB695E6">
                  <w:pPr>
                    <w:jc w:val="center"/>
                    <w:rPr>
                      <w:rFonts w:hint="default" w:ascii="Times New Roman" w:hAnsi="Times New Roman" w:eastAsia="宋体" w:cs="Times New Roman"/>
                      <w:b w:val="0"/>
                      <w:i w:val="0"/>
                      <w:iCs w:val="0"/>
                      <w:color w:val="000000"/>
                      <w:sz w:val="21"/>
                      <w:szCs w:val="21"/>
                      <w:highlight w:val="none"/>
                      <w:u w:val="none"/>
                    </w:rPr>
                  </w:pPr>
                </w:p>
              </w:tc>
            </w:tr>
            <w:tr w14:paraId="615B82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vMerge w:val="continue"/>
                  <w:tcBorders>
                    <w:left w:val="single" w:color="000000" w:sz="4" w:space="0"/>
                    <w:tl2br w:val="nil"/>
                    <w:tr2bl w:val="nil"/>
                  </w:tcBorders>
                  <w:shd w:val="clear" w:color="auto" w:fill="FFFFFF"/>
                  <w:noWrap/>
                  <w:vAlign w:val="center"/>
                </w:tcPr>
                <w:p w14:paraId="1E129A3B">
                  <w:pPr>
                    <w:jc w:val="center"/>
                    <w:rPr>
                      <w:rFonts w:hint="default" w:ascii="Times New Roman" w:hAnsi="Times New Roman" w:eastAsia="宋体" w:cs="Times New Roman"/>
                      <w:b w:val="0"/>
                      <w:i w:val="0"/>
                      <w:iCs w:val="0"/>
                      <w:color w:val="000000"/>
                      <w:sz w:val="21"/>
                      <w:szCs w:val="21"/>
                      <w:highlight w:val="none"/>
                      <w:u w:val="none"/>
                    </w:rPr>
                  </w:pPr>
                </w:p>
              </w:tc>
              <w:tc>
                <w:tcPr>
                  <w:tcW w:w="363" w:type="pct"/>
                  <w:vMerge w:val="continue"/>
                  <w:tcBorders>
                    <w:tl2br w:val="nil"/>
                    <w:tr2bl w:val="nil"/>
                  </w:tcBorders>
                  <w:shd w:val="clear" w:color="auto" w:fill="FFFFFF"/>
                  <w:noWrap w:val="0"/>
                  <w:vAlign w:val="center"/>
                </w:tcPr>
                <w:p w14:paraId="303CCDF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1079" w:type="pct"/>
                  <w:tcBorders>
                    <w:tl2br w:val="nil"/>
                    <w:tr2bl w:val="nil"/>
                  </w:tcBorders>
                  <w:shd w:val="clear" w:color="auto" w:fill="FFFFFF"/>
                  <w:noWrap w:val="0"/>
                  <w:vAlign w:val="center"/>
                </w:tcPr>
                <w:p w14:paraId="0E1F2058">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邻二甲苯</w:t>
                  </w:r>
                </w:p>
              </w:tc>
              <w:tc>
                <w:tcPr>
                  <w:tcW w:w="908" w:type="pct"/>
                  <w:tcBorders>
                    <w:tl2br w:val="nil"/>
                    <w:tr2bl w:val="nil"/>
                  </w:tcBorders>
                  <w:shd w:val="clear" w:color="auto" w:fill="FFFFFF"/>
                  <w:noWrap w:val="0"/>
                  <w:vAlign w:val="center"/>
                </w:tcPr>
                <w:p w14:paraId="4605EC8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μg/L</w:t>
                  </w:r>
                </w:p>
              </w:tc>
              <w:tc>
                <w:tcPr>
                  <w:tcW w:w="672" w:type="pct"/>
                  <w:tcBorders>
                    <w:tl2br w:val="nil"/>
                    <w:tr2bl w:val="nil"/>
                  </w:tcBorders>
                  <w:shd w:val="clear" w:color="auto" w:fill="FFFFFF"/>
                  <w:noWrap w:val="0"/>
                  <w:vAlign w:val="center"/>
                </w:tcPr>
                <w:p w14:paraId="7F9B985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6807869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vMerge w:val="continue"/>
                  <w:tcBorders>
                    <w:right w:val="single" w:color="000000" w:sz="4" w:space="0"/>
                    <w:tl2br w:val="nil"/>
                    <w:tr2bl w:val="nil"/>
                  </w:tcBorders>
                  <w:shd w:val="clear" w:color="auto" w:fill="FFFFFF"/>
                  <w:noWrap w:val="0"/>
                  <w:vAlign w:val="center"/>
                </w:tcPr>
                <w:p w14:paraId="24D4EEAE">
                  <w:pPr>
                    <w:jc w:val="center"/>
                    <w:rPr>
                      <w:rFonts w:hint="default" w:ascii="Times New Roman" w:hAnsi="Times New Roman" w:eastAsia="宋体" w:cs="Times New Roman"/>
                      <w:b w:val="0"/>
                      <w:i w:val="0"/>
                      <w:iCs w:val="0"/>
                      <w:color w:val="000000"/>
                      <w:sz w:val="21"/>
                      <w:szCs w:val="21"/>
                      <w:highlight w:val="none"/>
                      <w:u w:val="none"/>
                    </w:rPr>
                  </w:pPr>
                </w:p>
              </w:tc>
            </w:tr>
            <w:tr w14:paraId="627110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tl2br w:val="nil"/>
                    <w:tr2bl w:val="nil"/>
                  </w:tcBorders>
                  <w:shd w:val="clear" w:color="auto" w:fill="FFFFFF"/>
                  <w:noWrap w:val="0"/>
                  <w:vAlign w:val="center"/>
                </w:tcPr>
                <w:p w14:paraId="3016306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34</w:t>
                  </w:r>
                </w:p>
              </w:tc>
              <w:tc>
                <w:tcPr>
                  <w:tcW w:w="1443" w:type="pct"/>
                  <w:gridSpan w:val="2"/>
                  <w:tcBorders>
                    <w:tl2br w:val="nil"/>
                    <w:tr2bl w:val="nil"/>
                  </w:tcBorders>
                  <w:shd w:val="clear" w:color="auto" w:fill="FFFFFF"/>
                  <w:noWrap w:val="0"/>
                  <w:vAlign w:val="center"/>
                </w:tcPr>
                <w:p w14:paraId="7D1C17B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碳酸根（CO</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3</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2-</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908" w:type="pct"/>
                  <w:tcBorders>
                    <w:tl2br w:val="nil"/>
                    <w:tr2bl w:val="nil"/>
                  </w:tcBorders>
                  <w:shd w:val="clear" w:color="auto" w:fill="FFFFFF"/>
                  <w:noWrap w:val="0"/>
                  <w:vAlign w:val="center"/>
                </w:tcPr>
                <w:p w14:paraId="4A87B48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tl2br w:val="nil"/>
                    <w:tr2bl w:val="nil"/>
                  </w:tcBorders>
                  <w:shd w:val="clear" w:color="auto" w:fill="FFFFFF"/>
                  <w:noWrap w:val="0"/>
                  <w:vAlign w:val="center"/>
                </w:tcPr>
                <w:p w14:paraId="7DEC6DC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tl2br w:val="nil"/>
                    <w:tr2bl w:val="nil"/>
                  </w:tcBorders>
                  <w:shd w:val="clear" w:color="auto" w:fill="FFFFFF"/>
                  <w:noWrap w:val="0"/>
                  <w:vAlign w:val="center"/>
                </w:tcPr>
                <w:p w14:paraId="056338B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tcBorders>
                    <w:right w:val="single" w:color="000000" w:sz="4" w:space="0"/>
                    <w:tl2br w:val="nil"/>
                    <w:tr2bl w:val="nil"/>
                  </w:tcBorders>
                  <w:shd w:val="clear" w:color="auto" w:fill="FFFFFF"/>
                  <w:noWrap w:val="0"/>
                  <w:vAlign w:val="center"/>
                </w:tcPr>
                <w:p w14:paraId="1867777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r w14:paraId="472320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85" w:type="pct"/>
                  <w:tcBorders>
                    <w:left w:val="single" w:color="000000" w:sz="4" w:space="0"/>
                    <w:bottom w:val="single" w:color="000000" w:sz="4" w:space="0"/>
                    <w:tl2br w:val="nil"/>
                    <w:tr2bl w:val="nil"/>
                  </w:tcBorders>
                  <w:shd w:val="clear" w:color="auto" w:fill="FFFFFF"/>
                  <w:noWrap w:val="0"/>
                  <w:vAlign w:val="center"/>
                </w:tcPr>
                <w:p w14:paraId="37F0C281">
                  <w:pPr>
                    <w:keepNext w:val="0"/>
                    <w:keepLines w:val="0"/>
                    <w:widowControl/>
                    <w:suppressLineNumbers w:val="0"/>
                    <w:jc w:val="center"/>
                    <w:textAlignment w:val="cente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34</w:t>
                  </w:r>
                </w:p>
              </w:tc>
              <w:tc>
                <w:tcPr>
                  <w:tcW w:w="1443" w:type="pct"/>
                  <w:gridSpan w:val="2"/>
                  <w:tcBorders>
                    <w:bottom w:val="single" w:color="000000" w:sz="4" w:space="0"/>
                    <w:tl2br w:val="nil"/>
                    <w:tr2bl w:val="nil"/>
                  </w:tcBorders>
                  <w:shd w:val="clear" w:color="auto" w:fill="FFFFFF"/>
                  <w:noWrap w:val="0"/>
                  <w:vAlign w:val="center"/>
                </w:tcPr>
                <w:p w14:paraId="3CF1590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重碳酸根（HCO</w:t>
                  </w:r>
                  <w:r>
                    <w:rPr>
                      <w:rFonts w:hint="default" w:ascii="Times New Roman" w:hAnsi="Times New Roman" w:eastAsia="宋体" w:cs="Times New Roman"/>
                      <w:b w:val="0"/>
                      <w:i w:val="0"/>
                      <w:iCs w:val="0"/>
                      <w:snapToGrid w:val="0"/>
                      <w:color w:val="000000"/>
                      <w:kern w:val="0"/>
                      <w:sz w:val="21"/>
                      <w:szCs w:val="21"/>
                      <w:highlight w:val="none"/>
                      <w:u w:val="none"/>
                      <w:vertAlign w:val="subscript"/>
                      <w:lang w:val="en-US" w:eastAsia="zh-CN" w:bidi="ar"/>
                    </w:rPr>
                    <w:t>3</w:t>
                  </w:r>
                  <w:r>
                    <w:rPr>
                      <w:rFonts w:hint="default" w:ascii="Times New Roman" w:hAnsi="Times New Roman" w:eastAsia="宋体" w:cs="Times New Roman"/>
                      <w:b w:val="0"/>
                      <w:i w:val="0"/>
                      <w:iCs w:val="0"/>
                      <w:snapToGrid w:val="0"/>
                      <w:color w:val="000000"/>
                      <w:kern w:val="0"/>
                      <w:sz w:val="21"/>
                      <w:szCs w:val="21"/>
                      <w:highlight w:val="none"/>
                      <w:u w:val="none"/>
                      <w:vertAlign w:val="superscript"/>
                      <w:lang w:val="en-US" w:eastAsia="zh-CN" w:bidi="ar"/>
                    </w:rPr>
                    <w:t>-</w:t>
                  </w: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c>
                <w:tcPr>
                  <w:tcW w:w="908" w:type="pct"/>
                  <w:tcBorders>
                    <w:bottom w:val="single" w:color="000000" w:sz="4" w:space="0"/>
                    <w:tl2br w:val="nil"/>
                    <w:tr2bl w:val="nil"/>
                  </w:tcBorders>
                  <w:shd w:val="clear" w:color="auto" w:fill="FFFFFF"/>
                  <w:noWrap w:val="0"/>
                  <w:vAlign w:val="center"/>
                </w:tcPr>
                <w:p w14:paraId="2427C0E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mg/L</w:t>
                  </w:r>
                </w:p>
              </w:tc>
              <w:tc>
                <w:tcPr>
                  <w:tcW w:w="672" w:type="pct"/>
                  <w:tcBorders>
                    <w:bottom w:val="single" w:color="000000" w:sz="4" w:space="0"/>
                    <w:tl2br w:val="nil"/>
                    <w:tr2bl w:val="nil"/>
                  </w:tcBorders>
                  <w:shd w:val="clear" w:color="auto" w:fill="FFFFFF"/>
                  <w:noWrap w:val="0"/>
                  <w:vAlign w:val="center"/>
                </w:tcPr>
                <w:p w14:paraId="2915FFF2">
                  <w:pPr>
                    <w:keepNext w:val="0"/>
                    <w:keepLines w:val="0"/>
                    <w:widowControl/>
                    <w:suppressLineNumbers w:val="0"/>
                    <w:jc w:val="center"/>
                    <w:textAlignment w:val="top"/>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702" w:type="pct"/>
                  <w:tcBorders>
                    <w:bottom w:val="single" w:color="000000" w:sz="4" w:space="0"/>
                    <w:tl2br w:val="nil"/>
                    <w:tr2bl w:val="nil"/>
                  </w:tcBorders>
                  <w:shd w:val="clear" w:color="auto" w:fill="FFFFFF"/>
                  <w:noWrap w:val="0"/>
                  <w:vAlign w:val="center"/>
                </w:tcPr>
                <w:p w14:paraId="08EB061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eastAsia" w:ascii="Times New Roman" w:hAnsi="Times New Roman" w:eastAsia="宋体" w:cs="Times New Roman"/>
                      <w:b w:val="0"/>
                      <w:i w:val="0"/>
                      <w:iCs w:val="0"/>
                      <w:color w:val="000000"/>
                      <w:kern w:val="0"/>
                      <w:sz w:val="21"/>
                      <w:szCs w:val="21"/>
                      <w:highlight w:val="none"/>
                      <w:u w:val="none"/>
                      <w:lang w:val="en-US" w:eastAsia="zh-CN" w:bidi="ar"/>
                    </w:rPr>
                    <w:t>/</w:t>
                  </w:r>
                </w:p>
              </w:tc>
              <w:tc>
                <w:tcPr>
                  <w:tcW w:w="688" w:type="pct"/>
                  <w:tcBorders>
                    <w:bottom w:val="single" w:color="000000" w:sz="4" w:space="0"/>
                    <w:right w:val="single" w:color="000000" w:sz="4" w:space="0"/>
                    <w:tl2br w:val="nil"/>
                    <w:tr2bl w:val="nil"/>
                  </w:tcBorders>
                  <w:shd w:val="clear" w:color="auto" w:fill="FFFFFF"/>
                  <w:noWrap w:val="0"/>
                  <w:vAlign w:val="center"/>
                </w:tcPr>
                <w:p w14:paraId="755D30B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i w:val="0"/>
                      <w:iCs w:val="0"/>
                      <w:snapToGrid w:val="0"/>
                      <w:color w:val="000000"/>
                      <w:kern w:val="0"/>
                      <w:sz w:val="21"/>
                      <w:szCs w:val="21"/>
                      <w:highlight w:val="none"/>
                      <w:u w:val="none"/>
                      <w:lang w:val="en-US" w:eastAsia="zh-CN" w:bidi="ar"/>
                    </w:rPr>
                    <w:t>/</w:t>
                  </w:r>
                </w:p>
              </w:tc>
            </w:tr>
          </w:tbl>
          <w:p w14:paraId="23764DC4">
            <w:pPr>
              <w:keepNext w:val="0"/>
              <w:keepLines w:val="0"/>
              <w:pageBreakBefore w:val="0"/>
              <w:widowControl/>
              <w:kinsoku/>
              <w:wordWrap/>
              <w:overflowPunct/>
              <w:topLinePunct w:val="0"/>
              <w:autoSpaceDE/>
              <w:autoSpaceDN/>
              <w:bidi w:val="0"/>
              <w:adjustRightInd/>
              <w:snapToGrid/>
              <w:spacing w:before="157" w:beforeLines="50" w:line="360" w:lineRule="auto"/>
              <w:ind w:firstLine="480" w:firstLineChars="200"/>
              <w:jc w:val="left"/>
              <w:textAlignment w:val="auto"/>
              <w:rPr>
                <w:color w:val="000000"/>
                <w:sz w:val="24"/>
                <w:szCs w:val="24"/>
                <w:highlight w:val="none"/>
              </w:rPr>
            </w:pPr>
            <w:r>
              <w:rPr>
                <w:rFonts w:hint="eastAsia"/>
                <w:color w:val="000000"/>
                <w:sz w:val="24"/>
                <w:szCs w:val="24"/>
                <w:highlight w:val="none"/>
              </w:rPr>
              <w:t>根据监测报告，区域地下水指标中溶解性总固体、氯化物、钠超出《地下水质量标准》（GB/T14848-2017）</w:t>
            </w:r>
            <w:r>
              <w:rPr>
                <w:rFonts w:hint="default" w:ascii="Times New Roman" w:hAnsi="Times New Roman" w:cs="Times New Roman"/>
                <w:color w:val="000000"/>
                <w:sz w:val="24"/>
                <w:szCs w:val="24"/>
                <w:highlight w:val="none"/>
              </w:rPr>
              <w:t>Ⅲ</w:t>
            </w:r>
            <w:r>
              <w:rPr>
                <w:rFonts w:hint="eastAsia"/>
                <w:color w:val="000000"/>
                <w:sz w:val="24"/>
                <w:szCs w:val="24"/>
                <w:highlight w:val="none"/>
              </w:rPr>
              <w:t>类标准限值，超标原因主要为区域水文地质条件导致的天然背景值较高（属典型干旱-半干旱大陆性气候区，降水稀少、蒸发强烈，地层本身富含可溶性盐分）。其余监测因子（pH、氨氮、挥发性酚类、氰化物、重金属等）均满足标准要求。</w:t>
            </w:r>
          </w:p>
          <w:p w14:paraId="39D3CF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000000" w:themeColor="text1"/>
                <w:sz w:val="24"/>
                <w:highlight w:val="none"/>
                <w14:textFill>
                  <w14:solidFill>
                    <w14:schemeClr w14:val="tx1"/>
                  </w14:solidFill>
                </w14:textFill>
              </w:rPr>
            </w:pPr>
            <w:r>
              <w:rPr>
                <w:rFonts w:ascii="Times New Roman" w:hAnsi="Times New Roman" w:eastAsia="宋体" w:cs="Times New Roman"/>
                <w:color w:val="000000" w:themeColor="text1"/>
                <w:sz w:val="24"/>
                <w:highlight w:val="none"/>
                <w14:textFill>
                  <w14:solidFill>
                    <w14:schemeClr w14:val="tx1"/>
                  </w14:solidFill>
                </w14:textFill>
              </w:rPr>
              <w:t>库尔勒属于典型的干旱-半干旱大陆性气候，降水稀少，蒸发量巨大（年蒸发量可达2000-3000mm）。水分蒸发后，盐分残留并不断积累。塔里木盆地北缘地质历史上是古海洋或封闭湖泊沉积环境，地层本身富含可溶性盐分。干旱气候下的强烈蒸发浓缩作用和富含盐分的地质背景。导致地下水本底值（</w:t>
            </w:r>
            <w:r>
              <w:rPr>
                <w:rFonts w:hint="default" w:ascii="Times New Roman" w:hAnsi="Times New Roman" w:eastAsia="宋体" w:cs="Times New Roman"/>
                <w:i w:val="0"/>
                <w:iCs w:val="0"/>
                <w:snapToGrid w:val="0"/>
                <w:color w:val="000000"/>
                <w:kern w:val="0"/>
                <w:sz w:val="24"/>
                <w:szCs w:val="24"/>
                <w:highlight w:val="none"/>
                <w:u w:val="none"/>
                <w:lang w:val="en-US" w:eastAsia="zh-CN" w:bidi="ar"/>
              </w:rPr>
              <w:t>溶解性总固体</w:t>
            </w:r>
            <w:r>
              <w:rPr>
                <w:rFonts w:hint="eastAsia"/>
                <w:color w:val="000000"/>
                <w:sz w:val="24"/>
                <w:szCs w:val="24"/>
                <w:highlight w:val="none"/>
                <w:lang w:val="en-US" w:eastAsia="zh-CN"/>
              </w:rPr>
              <w:t>、</w:t>
            </w:r>
            <w:r>
              <w:rPr>
                <w:rFonts w:hint="default"/>
                <w:color w:val="000000"/>
                <w:sz w:val="24"/>
                <w:szCs w:val="24"/>
                <w:highlight w:val="none"/>
                <w:lang w:val="en-US" w:eastAsia="zh-CN"/>
              </w:rPr>
              <w:t>氯化物</w:t>
            </w:r>
            <w:r>
              <w:rPr>
                <w:rFonts w:hint="eastAsia"/>
                <w:color w:val="000000"/>
                <w:sz w:val="24"/>
                <w:szCs w:val="24"/>
                <w:highlight w:val="none"/>
                <w:lang w:val="en-US" w:eastAsia="zh-CN"/>
              </w:rPr>
              <w:t>、</w:t>
            </w:r>
            <w:r>
              <w:rPr>
                <w:rFonts w:hint="default" w:ascii="Times New Roman" w:hAnsi="Times New Roman" w:eastAsia="宋体" w:cs="Times New Roman"/>
                <w:i w:val="0"/>
                <w:iCs w:val="0"/>
                <w:snapToGrid w:val="0"/>
                <w:color w:val="000000"/>
                <w:kern w:val="0"/>
                <w:sz w:val="24"/>
                <w:szCs w:val="24"/>
                <w:highlight w:val="none"/>
                <w:u w:val="none"/>
                <w:lang w:val="en-US" w:eastAsia="zh-CN" w:bidi="ar"/>
              </w:rPr>
              <w:t>钠</w:t>
            </w:r>
            <w:r>
              <w:rPr>
                <w:rFonts w:hint="eastAsia" w:cs="Times New Roman"/>
                <w:color w:val="000000" w:themeColor="text1"/>
                <w:sz w:val="24"/>
                <w:highlight w:val="none"/>
                <w:lang w:val="en-US" w:eastAsia="zh-CN"/>
                <w14:textFill>
                  <w14:solidFill>
                    <w14:schemeClr w14:val="tx1"/>
                  </w14:solidFill>
                </w14:textFill>
              </w:rPr>
              <w:t>等</w:t>
            </w:r>
            <w:r>
              <w:rPr>
                <w:rFonts w:ascii="Times New Roman" w:hAnsi="Times New Roman" w:eastAsia="宋体" w:cs="Times New Roman"/>
                <w:color w:val="000000" w:themeColor="text1"/>
                <w:sz w:val="24"/>
                <w:highlight w:val="none"/>
                <w14:textFill>
                  <w14:solidFill>
                    <w14:schemeClr w14:val="tx1"/>
                  </w14:solidFill>
                </w14:textFill>
              </w:rPr>
              <w:t>）偏高。</w:t>
            </w:r>
          </w:p>
          <w:p w14:paraId="761586E9">
            <w:pPr>
              <w:pStyle w:val="29"/>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eastAsia="宋体" w:cs="Times New Roman"/>
                <w:color w:val="000000"/>
                <w:kern w:val="2"/>
                <w:sz w:val="24"/>
                <w:szCs w:val="32"/>
                <w:highlight w:val="none"/>
                <w:lang w:val="en-US" w:eastAsia="zh-CN" w:bidi="ar-SA"/>
              </w:rPr>
            </w:pPr>
            <w:r>
              <w:rPr>
                <w:rFonts w:hint="eastAsia" w:cs="Times New Roman"/>
                <w:b/>
                <w:color w:val="000000"/>
                <w:highlight w:val="none"/>
                <w:lang w:val="en-US" w:eastAsia="zh-CN"/>
              </w:rPr>
              <w:t>3.5</w:t>
            </w:r>
            <w:r>
              <w:rPr>
                <w:rFonts w:hint="eastAsia" w:ascii="Times New Roman" w:hAnsi="Times New Roman" w:eastAsia="宋体" w:cs="Times New Roman"/>
                <w:b/>
                <w:color w:val="000000"/>
                <w:highlight w:val="none"/>
                <w:lang w:val="en-US" w:eastAsia="zh-CN"/>
              </w:rPr>
              <w:t>土壤</w:t>
            </w:r>
            <w:r>
              <w:rPr>
                <w:rFonts w:hint="default" w:ascii="Times New Roman" w:hAnsi="Times New Roman" w:eastAsia="宋体" w:cs="Times New Roman"/>
                <w:b/>
                <w:color w:val="000000"/>
                <w:highlight w:val="none"/>
                <w:lang w:val="en-US" w:eastAsia="zh-CN"/>
              </w:rPr>
              <w:t>环境质量现状</w:t>
            </w:r>
          </w:p>
          <w:p w14:paraId="768FAB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eastAsia="宋体"/>
                <w:color w:val="000000"/>
                <w:sz w:val="24"/>
                <w:szCs w:val="24"/>
                <w:highlight w:val="none"/>
              </w:rPr>
            </w:pPr>
            <w:r>
              <w:rPr>
                <w:rFonts w:hint="eastAsia"/>
                <w:color w:val="000000"/>
                <w:sz w:val="24"/>
                <w:szCs w:val="24"/>
                <w:highlight w:val="none"/>
                <w:lang w:val="en-US" w:eastAsia="zh-CN"/>
              </w:rPr>
              <w:t>1、</w:t>
            </w:r>
            <w:r>
              <w:rPr>
                <w:rFonts w:eastAsia="宋体"/>
                <w:color w:val="000000"/>
                <w:sz w:val="24"/>
                <w:szCs w:val="24"/>
                <w:highlight w:val="none"/>
              </w:rPr>
              <w:t>监测布点</w:t>
            </w:r>
          </w:p>
          <w:p w14:paraId="75B42DD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eastAsia="宋体"/>
                <w:color w:val="000000"/>
                <w:sz w:val="24"/>
                <w:szCs w:val="24"/>
                <w:highlight w:val="none"/>
              </w:rPr>
            </w:pPr>
            <w:r>
              <w:rPr>
                <w:rFonts w:hint="eastAsia" w:eastAsia="宋体"/>
                <w:color w:val="000000"/>
                <w:sz w:val="24"/>
                <w:szCs w:val="24"/>
                <w:highlight w:val="none"/>
              </w:rPr>
              <w:t>根据《建设项目环境影响报告表编制技术指南（污染影响类）（试行）》，本项目土壤环境质量现状引用规划环评中的监测数据。</w:t>
            </w:r>
          </w:p>
          <w:p w14:paraId="7ABE82E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eastAsia="宋体"/>
                <w:color w:val="000000"/>
                <w:sz w:val="24"/>
                <w:szCs w:val="24"/>
                <w:highlight w:val="none"/>
              </w:rPr>
            </w:pPr>
            <w:r>
              <w:rPr>
                <w:rFonts w:hint="eastAsia" w:eastAsia="宋体"/>
                <w:color w:val="000000"/>
                <w:sz w:val="24"/>
                <w:szCs w:val="24"/>
                <w:highlight w:val="none"/>
              </w:rPr>
              <w:t>引用数据来源：《库尔勒上库高新技术产业开发区国土空间专项规划（2024-2035年）环境影响报告书》，新疆维吾尔自治区生态环境厅，新环审〔2025〕303号，2025年批复。</w:t>
            </w:r>
          </w:p>
          <w:p w14:paraId="7514A52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eastAsia="宋体"/>
                <w:color w:val="000000"/>
                <w:sz w:val="24"/>
                <w:szCs w:val="24"/>
                <w:highlight w:val="none"/>
              </w:rPr>
            </w:pPr>
            <w:r>
              <w:rPr>
                <w:rFonts w:hint="eastAsia" w:eastAsia="宋体"/>
                <w:color w:val="000000"/>
                <w:sz w:val="24"/>
                <w:szCs w:val="24"/>
                <w:highlight w:val="none"/>
              </w:rPr>
              <w:t>监测时间：2025年6月25</w:t>
            </w:r>
            <w:r>
              <w:rPr>
                <w:rFonts w:eastAsia="宋体"/>
                <w:color w:val="000000"/>
                <w:sz w:val="24"/>
                <w:szCs w:val="24"/>
                <w:highlight w:val="none"/>
              </w:rPr>
              <w:t>日进行采样</w:t>
            </w:r>
            <w:r>
              <w:rPr>
                <w:rFonts w:hint="eastAsia" w:eastAsia="宋体"/>
                <w:color w:val="000000"/>
                <w:sz w:val="24"/>
                <w:szCs w:val="24"/>
                <w:highlight w:val="none"/>
              </w:rPr>
              <w:t>。</w:t>
            </w:r>
          </w:p>
          <w:p w14:paraId="575F85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eastAsia="宋体"/>
                <w:color w:val="000000"/>
                <w:sz w:val="24"/>
                <w:szCs w:val="24"/>
                <w:highlight w:val="none"/>
              </w:rPr>
            </w:pPr>
            <w:r>
              <w:rPr>
                <w:rFonts w:hint="eastAsia" w:eastAsia="宋体"/>
                <w:color w:val="000000"/>
                <w:sz w:val="24"/>
                <w:szCs w:val="24"/>
                <w:highlight w:val="none"/>
              </w:rPr>
              <w:t>监测点位：共设置</w:t>
            </w:r>
            <w:r>
              <w:rPr>
                <w:rFonts w:hint="eastAsia"/>
                <w:color w:val="000000"/>
                <w:sz w:val="24"/>
                <w:szCs w:val="24"/>
                <w:highlight w:val="none"/>
                <w:lang w:val="en-US" w:eastAsia="zh-CN"/>
              </w:rPr>
              <w:t>6</w:t>
            </w:r>
            <w:r>
              <w:rPr>
                <w:rFonts w:hint="eastAsia" w:eastAsia="宋体"/>
                <w:color w:val="000000"/>
                <w:sz w:val="24"/>
                <w:szCs w:val="24"/>
                <w:highlight w:val="none"/>
              </w:rPr>
              <w:t>个监测点位（</w:t>
            </w:r>
            <w:r>
              <w:rPr>
                <w:rFonts w:hint="eastAsia"/>
                <w:color w:val="000000"/>
                <w:sz w:val="24"/>
                <w:szCs w:val="24"/>
                <w:highlight w:val="none"/>
                <w:lang w:val="en-US" w:eastAsia="zh-CN"/>
              </w:rPr>
              <w:t>3</w:t>
            </w:r>
            <w:r>
              <w:rPr>
                <w:rFonts w:hint="eastAsia" w:eastAsia="宋体"/>
                <w:color w:val="000000"/>
                <w:sz w:val="24"/>
                <w:szCs w:val="24"/>
                <w:highlight w:val="none"/>
              </w:rPr>
              <w:t>个柱状样点、</w:t>
            </w:r>
            <w:r>
              <w:rPr>
                <w:rFonts w:hint="eastAsia"/>
                <w:color w:val="000000"/>
                <w:sz w:val="24"/>
                <w:szCs w:val="24"/>
                <w:highlight w:val="none"/>
                <w:lang w:val="en-US" w:eastAsia="zh-CN"/>
              </w:rPr>
              <w:t>3</w:t>
            </w:r>
            <w:r>
              <w:rPr>
                <w:rFonts w:hint="eastAsia" w:eastAsia="宋体"/>
                <w:color w:val="000000"/>
                <w:sz w:val="24"/>
                <w:szCs w:val="24"/>
                <w:highlight w:val="none"/>
              </w:rPr>
              <w:t>个表层样点），具体布设情况见表3-</w:t>
            </w:r>
            <w:r>
              <w:rPr>
                <w:rFonts w:hint="eastAsia"/>
                <w:color w:val="000000"/>
                <w:sz w:val="24"/>
                <w:szCs w:val="24"/>
                <w:highlight w:val="none"/>
                <w:lang w:val="en-US" w:eastAsia="zh-CN"/>
              </w:rPr>
              <w:t>7</w:t>
            </w:r>
            <w:r>
              <w:rPr>
                <w:rFonts w:hint="eastAsia" w:eastAsia="宋体"/>
                <w:color w:val="000000"/>
                <w:sz w:val="24"/>
                <w:szCs w:val="24"/>
                <w:highlight w:val="none"/>
              </w:rPr>
              <w:t>。</w:t>
            </w:r>
          </w:p>
          <w:p w14:paraId="03AE9DEA">
            <w:pPr>
              <w:pStyle w:val="23"/>
              <w:bidi w:val="0"/>
              <w:rPr>
                <w:rFonts w:hint="eastAsia"/>
                <w:lang w:eastAsia="zh-CN"/>
              </w:rPr>
            </w:pPr>
            <w:r>
              <w:t>表</w:t>
            </w:r>
            <w:r>
              <w:rPr>
                <w:rFonts w:hint="eastAsia"/>
                <w:lang w:val="en-US" w:eastAsia="zh-CN"/>
              </w:rPr>
              <w:t>3-7</w:t>
            </w:r>
            <w:r>
              <w:rPr>
                <w:rFonts w:hint="eastAsia"/>
                <w:lang w:eastAsia="zh-CN"/>
              </w:rPr>
              <w:t>土壤现状监测点位表</w:t>
            </w:r>
          </w:p>
          <w:tbl>
            <w:tblPr>
              <w:tblStyle w:val="31"/>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9" w:type="dxa"/>
                <w:left w:w="186" w:type="dxa"/>
                <w:bottom w:w="9" w:type="dxa"/>
                <w:right w:w="73" w:type="dxa"/>
              </w:tblCellMar>
            </w:tblPr>
            <w:tblGrid>
              <w:gridCol w:w="1593"/>
              <w:gridCol w:w="1668"/>
              <w:gridCol w:w="2076"/>
              <w:gridCol w:w="1292"/>
              <w:gridCol w:w="1760"/>
            </w:tblGrid>
            <w:tr w14:paraId="0E80CA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9" w:type="dxa"/>
                  <w:left w:w="186" w:type="dxa"/>
                  <w:bottom w:w="9" w:type="dxa"/>
                  <w:right w:w="73" w:type="dxa"/>
                </w:tblCellMar>
              </w:tblPrEx>
              <w:trPr>
                <w:cantSplit/>
                <w:trHeight w:val="279" w:hRule="atLeast"/>
              </w:trPr>
              <w:tc>
                <w:tcPr>
                  <w:tcW w:w="949" w:type="pct"/>
                  <w:vMerge w:val="restart"/>
                  <w:tcBorders>
                    <w:top w:val="single" w:color="000000" w:sz="4" w:space="0"/>
                    <w:left w:val="single" w:color="000000" w:sz="4" w:space="0"/>
                    <w:tl2br w:val="nil"/>
                    <w:tr2bl w:val="nil"/>
                  </w:tcBorders>
                  <w:shd w:val="clear" w:color="auto" w:fill="FFFFFF"/>
                  <w:noWrap w:val="0"/>
                  <w:vAlign w:val="center"/>
                </w:tcPr>
                <w:p w14:paraId="650E28EA">
                  <w:pPr>
                    <w:pStyle w:val="30"/>
                    <w:bidi w:val="0"/>
                    <w:jc w:val="center"/>
                    <w:rPr>
                      <w:b w:val="0"/>
                      <w:color w:val="000000"/>
                      <w:highlight w:val="none"/>
                    </w:rPr>
                  </w:pPr>
                  <w:r>
                    <w:rPr>
                      <w:b w:val="0"/>
                      <w:color w:val="000000"/>
                      <w:highlight w:val="none"/>
                    </w:rPr>
                    <w:t>监测点编号</w:t>
                  </w:r>
                </w:p>
              </w:tc>
              <w:tc>
                <w:tcPr>
                  <w:tcW w:w="994" w:type="pct"/>
                  <w:vMerge w:val="restart"/>
                  <w:tcBorders>
                    <w:top w:val="single" w:color="000000" w:sz="4" w:space="0"/>
                    <w:tl2br w:val="nil"/>
                    <w:tr2bl w:val="nil"/>
                  </w:tcBorders>
                  <w:shd w:val="clear" w:color="auto" w:fill="FFFFFF"/>
                  <w:noWrap w:val="0"/>
                  <w:vAlign w:val="center"/>
                </w:tcPr>
                <w:p w14:paraId="4DB56F6F">
                  <w:pPr>
                    <w:pStyle w:val="30"/>
                    <w:bidi w:val="0"/>
                    <w:jc w:val="center"/>
                    <w:rPr>
                      <w:b w:val="0"/>
                      <w:color w:val="000000"/>
                      <w:highlight w:val="none"/>
                    </w:rPr>
                  </w:pPr>
                  <w:r>
                    <w:rPr>
                      <w:b w:val="0"/>
                      <w:color w:val="000000"/>
                      <w:highlight w:val="none"/>
                    </w:rPr>
                    <w:t>监测点名称</w:t>
                  </w:r>
                </w:p>
              </w:tc>
              <w:tc>
                <w:tcPr>
                  <w:tcW w:w="1237" w:type="pct"/>
                  <w:vMerge w:val="restart"/>
                  <w:tcBorders>
                    <w:top w:val="single" w:color="000000" w:sz="4" w:space="0"/>
                    <w:left w:val="single" w:color="auto" w:sz="4" w:space="0"/>
                    <w:right w:val="single" w:color="auto" w:sz="4" w:space="0"/>
                    <w:tl2br w:val="nil"/>
                    <w:tr2bl w:val="nil"/>
                  </w:tcBorders>
                  <w:shd w:val="clear" w:color="auto" w:fill="FFFFFF"/>
                  <w:noWrap w:val="0"/>
                  <w:vAlign w:val="center"/>
                </w:tcPr>
                <w:p w14:paraId="3E5D0FF0">
                  <w:pPr>
                    <w:pStyle w:val="30"/>
                    <w:bidi w:val="0"/>
                    <w:jc w:val="center"/>
                    <w:rPr>
                      <w:rFonts w:hint="eastAsia" w:eastAsia="宋体"/>
                      <w:b w:val="0"/>
                      <w:color w:val="000000"/>
                      <w:highlight w:val="none"/>
                      <w:lang w:val="en-US" w:eastAsia="zh-CN"/>
                    </w:rPr>
                  </w:pPr>
                  <w:r>
                    <w:rPr>
                      <w:rFonts w:hint="eastAsia"/>
                      <w:b w:val="0"/>
                      <w:color w:val="000000"/>
                      <w:highlight w:val="none"/>
                      <w:lang w:val="en-US" w:eastAsia="zh-CN"/>
                    </w:rPr>
                    <w:t>类别</w:t>
                  </w:r>
                </w:p>
              </w:tc>
              <w:tc>
                <w:tcPr>
                  <w:tcW w:w="1818" w:type="pct"/>
                  <w:gridSpan w:val="2"/>
                  <w:tcBorders>
                    <w:top w:val="single" w:color="000000" w:sz="4" w:space="0"/>
                    <w:bottom w:val="single" w:color="auto" w:sz="4" w:space="0"/>
                    <w:right w:val="single" w:color="auto" w:sz="4" w:space="0"/>
                    <w:tl2br w:val="nil"/>
                    <w:tr2bl w:val="nil"/>
                  </w:tcBorders>
                  <w:shd w:val="clear" w:color="auto" w:fill="FFFFFF"/>
                  <w:noWrap w:val="0"/>
                  <w:vAlign w:val="center"/>
                </w:tcPr>
                <w:p w14:paraId="68703AF1">
                  <w:pPr>
                    <w:jc w:val="center"/>
                    <w:rPr>
                      <w:b w:val="0"/>
                      <w:color w:val="000000"/>
                      <w:highlight w:val="none"/>
                    </w:rPr>
                  </w:pPr>
                  <w:r>
                    <w:rPr>
                      <w:b w:val="0"/>
                      <w:color w:val="000000"/>
                    </w:rPr>
                    <w:t>与本项目</w:t>
                  </w:r>
                </w:p>
              </w:tc>
            </w:tr>
            <w:tr w14:paraId="453799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9" w:type="dxa"/>
                  <w:left w:w="186" w:type="dxa"/>
                  <w:bottom w:w="9" w:type="dxa"/>
                  <w:right w:w="73" w:type="dxa"/>
                </w:tblCellMar>
              </w:tblPrEx>
              <w:trPr>
                <w:cantSplit/>
                <w:trHeight w:val="160" w:hRule="atLeast"/>
              </w:trPr>
              <w:tc>
                <w:tcPr>
                  <w:tcW w:w="949" w:type="pct"/>
                  <w:vMerge w:val="continue"/>
                  <w:tcBorders>
                    <w:left w:val="single" w:color="000000" w:sz="4" w:space="0"/>
                    <w:tl2br w:val="nil"/>
                    <w:tr2bl w:val="nil"/>
                  </w:tcBorders>
                  <w:shd w:val="clear" w:color="auto" w:fill="FFFFFF"/>
                  <w:noWrap w:val="0"/>
                  <w:vAlign w:val="center"/>
                </w:tcPr>
                <w:p w14:paraId="00C52E8B">
                  <w:pPr>
                    <w:pStyle w:val="30"/>
                    <w:bidi w:val="0"/>
                    <w:jc w:val="center"/>
                    <w:rPr>
                      <w:b w:val="0"/>
                      <w:color w:val="000000"/>
                      <w:highlight w:val="none"/>
                    </w:rPr>
                  </w:pPr>
                </w:p>
              </w:tc>
              <w:tc>
                <w:tcPr>
                  <w:tcW w:w="994" w:type="pct"/>
                  <w:vMerge w:val="continue"/>
                  <w:tcBorders>
                    <w:tl2br w:val="nil"/>
                    <w:tr2bl w:val="nil"/>
                  </w:tcBorders>
                  <w:shd w:val="clear" w:color="auto" w:fill="FFFFFF"/>
                  <w:noWrap w:val="0"/>
                  <w:vAlign w:val="center"/>
                </w:tcPr>
                <w:p w14:paraId="6AC8C025">
                  <w:pPr>
                    <w:pStyle w:val="30"/>
                    <w:bidi w:val="0"/>
                    <w:jc w:val="center"/>
                    <w:rPr>
                      <w:b w:val="0"/>
                      <w:color w:val="000000"/>
                      <w:highlight w:val="none"/>
                    </w:rPr>
                  </w:pPr>
                </w:p>
              </w:tc>
              <w:tc>
                <w:tcPr>
                  <w:tcW w:w="1237" w:type="pct"/>
                  <w:vMerge w:val="continue"/>
                  <w:tcBorders>
                    <w:left w:val="single" w:color="auto" w:sz="4" w:space="0"/>
                    <w:right w:val="single" w:color="auto" w:sz="4" w:space="0"/>
                    <w:tl2br w:val="nil"/>
                    <w:tr2bl w:val="nil"/>
                  </w:tcBorders>
                  <w:shd w:val="clear" w:color="auto" w:fill="FFFFFF"/>
                  <w:noWrap w:val="0"/>
                  <w:vAlign w:val="center"/>
                </w:tcPr>
                <w:p w14:paraId="1ADDD65F">
                  <w:pPr>
                    <w:pStyle w:val="30"/>
                    <w:bidi w:val="0"/>
                    <w:jc w:val="center"/>
                    <w:rPr>
                      <w:b w:val="0"/>
                      <w:color w:val="000000"/>
                      <w:highlight w:val="none"/>
                    </w:rPr>
                  </w:pPr>
                </w:p>
              </w:tc>
              <w:tc>
                <w:tcPr>
                  <w:tcW w:w="770" w:type="pct"/>
                  <w:tcBorders>
                    <w:top w:val="single" w:color="auto" w:sz="4" w:space="0"/>
                    <w:right w:val="single" w:color="auto" w:sz="4" w:space="0"/>
                    <w:tl2br w:val="nil"/>
                    <w:tr2bl w:val="nil"/>
                  </w:tcBorders>
                  <w:shd w:val="clear" w:color="auto" w:fill="FFFFFF"/>
                  <w:noWrap w:val="0"/>
                  <w:vAlign w:val="center"/>
                </w:tcPr>
                <w:p w14:paraId="16BD88E4">
                  <w:pPr>
                    <w:jc w:val="center"/>
                    <w:rPr>
                      <w:rFonts w:hint="eastAsia" w:eastAsia="宋体"/>
                      <w:b w:val="0"/>
                      <w:color w:val="000000"/>
                      <w:lang w:val="en-US" w:eastAsia="zh-CN"/>
                    </w:rPr>
                  </w:pPr>
                  <w:r>
                    <w:rPr>
                      <w:rFonts w:hint="eastAsia"/>
                      <w:b w:val="0"/>
                      <w:color w:val="000000"/>
                      <w:lang w:val="en-US" w:eastAsia="zh-CN"/>
                    </w:rPr>
                    <w:t>方位</w:t>
                  </w:r>
                </w:p>
              </w:tc>
              <w:tc>
                <w:tcPr>
                  <w:tcW w:w="1047" w:type="pct"/>
                  <w:tcBorders>
                    <w:top w:val="single" w:color="auto" w:sz="4" w:space="0"/>
                    <w:right w:val="single" w:color="auto" w:sz="4" w:space="0"/>
                    <w:tl2br w:val="nil"/>
                    <w:tr2bl w:val="nil"/>
                  </w:tcBorders>
                  <w:shd w:val="clear" w:color="auto" w:fill="FFFFFF"/>
                  <w:noWrap w:val="0"/>
                  <w:vAlign w:val="center"/>
                </w:tcPr>
                <w:p w14:paraId="5B01BB80">
                  <w:pPr>
                    <w:jc w:val="center"/>
                    <w:rPr>
                      <w:rFonts w:hint="eastAsia" w:eastAsia="宋体"/>
                      <w:b w:val="0"/>
                      <w:color w:val="000000"/>
                      <w:lang w:val="en-US" w:eastAsia="zh-CN"/>
                    </w:rPr>
                  </w:pPr>
                  <w:r>
                    <w:rPr>
                      <w:rFonts w:hint="eastAsia"/>
                      <w:b w:val="0"/>
                      <w:color w:val="000000"/>
                      <w:lang w:val="en-US" w:eastAsia="zh-CN"/>
                    </w:rPr>
                    <w:t>距离</w:t>
                  </w:r>
                </w:p>
              </w:tc>
            </w:tr>
            <w:tr w14:paraId="6380E1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9" w:type="dxa"/>
                  <w:left w:w="186" w:type="dxa"/>
                  <w:bottom w:w="9" w:type="dxa"/>
                  <w:right w:w="73" w:type="dxa"/>
                </w:tblCellMar>
              </w:tblPrEx>
              <w:trPr>
                <w:cantSplit/>
                <w:trHeight w:val="20" w:hRule="atLeast"/>
              </w:trPr>
              <w:tc>
                <w:tcPr>
                  <w:tcW w:w="949" w:type="pct"/>
                  <w:tcBorders>
                    <w:left w:val="single" w:color="000000" w:sz="4" w:space="0"/>
                    <w:tl2br w:val="nil"/>
                    <w:tr2bl w:val="nil"/>
                  </w:tcBorders>
                  <w:shd w:val="clear" w:color="auto" w:fill="FFFFFF"/>
                  <w:noWrap w:val="0"/>
                  <w:vAlign w:val="center"/>
                </w:tcPr>
                <w:p w14:paraId="119BE1C6">
                  <w:pPr>
                    <w:pStyle w:val="30"/>
                    <w:bidi w:val="0"/>
                    <w:jc w:val="center"/>
                    <w:rPr>
                      <w:rFonts w:hint="default" w:eastAsia="宋体"/>
                      <w:b w:val="0"/>
                      <w:color w:val="000000"/>
                      <w:highlight w:val="none"/>
                      <w:lang w:val="en-US" w:eastAsia="zh-CN"/>
                    </w:rPr>
                  </w:pPr>
                  <w:r>
                    <w:rPr>
                      <w:rFonts w:hint="eastAsia"/>
                      <w:b w:val="0"/>
                      <w:color w:val="000000"/>
                      <w:highlight w:val="none"/>
                      <w:lang w:val="en-US" w:eastAsia="zh-CN"/>
                    </w:rPr>
                    <w:t>6#</w:t>
                  </w:r>
                </w:p>
              </w:tc>
              <w:tc>
                <w:tcPr>
                  <w:tcW w:w="994" w:type="pct"/>
                  <w:tcBorders>
                    <w:tl2br w:val="nil"/>
                    <w:tr2bl w:val="nil"/>
                  </w:tcBorders>
                  <w:shd w:val="clear" w:color="auto" w:fill="FFFFFF"/>
                  <w:noWrap w:val="0"/>
                  <w:vAlign w:val="center"/>
                </w:tcPr>
                <w:p w14:paraId="4464CDD9">
                  <w:pPr>
                    <w:pStyle w:val="30"/>
                    <w:bidi w:val="0"/>
                    <w:jc w:val="center"/>
                    <w:rPr>
                      <w:rFonts w:hint="default"/>
                      <w:b w:val="0"/>
                      <w:color w:val="000000"/>
                      <w:highlight w:val="none"/>
                      <w:lang w:val="en-US" w:eastAsia="zh-CN"/>
                    </w:rPr>
                  </w:pPr>
                  <w:r>
                    <w:rPr>
                      <w:rFonts w:hint="default"/>
                      <w:b w:val="0"/>
                      <w:color w:val="000000"/>
                      <w:highlight w:val="none"/>
                    </w:rPr>
                    <w:t>园区</w:t>
                  </w:r>
                  <w:r>
                    <w:rPr>
                      <w:rFonts w:hint="default"/>
                      <w:b w:val="0"/>
                      <w:color w:val="000000"/>
                      <w:highlight w:val="none"/>
                      <w:lang w:val="en-US" w:eastAsia="zh-CN"/>
                    </w:rPr>
                    <w:t>内</w:t>
                  </w:r>
                </w:p>
              </w:tc>
              <w:tc>
                <w:tcPr>
                  <w:tcW w:w="1237" w:type="pct"/>
                  <w:tcBorders>
                    <w:left w:val="single" w:color="auto" w:sz="4" w:space="0"/>
                    <w:tl2br w:val="nil"/>
                    <w:tr2bl w:val="nil"/>
                  </w:tcBorders>
                  <w:shd w:val="clear" w:color="auto" w:fill="FFFFFF"/>
                  <w:noWrap w:val="0"/>
                  <w:vAlign w:val="center"/>
                </w:tcPr>
                <w:p w14:paraId="6F340118">
                  <w:pPr>
                    <w:widowControl/>
                    <w:jc w:val="center"/>
                    <w:rPr>
                      <w:rFonts w:hint="eastAsia" w:ascii="Times New Roman" w:eastAsia="宋体" w:cs="Times New Roman"/>
                      <w:bCs/>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柱状</w:t>
                  </w:r>
                  <w:r>
                    <w:rPr>
                      <w:rFonts w:hint="eastAsia"/>
                      <w:color w:val="000000" w:themeColor="text1"/>
                      <w:sz w:val="21"/>
                      <w:szCs w:val="21"/>
                      <w14:textFill>
                        <w14:solidFill>
                          <w14:schemeClr w14:val="tx1"/>
                        </w14:solidFill>
                      </w14:textFill>
                    </w:rPr>
                    <w:t>样点</w:t>
                  </w:r>
                </w:p>
              </w:tc>
              <w:tc>
                <w:tcPr>
                  <w:tcW w:w="770" w:type="pct"/>
                  <w:tcBorders>
                    <w:tl2br w:val="nil"/>
                    <w:tr2bl w:val="nil"/>
                  </w:tcBorders>
                  <w:shd w:val="clear" w:color="auto" w:fill="FFFFFF"/>
                  <w:noWrap w:val="0"/>
                  <w:vAlign w:val="center"/>
                </w:tcPr>
                <w:p w14:paraId="13FF9E5D">
                  <w:pPr>
                    <w:jc w:val="center"/>
                    <w:rPr>
                      <w:rFonts w:hint="default"/>
                      <w:b w:val="0"/>
                      <w:color w:val="000000"/>
                      <w:highlight w:val="none"/>
                    </w:rPr>
                  </w:pPr>
                  <w:r>
                    <w:rPr>
                      <w:b w:val="0"/>
                      <w:color w:val="000000"/>
                    </w:rPr>
                    <w:t>西北</w:t>
                  </w:r>
                </w:p>
              </w:tc>
              <w:tc>
                <w:tcPr>
                  <w:tcW w:w="1047" w:type="pct"/>
                  <w:tcBorders>
                    <w:tl2br w:val="nil"/>
                    <w:tr2bl w:val="nil"/>
                  </w:tcBorders>
                  <w:shd w:val="clear" w:color="auto" w:fill="FFFFFF"/>
                  <w:noWrap w:val="0"/>
                  <w:vAlign w:val="center"/>
                </w:tcPr>
                <w:p w14:paraId="7A882BE6">
                  <w:pPr>
                    <w:jc w:val="center"/>
                    <w:rPr>
                      <w:rFonts w:hint="default"/>
                      <w:b w:val="0"/>
                      <w:color w:val="000000"/>
                      <w:highlight w:val="none"/>
                    </w:rPr>
                  </w:pPr>
                  <w:r>
                    <w:rPr>
                      <w:rFonts w:hint="eastAsia"/>
                      <w:b w:val="0"/>
                      <w:color w:val="000000"/>
                      <w:lang w:val="en-US" w:eastAsia="zh-CN"/>
                    </w:rPr>
                    <w:t>3.552</w:t>
                  </w:r>
                  <w:r>
                    <w:rPr>
                      <w:b w:val="0"/>
                      <w:color w:val="000000"/>
                    </w:rPr>
                    <w:t>km</w:t>
                  </w:r>
                </w:p>
              </w:tc>
            </w:tr>
            <w:tr w14:paraId="35280F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9" w:type="dxa"/>
                  <w:left w:w="186" w:type="dxa"/>
                  <w:bottom w:w="9" w:type="dxa"/>
                  <w:right w:w="73" w:type="dxa"/>
                </w:tblCellMar>
              </w:tblPrEx>
              <w:trPr>
                <w:cantSplit/>
                <w:trHeight w:val="20" w:hRule="atLeast"/>
              </w:trPr>
              <w:tc>
                <w:tcPr>
                  <w:tcW w:w="949" w:type="pct"/>
                  <w:tcBorders>
                    <w:left w:val="single" w:color="000000" w:sz="4" w:space="0"/>
                    <w:tl2br w:val="nil"/>
                    <w:tr2bl w:val="nil"/>
                  </w:tcBorders>
                  <w:shd w:val="clear" w:color="auto" w:fill="FFFFFF"/>
                  <w:noWrap w:val="0"/>
                  <w:vAlign w:val="center"/>
                </w:tcPr>
                <w:p w14:paraId="12B42927">
                  <w:pPr>
                    <w:pStyle w:val="30"/>
                    <w:bidi w:val="0"/>
                    <w:ind w:firstLine="0" w:firstLineChars="0"/>
                    <w:jc w:val="center"/>
                    <w:rPr>
                      <w:rFonts w:hint="default" w:eastAsia="宋体"/>
                      <w:b w:val="0"/>
                      <w:color w:val="000000"/>
                      <w:highlight w:val="none"/>
                      <w:lang w:val="en-US" w:eastAsia="zh-CN"/>
                    </w:rPr>
                  </w:pPr>
                  <w:r>
                    <w:rPr>
                      <w:rFonts w:hint="eastAsia"/>
                      <w:b w:val="0"/>
                      <w:color w:val="000000"/>
                      <w:highlight w:val="none"/>
                      <w:lang w:val="en-US" w:eastAsia="zh-CN"/>
                    </w:rPr>
                    <w:t>7#</w:t>
                  </w:r>
                </w:p>
              </w:tc>
              <w:tc>
                <w:tcPr>
                  <w:tcW w:w="994" w:type="pct"/>
                  <w:tcBorders>
                    <w:tl2br w:val="nil"/>
                    <w:tr2bl w:val="nil"/>
                  </w:tcBorders>
                  <w:shd w:val="clear" w:color="auto" w:fill="FFFFFF"/>
                  <w:noWrap w:val="0"/>
                  <w:vAlign w:val="center"/>
                </w:tcPr>
                <w:p w14:paraId="7FBB86FA">
                  <w:pPr>
                    <w:pStyle w:val="30"/>
                    <w:bidi w:val="0"/>
                    <w:jc w:val="center"/>
                    <w:rPr>
                      <w:b w:val="0"/>
                      <w:color w:val="000000"/>
                      <w:highlight w:val="none"/>
                    </w:rPr>
                  </w:pPr>
                  <w:r>
                    <w:rPr>
                      <w:rFonts w:hint="default"/>
                      <w:b w:val="0"/>
                      <w:color w:val="000000"/>
                      <w:highlight w:val="none"/>
                    </w:rPr>
                    <w:t>园区</w:t>
                  </w:r>
                  <w:r>
                    <w:rPr>
                      <w:rFonts w:hint="default"/>
                      <w:b w:val="0"/>
                      <w:color w:val="000000"/>
                      <w:highlight w:val="none"/>
                      <w:lang w:val="en-US" w:eastAsia="zh-CN"/>
                    </w:rPr>
                    <w:t>内</w:t>
                  </w:r>
                </w:p>
              </w:tc>
              <w:tc>
                <w:tcPr>
                  <w:tcW w:w="1237" w:type="pct"/>
                  <w:tcBorders>
                    <w:left w:val="single" w:color="auto" w:sz="4" w:space="0"/>
                    <w:tl2br w:val="nil"/>
                    <w:tr2bl w:val="nil"/>
                  </w:tcBorders>
                  <w:shd w:val="clear" w:color="auto" w:fill="FFFFFF"/>
                  <w:noWrap w:val="0"/>
                  <w:vAlign w:val="center"/>
                </w:tcPr>
                <w:p w14:paraId="78994F9E">
                  <w:pPr>
                    <w:widowControl/>
                    <w:jc w:val="center"/>
                    <w:rPr>
                      <w:rFonts w:hint="eastAsia" w:ascii="Times New Roman" w:eastAsia="宋体" w:cs="Times New Roman"/>
                      <w:bCs/>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表层样点</w:t>
                  </w:r>
                </w:p>
              </w:tc>
              <w:tc>
                <w:tcPr>
                  <w:tcW w:w="770" w:type="pct"/>
                  <w:tcBorders>
                    <w:tl2br w:val="nil"/>
                    <w:tr2bl w:val="nil"/>
                  </w:tcBorders>
                  <w:shd w:val="clear" w:color="auto" w:fill="FFFFFF"/>
                  <w:noWrap w:val="0"/>
                  <w:vAlign w:val="center"/>
                </w:tcPr>
                <w:p w14:paraId="0FB427AF">
                  <w:pPr>
                    <w:jc w:val="center"/>
                    <w:rPr>
                      <w:rFonts w:hint="default"/>
                      <w:b w:val="0"/>
                      <w:color w:val="000000"/>
                      <w:highlight w:val="none"/>
                    </w:rPr>
                  </w:pPr>
                  <w:r>
                    <w:rPr>
                      <w:b w:val="0"/>
                      <w:color w:val="000000"/>
                    </w:rPr>
                    <w:t>西北</w:t>
                  </w:r>
                </w:p>
              </w:tc>
              <w:tc>
                <w:tcPr>
                  <w:tcW w:w="1047" w:type="pct"/>
                  <w:tcBorders>
                    <w:tl2br w:val="nil"/>
                    <w:tr2bl w:val="nil"/>
                  </w:tcBorders>
                  <w:shd w:val="clear" w:color="auto" w:fill="FFFFFF"/>
                  <w:noWrap w:val="0"/>
                  <w:vAlign w:val="center"/>
                </w:tcPr>
                <w:p w14:paraId="041E272B">
                  <w:pPr>
                    <w:jc w:val="center"/>
                    <w:rPr>
                      <w:rFonts w:hint="default"/>
                      <w:b w:val="0"/>
                      <w:color w:val="000000"/>
                      <w:highlight w:val="none"/>
                    </w:rPr>
                  </w:pPr>
                  <w:r>
                    <w:rPr>
                      <w:rFonts w:hint="eastAsia"/>
                      <w:b w:val="0"/>
                      <w:color w:val="000000"/>
                      <w:lang w:val="en-US" w:eastAsia="zh-CN"/>
                    </w:rPr>
                    <w:t>2.64</w:t>
                  </w:r>
                  <w:r>
                    <w:rPr>
                      <w:b w:val="0"/>
                      <w:color w:val="000000"/>
                    </w:rPr>
                    <w:t>km</w:t>
                  </w:r>
                </w:p>
              </w:tc>
            </w:tr>
            <w:tr w14:paraId="6A094E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9" w:type="dxa"/>
                  <w:left w:w="186" w:type="dxa"/>
                  <w:bottom w:w="9" w:type="dxa"/>
                  <w:right w:w="73" w:type="dxa"/>
                </w:tblCellMar>
              </w:tblPrEx>
              <w:trPr>
                <w:cantSplit/>
                <w:trHeight w:val="20" w:hRule="atLeast"/>
              </w:trPr>
              <w:tc>
                <w:tcPr>
                  <w:tcW w:w="949" w:type="pct"/>
                  <w:tcBorders>
                    <w:left w:val="single" w:color="000000" w:sz="4" w:space="0"/>
                    <w:tl2br w:val="nil"/>
                    <w:tr2bl w:val="nil"/>
                  </w:tcBorders>
                  <w:shd w:val="clear" w:color="auto" w:fill="FFFFFF"/>
                  <w:noWrap w:val="0"/>
                  <w:vAlign w:val="center"/>
                </w:tcPr>
                <w:p w14:paraId="632160BF">
                  <w:pPr>
                    <w:pStyle w:val="30"/>
                    <w:bidi w:val="0"/>
                    <w:ind w:firstLine="0" w:firstLineChars="0"/>
                    <w:jc w:val="center"/>
                    <w:rPr>
                      <w:rFonts w:hint="default" w:eastAsia="宋体"/>
                      <w:b w:val="0"/>
                      <w:color w:val="000000"/>
                      <w:highlight w:val="none"/>
                      <w:lang w:val="en-US" w:eastAsia="zh-CN"/>
                    </w:rPr>
                  </w:pPr>
                  <w:r>
                    <w:rPr>
                      <w:rFonts w:hint="eastAsia"/>
                      <w:b w:val="0"/>
                      <w:color w:val="000000"/>
                      <w:highlight w:val="none"/>
                      <w:lang w:val="en-US" w:eastAsia="zh-CN"/>
                    </w:rPr>
                    <w:t>8#</w:t>
                  </w:r>
                </w:p>
              </w:tc>
              <w:tc>
                <w:tcPr>
                  <w:tcW w:w="994" w:type="pct"/>
                  <w:tcBorders>
                    <w:tl2br w:val="nil"/>
                    <w:tr2bl w:val="nil"/>
                  </w:tcBorders>
                  <w:shd w:val="clear" w:color="auto" w:fill="FFFFFF"/>
                  <w:noWrap w:val="0"/>
                  <w:vAlign w:val="center"/>
                </w:tcPr>
                <w:p w14:paraId="49FAF3A6">
                  <w:pPr>
                    <w:pStyle w:val="30"/>
                    <w:bidi w:val="0"/>
                    <w:jc w:val="center"/>
                    <w:rPr>
                      <w:rFonts w:hint="eastAsia"/>
                      <w:b w:val="0"/>
                      <w:color w:val="000000"/>
                      <w:highlight w:val="none"/>
                      <w:lang w:eastAsia="zh-CN"/>
                    </w:rPr>
                  </w:pPr>
                  <w:r>
                    <w:rPr>
                      <w:rFonts w:hint="default"/>
                      <w:b w:val="0"/>
                      <w:color w:val="000000"/>
                      <w:highlight w:val="none"/>
                    </w:rPr>
                    <w:t>园区</w:t>
                  </w:r>
                  <w:r>
                    <w:rPr>
                      <w:rFonts w:hint="default"/>
                      <w:b w:val="0"/>
                      <w:color w:val="000000"/>
                      <w:highlight w:val="none"/>
                      <w:lang w:val="en-US" w:eastAsia="zh-CN"/>
                    </w:rPr>
                    <w:t>内</w:t>
                  </w:r>
                </w:p>
              </w:tc>
              <w:tc>
                <w:tcPr>
                  <w:tcW w:w="1237" w:type="pct"/>
                  <w:tcBorders>
                    <w:left w:val="single" w:color="auto" w:sz="4" w:space="0"/>
                    <w:tl2br w:val="nil"/>
                    <w:tr2bl w:val="nil"/>
                  </w:tcBorders>
                  <w:shd w:val="clear" w:color="auto" w:fill="FFFFFF"/>
                  <w:noWrap w:val="0"/>
                  <w:vAlign w:val="center"/>
                </w:tcPr>
                <w:p w14:paraId="4BB30B41">
                  <w:pPr>
                    <w:widowControl/>
                    <w:jc w:val="center"/>
                    <w:rPr>
                      <w:rFonts w:hint="eastAsia" w:ascii="Times New Roman" w:eastAsia="宋体" w:cs="Times New Roman"/>
                      <w:bCs/>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柱状</w:t>
                  </w:r>
                  <w:r>
                    <w:rPr>
                      <w:rFonts w:hint="eastAsia"/>
                      <w:color w:val="000000" w:themeColor="text1"/>
                      <w:sz w:val="21"/>
                      <w:szCs w:val="21"/>
                      <w14:textFill>
                        <w14:solidFill>
                          <w14:schemeClr w14:val="tx1"/>
                        </w14:solidFill>
                      </w14:textFill>
                    </w:rPr>
                    <w:t>样点</w:t>
                  </w:r>
                </w:p>
              </w:tc>
              <w:tc>
                <w:tcPr>
                  <w:tcW w:w="770" w:type="pct"/>
                  <w:tcBorders>
                    <w:tl2br w:val="nil"/>
                    <w:tr2bl w:val="nil"/>
                  </w:tcBorders>
                  <w:shd w:val="clear" w:color="auto" w:fill="FFFFFF"/>
                  <w:noWrap w:val="0"/>
                  <w:vAlign w:val="center"/>
                </w:tcPr>
                <w:p w14:paraId="59E1FCBB">
                  <w:pPr>
                    <w:jc w:val="center"/>
                    <w:rPr>
                      <w:rFonts w:hint="default"/>
                      <w:b w:val="0"/>
                      <w:color w:val="000000"/>
                      <w:highlight w:val="none"/>
                    </w:rPr>
                  </w:pPr>
                  <w:r>
                    <w:rPr>
                      <w:b w:val="0"/>
                      <w:color w:val="000000"/>
                    </w:rPr>
                    <w:t>西北</w:t>
                  </w:r>
                </w:p>
              </w:tc>
              <w:tc>
                <w:tcPr>
                  <w:tcW w:w="1047" w:type="pct"/>
                  <w:tcBorders>
                    <w:tl2br w:val="nil"/>
                    <w:tr2bl w:val="nil"/>
                  </w:tcBorders>
                  <w:shd w:val="clear" w:color="auto" w:fill="FFFFFF"/>
                  <w:noWrap w:val="0"/>
                  <w:vAlign w:val="center"/>
                </w:tcPr>
                <w:p w14:paraId="6E81C54B">
                  <w:pPr>
                    <w:jc w:val="center"/>
                    <w:rPr>
                      <w:rFonts w:hint="default"/>
                      <w:b w:val="0"/>
                      <w:color w:val="000000"/>
                      <w:highlight w:val="none"/>
                    </w:rPr>
                  </w:pPr>
                  <w:r>
                    <w:rPr>
                      <w:rFonts w:hint="eastAsia"/>
                      <w:b w:val="0"/>
                      <w:color w:val="000000"/>
                      <w:lang w:val="en-US" w:eastAsia="zh-CN"/>
                    </w:rPr>
                    <w:t>4.46</w:t>
                  </w:r>
                  <w:r>
                    <w:rPr>
                      <w:b w:val="0"/>
                      <w:color w:val="000000"/>
                    </w:rPr>
                    <w:t>km</w:t>
                  </w:r>
                </w:p>
              </w:tc>
            </w:tr>
            <w:tr w14:paraId="3166A5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9" w:type="dxa"/>
                  <w:left w:w="186" w:type="dxa"/>
                  <w:bottom w:w="9" w:type="dxa"/>
                  <w:right w:w="73" w:type="dxa"/>
                </w:tblCellMar>
              </w:tblPrEx>
              <w:trPr>
                <w:cantSplit/>
                <w:trHeight w:val="20" w:hRule="atLeast"/>
              </w:trPr>
              <w:tc>
                <w:tcPr>
                  <w:tcW w:w="949" w:type="pct"/>
                  <w:tcBorders>
                    <w:left w:val="single" w:color="000000" w:sz="4" w:space="0"/>
                    <w:tl2br w:val="nil"/>
                    <w:tr2bl w:val="nil"/>
                  </w:tcBorders>
                  <w:shd w:val="clear" w:color="auto" w:fill="FFFFFF"/>
                  <w:noWrap w:val="0"/>
                  <w:vAlign w:val="center"/>
                </w:tcPr>
                <w:p w14:paraId="5B706146">
                  <w:pPr>
                    <w:pStyle w:val="30"/>
                    <w:bidi w:val="0"/>
                    <w:ind w:firstLine="0" w:firstLineChars="0"/>
                    <w:jc w:val="center"/>
                    <w:rPr>
                      <w:rFonts w:hint="default"/>
                      <w:b w:val="0"/>
                      <w:color w:val="000000"/>
                      <w:highlight w:val="none"/>
                      <w:lang w:val="en-US"/>
                    </w:rPr>
                  </w:pPr>
                  <w:r>
                    <w:rPr>
                      <w:rFonts w:hint="eastAsia"/>
                      <w:b w:val="0"/>
                      <w:color w:val="000000"/>
                      <w:highlight w:val="none"/>
                      <w:lang w:val="en-US" w:eastAsia="zh-CN"/>
                    </w:rPr>
                    <w:t>9#</w:t>
                  </w:r>
                </w:p>
              </w:tc>
              <w:tc>
                <w:tcPr>
                  <w:tcW w:w="994" w:type="pct"/>
                  <w:tcBorders>
                    <w:tl2br w:val="nil"/>
                    <w:tr2bl w:val="nil"/>
                  </w:tcBorders>
                  <w:shd w:val="clear" w:color="auto" w:fill="FFFFFF"/>
                  <w:noWrap w:val="0"/>
                  <w:vAlign w:val="center"/>
                </w:tcPr>
                <w:p w14:paraId="535905EF">
                  <w:pPr>
                    <w:pStyle w:val="30"/>
                    <w:bidi w:val="0"/>
                    <w:jc w:val="center"/>
                    <w:rPr>
                      <w:b w:val="0"/>
                      <w:color w:val="000000"/>
                      <w:highlight w:val="none"/>
                    </w:rPr>
                  </w:pPr>
                  <w:r>
                    <w:rPr>
                      <w:rFonts w:hint="default"/>
                      <w:b w:val="0"/>
                      <w:color w:val="000000"/>
                      <w:highlight w:val="none"/>
                    </w:rPr>
                    <w:t>园区</w:t>
                  </w:r>
                  <w:r>
                    <w:rPr>
                      <w:rFonts w:hint="default"/>
                      <w:b w:val="0"/>
                      <w:color w:val="000000"/>
                      <w:highlight w:val="none"/>
                      <w:lang w:val="en-US" w:eastAsia="zh-CN"/>
                    </w:rPr>
                    <w:t>内</w:t>
                  </w:r>
                </w:p>
              </w:tc>
              <w:tc>
                <w:tcPr>
                  <w:tcW w:w="1237" w:type="pct"/>
                  <w:tcBorders>
                    <w:left w:val="single" w:color="auto" w:sz="4" w:space="0"/>
                    <w:tl2br w:val="nil"/>
                    <w:tr2bl w:val="nil"/>
                  </w:tcBorders>
                  <w:shd w:val="clear" w:color="auto" w:fill="FFFFFF"/>
                  <w:noWrap w:val="0"/>
                  <w:vAlign w:val="center"/>
                </w:tcPr>
                <w:p w14:paraId="2743B36C">
                  <w:pPr>
                    <w:widowControl/>
                    <w:jc w:val="center"/>
                    <w:rPr>
                      <w:rFonts w:hint="eastAsia" w:ascii="Times New Roman" w:eastAsia="宋体" w:cs="Times New Roman"/>
                      <w:bCs/>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柱状</w:t>
                  </w:r>
                  <w:r>
                    <w:rPr>
                      <w:rFonts w:hint="eastAsia"/>
                      <w:color w:val="000000" w:themeColor="text1"/>
                      <w:sz w:val="21"/>
                      <w:szCs w:val="21"/>
                      <w14:textFill>
                        <w14:solidFill>
                          <w14:schemeClr w14:val="tx1"/>
                        </w14:solidFill>
                      </w14:textFill>
                    </w:rPr>
                    <w:t>样点</w:t>
                  </w:r>
                </w:p>
              </w:tc>
              <w:tc>
                <w:tcPr>
                  <w:tcW w:w="770" w:type="pct"/>
                  <w:tcBorders>
                    <w:tl2br w:val="nil"/>
                    <w:tr2bl w:val="nil"/>
                  </w:tcBorders>
                  <w:shd w:val="clear" w:color="auto" w:fill="FFFFFF"/>
                  <w:noWrap w:val="0"/>
                  <w:vAlign w:val="center"/>
                </w:tcPr>
                <w:p w14:paraId="2B7853FF">
                  <w:pPr>
                    <w:jc w:val="center"/>
                    <w:rPr>
                      <w:rFonts w:hint="default"/>
                      <w:b w:val="0"/>
                      <w:color w:val="000000"/>
                      <w:highlight w:val="none"/>
                    </w:rPr>
                  </w:pPr>
                  <w:r>
                    <w:rPr>
                      <w:b w:val="0"/>
                      <w:color w:val="000000"/>
                    </w:rPr>
                    <w:t>西北</w:t>
                  </w:r>
                </w:p>
              </w:tc>
              <w:tc>
                <w:tcPr>
                  <w:tcW w:w="1047" w:type="pct"/>
                  <w:tcBorders>
                    <w:tl2br w:val="nil"/>
                    <w:tr2bl w:val="nil"/>
                  </w:tcBorders>
                  <w:shd w:val="clear" w:color="auto" w:fill="FFFFFF"/>
                  <w:noWrap w:val="0"/>
                  <w:vAlign w:val="center"/>
                </w:tcPr>
                <w:p w14:paraId="51D1AADF">
                  <w:pPr>
                    <w:jc w:val="center"/>
                    <w:rPr>
                      <w:rFonts w:hint="default"/>
                      <w:b w:val="0"/>
                      <w:color w:val="000000"/>
                      <w:highlight w:val="none"/>
                    </w:rPr>
                  </w:pPr>
                  <w:r>
                    <w:rPr>
                      <w:rFonts w:hint="eastAsia"/>
                      <w:b w:val="0"/>
                      <w:color w:val="000000"/>
                      <w:lang w:val="en-US" w:eastAsia="zh-CN"/>
                    </w:rPr>
                    <w:t>5.985</w:t>
                  </w:r>
                  <w:r>
                    <w:rPr>
                      <w:b w:val="0"/>
                      <w:color w:val="000000"/>
                    </w:rPr>
                    <w:t>km</w:t>
                  </w:r>
                </w:p>
              </w:tc>
            </w:tr>
            <w:tr w14:paraId="386F07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9" w:type="dxa"/>
                  <w:left w:w="186" w:type="dxa"/>
                  <w:bottom w:w="9" w:type="dxa"/>
                  <w:right w:w="73" w:type="dxa"/>
                </w:tblCellMar>
              </w:tblPrEx>
              <w:trPr>
                <w:cantSplit/>
                <w:trHeight w:val="20" w:hRule="atLeast"/>
              </w:trPr>
              <w:tc>
                <w:tcPr>
                  <w:tcW w:w="949" w:type="pct"/>
                  <w:tcBorders>
                    <w:left w:val="single" w:color="000000" w:sz="4" w:space="0"/>
                    <w:tl2br w:val="nil"/>
                    <w:tr2bl w:val="nil"/>
                  </w:tcBorders>
                  <w:shd w:val="clear" w:color="auto" w:fill="FFFFFF"/>
                  <w:noWrap w:val="0"/>
                  <w:vAlign w:val="center"/>
                </w:tcPr>
                <w:p w14:paraId="7F8B0C84">
                  <w:pPr>
                    <w:pStyle w:val="30"/>
                    <w:bidi w:val="0"/>
                    <w:ind w:firstLine="0" w:firstLineChars="0"/>
                    <w:jc w:val="center"/>
                    <w:rPr>
                      <w:rFonts w:hint="default"/>
                      <w:b w:val="0"/>
                      <w:color w:val="000000"/>
                      <w:highlight w:val="none"/>
                      <w:lang w:val="en-US"/>
                    </w:rPr>
                  </w:pPr>
                  <w:r>
                    <w:rPr>
                      <w:rFonts w:hint="eastAsia"/>
                      <w:b w:val="0"/>
                      <w:color w:val="000000"/>
                      <w:highlight w:val="none"/>
                      <w:lang w:val="en-US" w:eastAsia="zh-CN"/>
                    </w:rPr>
                    <w:t>10#</w:t>
                  </w:r>
                </w:p>
              </w:tc>
              <w:tc>
                <w:tcPr>
                  <w:tcW w:w="994" w:type="pct"/>
                  <w:tcBorders>
                    <w:tl2br w:val="nil"/>
                    <w:tr2bl w:val="nil"/>
                  </w:tcBorders>
                  <w:shd w:val="clear" w:color="auto" w:fill="FFFFFF"/>
                  <w:noWrap w:val="0"/>
                  <w:vAlign w:val="center"/>
                </w:tcPr>
                <w:p w14:paraId="1702C2D2">
                  <w:pPr>
                    <w:pStyle w:val="30"/>
                    <w:bidi w:val="0"/>
                    <w:jc w:val="center"/>
                    <w:rPr>
                      <w:rFonts w:hint="eastAsia"/>
                      <w:b w:val="0"/>
                      <w:color w:val="000000"/>
                      <w:highlight w:val="none"/>
                      <w:lang w:val="en-US" w:eastAsia="zh-CN"/>
                    </w:rPr>
                  </w:pPr>
                  <w:r>
                    <w:rPr>
                      <w:rFonts w:hint="default"/>
                      <w:b w:val="0"/>
                      <w:color w:val="000000"/>
                      <w:highlight w:val="none"/>
                    </w:rPr>
                    <w:t>园区</w:t>
                  </w:r>
                  <w:r>
                    <w:rPr>
                      <w:rFonts w:hint="default"/>
                      <w:b w:val="0"/>
                      <w:color w:val="000000"/>
                      <w:highlight w:val="none"/>
                      <w:lang w:val="en-US" w:eastAsia="zh-CN"/>
                    </w:rPr>
                    <w:t>内</w:t>
                  </w:r>
                </w:p>
              </w:tc>
              <w:tc>
                <w:tcPr>
                  <w:tcW w:w="1237" w:type="pct"/>
                  <w:tcBorders>
                    <w:left w:val="single" w:color="auto" w:sz="4" w:space="0"/>
                    <w:tl2br w:val="nil"/>
                    <w:tr2bl w:val="nil"/>
                  </w:tcBorders>
                  <w:shd w:val="clear" w:color="auto" w:fill="FFFFFF"/>
                  <w:noWrap w:val="0"/>
                  <w:vAlign w:val="center"/>
                </w:tcPr>
                <w:p w14:paraId="5A4429A1">
                  <w:pPr>
                    <w:widowControl/>
                    <w:jc w:val="center"/>
                    <w:rPr>
                      <w:rFonts w:hint="eastAsia" w:ascii="Times New Roman" w:eastAsia="宋体" w:cs="Times New Roman"/>
                      <w:bCs/>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表层样点</w:t>
                  </w:r>
                </w:p>
              </w:tc>
              <w:tc>
                <w:tcPr>
                  <w:tcW w:w="770" w:type="pct"/>
                  <w:tcBorders>
                    <w:tl2br w:val="nil"/>
                    <w:tr2bl w:val="nil"/>
                  </w:tcBorders>
                  <w:shd w:val="clear" w:color="auto" w:fill="FFFFFF"/>
                  <w:noWrap w:val="0"/>
                  <w:vAlign w:val="center"/>
                </w:tcPr>
                <w:p w14:paraId="61A9C488">
                  <w:pPr>
                    <w:jc w:val="center"/>
                    <w:rPr>
                      <w:rFonts w:hint="default"/>
                      <w:b w:val="0"/>
                      <w:color w:val="000000"/>
                      <w:highlight w:val="none"/>
                    </w:rPr>
                  </w:pPr>
                  <w:r>
                    <w:rPr>
                      <w:rFonts w:hint="eastAsia"/>
                      <w:b w:val="0"/>
                      <w:color w:val="000000"/>
                      <w:lang w:val="en-US" w:eastAsia="zh-CN"/>
                    </w:rPr>
                    <w:t>西</w:t>
                  </w:r>
                  <w:r>
                    <w:rPr>
                      <w:b w:val="0"/>
                      <w:color w:val="000000"/>
                    </w:rPr>
                    <w:t>南</w:t>
                  </w:r>
                </w:p>
              </w:tc>
              <w:tc>
                <w:tcPr>
                  <w:tcW w:w="1047" w:type="pct"/>
                  <w:tcBorders>
                    <w:tl2br w:val="nil"/>
                    <w:tr2bl w:val="nil"/>
                  </w:tcBorders>
                  <w:shd w:val="clear" w:color="auto" w:fill="FFFFFF"/>
                  <w:noWrap w:val="0"/>
                  <w:vAlign w:val="center"/>
                </w:tcPr>
                <w:p w14:paraId="002A1C27">
                  <w:pPr>
                    <w:jc w:val="center"/>
                    <w:rPr>
                      <w:rFonts w:hint="default"/>
                      <w:b w:val="0"/>
                      <w:color w:val="000000"/>
                      <w:highlight w:val="none"/>
                    </w:rPr>
                  </w:pPr>
                  <w:r>
                    <w:rPr>
                      <w:rFonts w:hint="eastAsia"/>
                      <w:b w:val="0"/>
                      <w:color w:val="000000"/>
                      <w:lang w:val="en-US" w:eastAsia="zh-CN"/>
                    </w:rPr>
                    <w:t>2.416</w:t>
                  </w:r>
                  <w:r>
                    <w:rPr>
                      <w:b w:val="0"/>
                      <w:color w:val="000000"/>
                    </w:rPr>
                    <w:t>km</w:t>
                  </w:r>
                </w:p>
              </w:tc>
            </w:tr>
            <w:tr w14:paraId="638C7C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9" w:type="dxa"/>
                  <w:left w:w="186" w:type="dxa"/>
                  <w:bottom w:w="9" w:type="dxa"/>
                  <w:right w:w="73" w:type="dxa"/>
                </w:tblCellMar>
              </w:tblPrEx>
              <w:trPr>
                <w:cantSplit/>
                <w:trHeight w:val="20" w:hRule="atLeast"/>
              </w:trPr>
              <w:tc>
                <w:tcPr>
                  <w:tcW w:w="949" w:type="pct"/>
                  <w:tcBorders>
                    <w:left w:val="single" w:color="000000" w:sz="4" w:space="0"/>
                    <w:tl2br w:val="nil"/>
                    <w:tr2bl w:val="nil"/>
                  </w:tcBorders>
                  <w:shd w:val="clear" w:color="auto" w:fill="FFFFFF"/>
                  <w:noWrap w:val="0"/>
                  <w:vAlign w:val="center"/>
                </w:tcPr>
                <w:p w14:paraId="0A31EAD5">
                  <w:pPr>
                    <w:pStyle w:val="30"/>
                    <w:bidi w:val="0"/>
                    <w:ind w:firstLine="0" w:firstLineChars="0"/>
                    <w:jc w:val="center"/>
                    <w:rPr>
                      <w:rFonts w:hint="default"/>
                      <w:b w:val="0"/>
                      <w:color w:val="000000"/>
                      <w:highlight w:val="none"/>
                      <w:lang w:val="en-US"/>
                    </w:rPr>
                  </w:pPr>
                  <w:r>
                    <w:rPr>
                      <w:rFonts w:hint="eastAsia"/>
                      <w:b w:val="0"/>
                      <w:color w:val="000000"/>
                      <w:highlight w:val="none"/>
                      <w:lang w:val="en-US" w:eastAsia="zh-CN"/>
                    </w:rPr>
                    <w:t>11#</w:t>
                  </w:r>
                </w:p>
              </w:tc>
              <w:tc>
                <w:tcPr>
                  <w:tcW w:w="994" w:type="pct"/>
                  <w:tcBorders>
                    <w:tl2br w:val="nil"/>
                    <w:tr2bl w:val="nil"/>
                  </w:tcBorders>
                  <w:shd w:val="clear" w:color="auto" w:fill="FFFFFF"/>
                  <w:noWrap w:val="0"/>
                  <w:vAlign w:val="center"/>
                </w:tcPr>
                <w:p w14:paraId="09980216">
                  <w:pPr>
                    <w:pStyle w:val="30"/>
                    <w:bidi w:val="0"/>
                    <w:jc w:val="center"/>
                    <w:rPr>
                      <w:rFonts w:hint="eastAsia"/>
                      <w:b w:val="0"/>
                      <w:color w:val="000000"/>
                      <w:highlight w:val="none"/>
                      <w:lang w:val="en-US" w:eastAsia="zh-CN"/>
                    </w:rPr>
                  </w:pPr>
                  <w:r>
                    <w:rPr>
                      <w:rFonts w:hint="eastAsia"/>
                      <w:b w:val="0"/>
                      <w:color w:val="000000"/>
                      <w:highlight w:val="none"/>
                      <w:lang w:val="en-US" w:eastAsia="zh-CN"/>
                    </w:rPr>
                    <w:t>园区外</w:t>
                  </w:r>
                </w:p>
              </w:tc>
              <w:tc>
                <w:tcPr>
                  <w:tcW w:w="1237" w:type="pct"/>
                  <w:tcBorders>
                    <w:left w:val="single" w:color="auto" w:sz="4" w:space="0"/>
                    <w:tl2br w:val="nil"/>
                    <w:tr2bl w:val="nil"/>
                  </w:tcBorders>
                  <w:shd w:val="clear" w:color="auto" w:fill="FFFFFF"/>
                  <w:noWrap w:val="0"/>
                  <w:vAlign w:val="center"/>
                </w:tcPr>
                <w:p w14:paraId="0B0ED21F">
                  <w:pPr>
                    <w:widowControl/>
                    <w:jc w:val="center"/>
                    <w:rPr>
                      <w:rFonts w:hint="eastAsia" w:ascii="Times New Roman" w:eastAsia="宋体" w:cs="Times New Roman"/>
                      <w:bCs/>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表层样点</w:t>
                  </w:r>
                </w:p>
              </w:tc>
              <w:tc>
                <w:tcPr>
                  <w:tcW w:w="770" w:type="pct"/>
                  <w:tcBorders>
                    <w:tl2br w:val="nil"/>
                    <w:tr2bl w:val="nil"/>
                  </w:tcBorders>
                  <w:shd w:val="clear" w:color="auto" w:fill="FFFFFF"/>
                  <w:noWrap w:val="0"/>
                  <w:vAlign w:val="center"/>
                </w:tcPr>
                <w:p w14:paraId="1C067A47">
                  <w:pPr>
                    <w:jc w:val="center"/>
                    <w:rPr>
                      <w:rFonts w:hint="default"/>
                      <w:b w:val="0"/>
                      <w:color w:val="000000"/>
                      <w:highlight w:val="none"/>
                    </w:rPr>
                  </w:pPr>
                  <w:r>
                    <w:rPr>
                      <w:rFonts w:hint="eastAsia"/>
                      <w:b w:val="0"/>
                      <w:color w:val="000000"/>
                      <w:lang w:val="en-US" w:eastAsia="zh-CN"/>
                    </w:rPr>
                    <w:t>西</w:t>
                  </w:r>
                  <w:r>
                    <w:rPr>
                      <w:b w:val="0"/>
                      <w:color w:val="000000"/>
                    </w:rPr>
                    <w:t>北</w:t>
                  </w:r>
                </w:p>
              </w:tc>
              <w:tc>
                <w:tcPr>
                  <w:tcW w:w="1047" w:type="pct"/>
                  <w:tcBorders>
                    <w:tl2br w:val="nil"/>
                    <w:tr2bl w:val="nil"/>
                  </w:tcBorders>
                  <w:shd w:val="clear" w:color="auto" w:fill="FFFFFF"/>
                  <w:noWrap w:val="0"/>
                  <w:vAlign w:val="center"/>
                </w:tcPr>
                <w:p w14:paraId="560A4F90">
                  <w:pPr>
                    <w:jc w:val="center"/>
                    <w:rPr>
                      <w:rFonts w:hint="default"/>
                      <w:b w:val="0"/>
                      <w:color w:val="000000"/>
                      <w:highlight w:val="none"/>
                    </w:rPr>
                  </w:pPr>
                  <w:r>
                    <w:rPr>
                      <w:b w:val="0"/>
                      <w:color w:val="000000"/>
                    </w:rPr>
                    <w:t>3.</w:t>
                  </w:r>
                  <w:r>
                    <w:rPr>
                      <w:rFonts w:hint="eastAsia"/>
                      <w:b w:val="0"/>
                      <w:color w:val="000000"/>
                      <w:lang w:val="en-US" w:eastAsia="zh-CN"/>
                    </w:rPr>
                    <w:t>92</w:t>
                  </w:r>
                  <w:r>
                    <w:rPr>
                      <w:b w:val="0"/>
                      <w:color w:val="000000"/>
                    </w:rPr>
                    <w:t>km</w:t>
                  </w:r>
                </w:p>
              </w:tc>
            </w:tr>
          </w:tbl>
          <w:p w14:paraId="4175CABE">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color w:val="000000"/>
                <w:sz w:val="24"/>
                <w:szCs w:val="24"/>
                <w:highlight w:val="none"/>
                <w:lang w:val="en-US" w:eastAsia="zh-CN"/>
              </w:rPr>
            </w:pPr>
          </w:p>
          <w:p w14:paraId="1FB078A6">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eastAsia="宋体"/>
                <w:color w:val="000000"/>
                <w:sz w:val="24"/>
                <w:szCs w:val="24"/>
                <w:highlight w:val="none"/>
              </w:rPr>
            </w:pPr>
            <w:r>
              <w:rPr>
                <w:rFonts w:hint="eastAsia"/>
                <w:color w:val="000000"/>
                <w:sz w:val="24"/>
                <w:szCs w:val="24"/>
                <w:highlight w:val="none"/>
                <w:lang w:val="en-US" w:eastAsia="zh-CN"/>
              </w:rPr>
              <w:t>2、</w:t>
            </w:r>
            <w:r>
              <w:rPr>
                <w:rFonts w:eastAsia="宋体"/>
                <w:color w:val="000000"/>
                <w:sz w:val="24"/>
                <w:szCs w:val="24"/>
                <w:highlight w:val="none"/>
              </w:rPr>
              <w:t>监测分析方法</w:t>
            </w:r>
          </w:p>
          <w:p w14:paraId="025866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eastAsia="宋体"/>
                <w:color w:val="000000"/>
                <w:sz w:val="24"/>
                <w:szCs w:val="24"/>
                <w:highlight w:val="none"/>
              </w:rPr>
            </w:pPr>
            <w:r>
              <w:rPr>
                <w:rFonts w:eastAsia="宋体"/>
                <w:color w:val="000000"/>
                <w:sz w:val="24"/>
                <w:szCs w:val="24"/>
                <w:highlight w:val="none"/>
              </w:rPr>
              <w:t>监测方法参照相应国标或《环境监测分析方法》、《水和废水监测分析方法》（第四版）、《土壤元素的近代分析方法》的有关章节的要求进行采样及分析。土壤监测方法</w:t>
            </w:r>
          </w:p>
          <w:p w14:paraId="5C8AE9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eastAsia="宋体"/>
                <w:color w:val="000000"/>
                <w:sz w:val="24"/>
                <w:szCs w:val="24"/>
                <w:highlight w:val="none"/>
              </w:rPr>
            </w:pPr>
            <w:r>
              <w:rPr>
                <w:rFonts w:hint="eastAsia"/>
                <w:color w:val="000000"/>
                <w:sz w:val="24"/>
                <w:szCs w:val="24"/>
                <w:highlight w:val="none"/>
                <w:lang w:val="en-US" w:eastAsia="zh-CN"/>
              </w:rPr>
              <w:t>3、</w:t>
            </w:r>
            <w:r>
              <w:rPr>
                <w:rFonts w:eastAsia="宋体"/>
                <w:color w:val="000000"/>
                <w:sz w:val="24"/>
                <w:szCs w:val="24"/>
                <w:highlight w:val="none"/>
              </w:rPr>
              <w:t>监测结果</w:t>
            </w:r>
          </w:p>
          <w:p w14:paraId="6F098B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sz w:val="24"/>
                <w:highlight w:val="none"/>
                <w:lang w:eastAsia="zh-CN"/>
              </w:rPr>
            </w:pPr>
            <w:r>
              <w:rPr>
                <w:rFonts w:eastAsia="宋体"/>
                <w:color w:val="000000"/>
                <w:sz w:val="24"/>
                <w:highlight w:val="none"/>
              </w:rPr>
              <w:t>土壤环境质量现状监测结果，见表</w:t>
            </w:r>
            <w:r>
              <w:rPr>
                <w:rFonts w:hint="eastAsia" w:eastAsia="宋体"/>
                <w:color w:val="000000"/>
                <w:sz w:val="24"/>
                <w:highlight w:val="none"/>
              </w:rPr>
              <w:t>3</w:t>
            </w:r>
            <w:r>
              <w:rPr>
                <w:rFonts w:hint="eastAsia"/>
                <w:color w:val="000000"/>
                <w:sz w:val="24"/>
                <w:highlight w:val="none"/>
                <w:lang w:val="en-US" w:eastAsia="zh-CN"/>
              </w:rPr>
              <w:t>-8</w:t>
            </w:r>
            <w:r>
              <w:rPr>
                <w:rFonts w:hint="eastAsia"/>
                <w:color w:val="000000"/>
                <w:sz w:val="24"/>
                <w:highlight w:val="none"/>
                <w:lang w:eastAsia="zh-CN"/>
              </w:rPr>
              <w:t>：</w:t>
            </w:r>
          </w:p>
          <w:p w14:paraId="4EA24668">
            <w:pPr>
              <w:pStyle w:val="23"/>
              <w:bidi w:val="0"/>
              <w:rPr>
                <w:rFonts w:hint="eastAsia"/>
                <w:lang w:eastAsia="zh-CN"/>
              </w:rPr>
            </w:pPr>
            <w:r>
              <w:t>表</w:t>
            </w:r>
            <w:r>
              <w:fldChar w:fldCharType="begin"/>
            </w:r>
            <w:r>
              <w:instrText xml:space="preserve"> STYLEREF 1 \s \* ARABIC </w:instrText>
            </w:r>
            <w:r>
              <w:fldChar w:fldCharType="separate"/>
            </w:r>
            <w:r>
              <w:t>3</w:t>
            </w:r>
            <w:r>
              <w:fldChar w:fldCharType="end"/>
            </w:r>
            <w:r>
              <w:rPr>
                <w:rFonts w:hint="eastAsia"/>
                <w:lang w:val="en-US" w:eastAsia="zh-CN"/>
              </w:rPr>
              <w:t xml:space="preserve">-8 </w:t>
            </w:r>
            <w:r>
              <w:rPr>
                <w:rFonts w:hint="eastAsia"/>
                <w:lang w:eastAsia="zh-CN"/>
              </w:rPr>
              <w:t>土壤监测结果及评价结果一览表（</w:t>
            </w:r>
            <w:r>
              <w:rPr>
                <w:rFonts w:hint="eastAsia"/>
                <w:lang w:val="en-US" w:eastAsia="zh-CN"/>
              </w:rPr>
              <w:t>6</w:t>
            </w:r>
            <w:r>
              <w:rPr>
                <w:rFonts w:hint="eastAsia"/>
                <w:lang w:eastAsia="zh-CN"/>
              </w:rPr>
              <w:t>#）</w:t>
            </w:r>
          </w:p>
          <w:tbl>
            <w:tblPr>
              <w:tblStyle w:val="15"/>
              <w:tblW w:w="850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59"/>
              <w:gridCol w:w="1687"/>
              <w:gridCol w:w="1365"/>
              <w:gridCol w:w="1371"/>
              <w:gridCol w:w="1365"/>
              <w:gridCol w:w="1358"/>
            </w:tblGrid>
            <w:tr w14:paraId="5CBE84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2BE70E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序号</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284F44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检测项目</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7CFAB41">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单位</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7A7773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检测结果</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563A80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第二类用地标准</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C80192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达标情况</w:t>
                  </w:r>
                </w:p>
              </w:tc>
            </w:tr>
            <w:tr w14:paraId="51E295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655FAFE">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833DBF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pH</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D4C3B8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无量纲</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1CF7FA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8.74</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7C3117CD">
                  <w:pPr>
                    <w:jc w:val="center"/>
                    <w:rPr>
                      <w:rFonts w:hint="eastAsia" w:ascii="Times New Roman" w:hAnsi="Times New Roman" w:eastAsia="宋体" w:cs="Times New Roman"/>
                      <w:b w:val="0"/>
                      <w:color w:val="000000"/>
                      <w:kern w:val="0"/>
                      <w:sz w:val="21"/>
                      <w:szCs w:val="21"/>
                      <w:highlight w:val="none"/>
                      <w:lang w:eastAsia="zh-CN"/>
                    </w:rPr>
                  </w:pPr>
                  <w:r>
                    <w:rPr>
                      <w:rFonts w:hint="eastAsia" w:cs="Times New Roman"/>
                      <w:b w:val="0"/>
                      <w:color w:val="000000"/>
                      <w:kern w:val="0"/>
                      <w:sz w:val="21"/>
                      <w:szCs w:val="21"/>
                      <w:highlight w:val="none"/>
                      <w:lang w:val="en-US" w:eastAsia="zh-CN"/>
                    </w:rPr>
                    <w:t>/</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AEDC08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2434F5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E41104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56CD0A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汞</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B605F6C">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F2992A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0.002L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36917A79">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38</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EB79BD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0D350D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FF3A929">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3</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5B14C8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砷</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05D8C2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35ABB4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10.2</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420EC504">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60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81B0DE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448729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294A6F1">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4</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23BDB6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铅</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4AE1F2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BFB7E4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5.4</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23AD9E0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800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53A4DF4">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5A2B84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6894BE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5</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33B3DF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镉</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3C0EE2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A69D98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0.06</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6E3C5C3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65</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6ABA74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53DE55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D2B4AB1">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6</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E310B7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铜</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1A60AA9">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AFDDCF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15</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414AF8B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18000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DAD7AB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0B27AA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0D39D5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7</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A1A64C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镍</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75EEE5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D430BA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25</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4458A2FE">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900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312DC5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41DE39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1C2D75C">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8</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5842FA1">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六价铬</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FA8519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25E8ED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0.5L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771516A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5.7</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987A6B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48021B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217FAD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9</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77DB4E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四氯化碳</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7B462A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C6CDC1E">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1.3×10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3E434D8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2.8</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02C648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55ED80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9EB9B5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10</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DEE0B19">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氯仿</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7BAB6F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F66DC3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1.1×10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476352D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0.9</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7F12D74">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2E9B3B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FD4FE3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11</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7F90361">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氯甲烷</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3135A04">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C90830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1.0×10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19432D0E">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37</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2E6AE9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1432BB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C86E3A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83CCD1C">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1,1-二氯乙烷</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039AA9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97EED84">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75C9391E">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9</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F273F9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6D6057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9CF361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13</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34B863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1,2-二氯乙烷</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20EFD2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24A2AF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1.3×10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00813F91">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5</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B8D71D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1DDAE7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D688441">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14</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80AB09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1,1-二氯乙烯</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60CB4F9">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CDFAAD1">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1.0×10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0DA15C2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66</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E71DC0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032CAA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6029C1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15</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A38B48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顺式-1,2-二氯乙烯</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F06015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C09FF0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1.3×10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1C0B2FA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596</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91AB05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33729F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2FE69FE">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16</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BC8B8E9">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反式-1,2-二氯乙烯</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8DBFBF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1507E1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1.4×10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643242A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54</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ECCB84E">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65B202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EF9A404">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17</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18ECBA9">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二氯甲烷</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005160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438A95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1.5×10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3C41DAC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616</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999C8B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5885E2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2C6610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18</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E4EE77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1,2-二氯丙烷</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90EC34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01B010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1.1×10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2EB55C9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5</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E94B92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750206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CFEDAF4">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19</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BCD0C41">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1,1,1,2-四氯乙烷</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5A9999C">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15E8DE4">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0541280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362611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7D8E2F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220408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20</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90BA0B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1,1,2,2-四氯乙烷</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A0C373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93B5AF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21A1D64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6.8</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E7210A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18DEC5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6302CAE">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21</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BE60D2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四氯乙烯</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553C56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DDCEF34">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1.4×10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1171D32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53</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32F681C">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57A64F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DD89B1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22</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17470D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1,1,1-三氯乙烷</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9D253EE">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58F92B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1.3×10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210A5DF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840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4E078B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58249F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AEF468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23</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720B0B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1,1,2-三氯乙烷</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88DDAD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12957D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746A273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2.8</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A4FD4E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2D4DF2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F4D7AC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24</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9945F0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三氯乙烯</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144E7D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4AC0C8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7A935B0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2.8</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C48B079">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01F4FB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8B1F57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25</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8C0C7D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1,2,3-三氯丙烷</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B0D8ED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6C43E0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79029D3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0.5</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95E1EA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5F538B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CB45E49">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26</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99D2BC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氯乙烯</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BA67F9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95C81AE">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1.0×10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3503214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0.43</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2F33FDE">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2FE652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D434714">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27</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C9A0F6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1,4-二氯苯</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5A910C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AA8A57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1.5×10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32F6A7B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4</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3E45E7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70A639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E84F3B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28</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89A55B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氯苯</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8EF5EB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8D77CE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519F859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270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105F67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042704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DFF9F5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29</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2B5158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1,2-二氯苯</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9F9887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FB7CD6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1.5×10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09C61AE4">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560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8CEAD41">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2B8DE3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38AAA1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30</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7AE57F9">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苯</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001A16C">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DCF458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1.9×10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213D44E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63AB1A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71666D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9416C0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31</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CF25FCC">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乙苯</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DA0DAF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88BBD6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71A20F9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28</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BEB2991">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706080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F1FADA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32</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AB0713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苯乙烯</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835FF8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2CA1430">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1.1×10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07B95EC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1290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3240E2C">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0CBD47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256A5F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33</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7FBA6D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甲苯</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C53CF6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A99DD9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1.3×10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59AAC3E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1200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EE7313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1798FF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10CDA2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34</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3A63A0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间/对-二甲苯</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2EE93D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803E4E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1C0224E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570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57494E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1AFF91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8FD99E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35</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5046ED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邻-二甲苯</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79AAFF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6A13A3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1.2×10</w:t>
                  </w:r>
                  <w:r>
                    <w:rPr>
                      <w:rFonts w:hint="default" w:ascii="Times New Roman" w:hAnsi="Times New Roman" w:eastAsia="宋体" w:cs="Times New Roman"/>
                      <w:b w:val="0"/>
                      <w:bCs/>
                      <w:color w:val="000000"/>
                      <w:kern w:val="0"/>
                      <w:sz w:val="21"/>
                      <w:szCs w:val="21"/>
                      <w:highlight w:val="none"/>
                      <w:vertAlign w:val="superscript"/>
                    </w:rPr>
                    <w:t>-3</w:t>
                  </w:r>
                  <w:r>
                    <w:rPr>
                      <w:rFonts w:hint="default" w:ascii="Times New Roman" w:hAnsi="Times New Roman" w:eastAsia="宋体" w:cs="Times New Roman"/>
                      <w:b w:val="0"/>
                      <w:color w:val="000000"/>
                      <w:kern w:val="0"/>
                      <w:sz w:val="21"/>
                      <w:szCs w:val="21"/>
                      <w:highlight w:val="none"/>
                    </w:rPr>
                    <w:t>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0EC2182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640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AA30D1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50F954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B11A5A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36</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847889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苯胺</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769410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987625C">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3.78L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311A7BF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76</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9BCEB3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47FE6C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C56BC1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37</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14786B8F">
                  <w:pPr>
                    <w:jc w:val="center"/>
                    <w:rPr>
                      <w:rFonts w:hint="default" w:ascii="Times New Roman" w:hAnsi="Times New Roman" w:eastAsia="宋体" w:cs="Times New Roman"/>
                      <w:b w:val="0"/>
                      <w:color w:val="000000"/>
                      <w:kern w:val="0"/>
                      <w:sz w:val="21"/>
                      <w:szCs w:val="21"/>
                      <w:highlight w:val="none"/>
                    </w:rPr>
                  </w:pP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3583E341">
                  <w:pPr>
                    <w:jc w:val="center"/>
                    <w:rPr>
                      <w:rFonts w:hint="default" w:ascii="Times New Roman" w:hAnsi="Times New Roman" w:eastAsia="宋体" w:cs="Times New Roman"/>
                      <w:b w:val="0"/>
                      <w:color w:val="000000"/>
                      <w:kern w:val="0"/>
                      <w:sz w:val="21"/>
                      <w:szCs w:val="21"/>
                      <w:highlight w:val="none"/>
                    </w:rPr>
                  </w:pP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57D13DFA">
                  <w:pPr>
                    <w:jc w:val="center"/>
                    <w:rPr>
                      <w:rFonts w:hint="default" w:ascii="Times New Roman" w:hAnsi="Times New Roman" w:eastAsia="宋体" w:cs="Times New Roman"/>
                      <w:b w:val="0"/>
                      <w:color w:val="000000"/>
                      <w:kern w:val="0"/>
                      <w:sz w:val="21"/>
                      <w:szCs w:val="21"/>
                      <w:highlight w:val="none"/>
                    </w:rPr>
                  </w:pP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4DE7C7A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260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E9CDE1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37A7B4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EB35E09">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38</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6975BC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苯并</w:t>
                  </w:r>
                  <w:r>
                    <w:rPr>
                      <w:rFonts w:hint="eastAsia" w:cs="Times New Roman"/>
                      <w:b w:val="0"/>
                      <w:color w:val="000000"/>
                      <w:kern w:val="0"/>
                      <w:sz w:val="21"/>
                      <w:szCs w:val="21"/>
                      <w:highlight w:val="none"/>
                      <w:lang w:eastAsia="zh-CN"/>
                    </w:rPr>
                    <w:t>（</w:t>
                  </w:r>
                  <w:r>
                    <w:rPr>
                      <w:rFonts w:hint="default" w:ascii="Times New Roman" w:hAnsi="Times New Roman" w:eastAsia="宋体" w:cs="Times New Roman"/>
                      <w:b w:val="0"/>
                      <w:color w:val="000000"/>
                      <w:kern w:val="0"/>
                      <w:sz w:val="21"/>
                      <w:szCs w:val="21"/>
                      <w:highlight w:val="none"/>
                    </w:rPr>
                    <w:t>a</w:t>
                  </w:r>
                  <w:r>
                    <w:rPr>
                      <w:rFonts w:hint="eastAsia" w:cs="Times New Roman"/>
                      <w:b w:val="0"/>
                      <w:color w:val="000000"/>
                      <w:kern w:val="0"/>
                      <w:sz w:val="21"/>
                      <w:szCs w:val="21"/>
                      <w:highlight w:val="none"/>
                      <w:lang w:eastAsia="zh-CN"/>
                    </w:rPr>
                    <w:t>）</w:t>
                  </w:r>
                  <w:r>
                    <w:rPr>
                      <w:rFonts w:hint="default" w:ascii="Times New Roman" w:hAnsi="Times New Roman" w:eastAsia="宋体" w:cs="Times New Roman"/>
                      <w:b w:val="0"/>
                      <w:color w:val="000000"/>
                      <w:kern w:val="0"/>
                      <w:sz w:val="21"/>
                      <w:szCs w:val="21"/>
                      <w:highlight w:val="none"/>
                    </w:rPr>
                    <w:t>蒽</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80BE52E">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27FA80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0.1L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62494C1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15</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AB5328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46F570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B2A825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39</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D97197E">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苯并</w:t>
                  </w:r>
                  <w:r>
                    <w:rPr>
                      <w:rFonts w:hint="eastAsia" w:cs="Times New Roman"/>
                      <w:b w:val="0"/>
                      <w:color w:val="000000"/>
                      <w:kern w:val="0"/>
                      <w:sz w:val="21"/>
                      <w:szCs w:val="21"/>
                      <w:highlight w:val="none"/>
                      <w:lang w:eastAsia="zh-CN"/>
                    </w:rPr>
                    <w:t>（</w:t>
                  </w:r>
                  <w:r>
                    <w:rPr>
                      <w:rFonts w:hint="default" w:ascii="Times New Roman" w:hAnsi="Times New Roman" w:eastAsia="宋体" w:cs="Times New Roman"/>
                      <w:b w:val="0"/>
                      <w:color w:val="000000"/>
                      <w:kern w:val="0"/>
                      <w:sz w:val="21"/>
                      <w:szCs w:val="21"/>
                      <w:highlight w:val="none"/>
                    </w:rPr>
                    <w:t>a</w:t>
                  </w:r>
                  <w:r>
                    <w:rPr>
                      <w:rFonts w:hint="eastAsia" w:cs="Times New Roman"/>
                      <w:b w:val="0"/>
                      <w:color w:val="000000"/>
                      <w:kern w:val="0"/>
                      <w:sz w:val="21"/>
                      <w:szCs w:val="21"/>
                      <w:highlight w:val="none"/>
                      <w:lang w:eastAsia="zh-CN"/>
                    </w:rPr>
                    <w:t>）</w:t>
                  </w:r>
                  <w:r>
                    <w:rPr>
                      <w:rFonts w:hint="default" w:ascii="Times New Roman" w:hAnsi="Times New Roman" w:eastAsia="宋体" w:cs="Times New Roman"/>
                      <w:b w:val="0"/>
                      <w:color w:val="000000"/>
                      <w:kern w:val="0"/>
                      <w:sz w:val="21"/>
                      <w:szCs w:val="21"/>
                      <w:highlight w:val="none"/>
                    </w:rPr>
                    <w:t>芘</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8D2F0D1">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1F797FE">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0.1L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5A01DF5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1.5</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E329D74">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487160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66EDD7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40</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8F514C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苯并</w:t>
                  </w:r>
                  <w:r>
                    <w:rPr>
                      <w:rFonts w:hint="eastAsia" w:cs="Times New Roman"/>
                      <w:b w:val="0"/>
                      <w:color w:val="000000"/>
                      <w:kern w:val="0"/>
                      <w:sz w:val="21"/>
                      <w:szCs w:val="21"/>
                      <w:highlight w:val="none"/>
                      <w:lang w:eastAsia="zh-CN"/>
                    </w:rPr>
                    <w:t>（</w:t>
                  </w:r>
                  <w:r>
                    <w:rPr>
                      <w:rFonts w:hint="default" w:ascii="Times New Roman" w:hAnsi="Times New Roman" w:eastAsia="宋体" w:cs="Times New Roman"/>
                      <w:b w:val="0"/>
                      <w:color w:val="000000"/>
                      <w:kern w:val="0"/>
                      <w:sz w:val="21"/>
                      <w:szCs w:val="21"/>
                      <w:highlight w:val="none"/>
                    </w:rPr>
                    <w:t>b</w:t>
                  </w:r>
                  <w:r>
                    <w:rPr>
                      <w:rFonts w:hint="eastAsia" w:cs="Times New Roman"/>
                      <w:b w:val="0"/>
                      <w:color w:val="000000"/>
                      <w:kern w:val="0"/>
                      <w:sz w:val="21"/>
                      <w:szCs w:val="21"/>
                      <w:highlight w:val="none"/>
                      <w:lang w:eastAsia="zh-CN"/>
                    </w:rPr>
                    <w:t>）</w:t>
                  </w:r>
                  <w:r>
                    <w:rPr>
                      <w:rFonts w:hint="default" w:ascii="Times New Roman" w:hAnsi="Times New Roman" w:eastAsia="宋体" w:cs="Times New Roman"/>
                      <w:b w:val="0"/>
                      <w:color w:val="000000"/>
                      <w:kern w:val="0"/>
                      <w:sz w:val="21"/>
                      <w:szCs w:val="21"/>
                      <w:highlight w:val="none"/>
                    </w:rPr>
                    <w:t>荧蒽</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911A074">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70EF68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0.2L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5ABD3C7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15</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DF8B339">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372C1F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CC7C2F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41</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0F1A8F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苯并</w:t>
                  </w:r>
                  <w:r>
                    <w:rPr>
                      <w:rFonts w:hint="eastAsia" w:cs="Times New Roman"/>
                      <w:b w:val="0"/>
                      <w:color w:val="000000"/>
                      <w:kern w:val="0"/>
                      <w:sz w:val="21"/>
                      <w:szCs w:val="21"/>
                      <w:highlight w:val="none"/>
                      <w:lang w:eastAsia="zh-CN"/>
                    </w:rPr>
                    <w:t>（</w:t>
                  </w:r>
                  <w:r>
                    <w:rPr>
                      <w:rFonts w:hint="default" w:ascii="Times New Roman" w:hAnsi="Times New Roman" w:eastAsia="宋体" w:cs="Times New Roman"/>
                      <w:b w:val="0"/>
                      <w:color w:val="000000"/>
                      <w:kern w:val="0"/>
                      <w:sz w:val="21"/>
                      <w:szCs w:val="21"/>
                      <w:highlight w:val="none"/>
                    </w:rPr>
                    <w:t>k</w:t>
                  </w:r>
                  <w:r>
                    <w:rPr>
                      <w:rFonts w:hint="eastAsia" w:cs="Times New Roman"/>
                      <w:b w:val="0"/>
                      <w:color w:val="000000"/>
                      <w:kern w:val="0"/>
                      <w:sz w:val="21"/>
                      <w:szCs w:val="21"/>
                      <w:highlight w:val="none"/>
                      <w:lang w:eastAsia="zh-CN"/>
                    </w:rPr>
                    <w:t>）</w:t>
                  </w:r>
                  <w:r>
                    <w:rPr>
                      <w:rFonts w:hint="default" w:ascii="Times New Roman" w:hAnsi="Times New Roman" w:eastAsia="宋体" w:cs="Times New Roman"/>
                      <w:b w:val="0"/>
                      <w:color w:val="000000"/>
                      <w:kern w:val="0"/>
                      <w:sz w:val="21"/>
                      <w:szCs w:val="21"/>
                      <w:highlight w:val="none"/>
                    </w:rPr>
                    <w:t>荧蒽</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046B48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D880E3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0.1L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731B94E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151</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F311A9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4D23BF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07ED97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42</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1D303D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䓛</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3B93F0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30E040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0.1L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5691A814">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1293</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68539B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01D70C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C03ADE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43</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B4513A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二苯并</w:t>
                  </w:r>
                  <w:r>
                    <w:rPr>
                      <w:rFonts w:hint="eastAsia" w:cs="Times New Roman"/>
                      <w:b w:val="0"/>
                      <w:color w:val="000000"/>
                      <w:kern w:val="0"/>
                      <w:sz w:val="21"/>
                      <w:szCs w:val="21"/>
                      <w:highlight w:val="none"/>
                      <w:lang w:eastAsia="zh-CN"/>
                    </w:rPr>
                    <w:t>（</w:t>
                  </w:r>
                  <w:r>
                    <w:rPr>
                      <w:rFonts w:hint="default" w:ascii="Times New Roman" w:hAnsi="Times New Roman" w:eastAsia="宋体" w:cs="Times New Roman"/>
                      <w:b w:val="0"/>
                      <w:color w:val="000000"/>
                      <w:kern w:val="0"/>
                      <w:sz w:val="21"/>
                      <w:szCs w:val="21"/>
                      <w:highlight w:val="none"/>
                    </w:rPr>
                    <w:t>a,h</w:t>
                  </w:r>
                  <w:r>
                    <w:rPr>
                      <w:rFonts w:hint="eastAsia" w:cs="Times New Roman"/>
                      <w:b w:val="0"/>
                      <w:color w:val="000000"/>
                      <w:kern w:val="0"/>
                      <w:sz w:val="21"/>
                      <w:szCs w:val="21"/>
                      <w:highlight w:val="none"/>
                      <w:lang w:eastAsia="zh-CN"/>
                    </w:rPr>
                    <w:t>）</w:t>
                  </w:r>
                  <w:r>
                    <w:rPr>
                      <w:rFonts w:hint="default" w:ascii="Times New Roman" w:hAnsi="Times New Roman" w:eastAsia="宋体" w:cs="Times New Roman"/>
                      <w:b w:val="0"/>
                      <w:color w:val="000000"/>
                      <w:kern w:val="0"/>
                      <w:sz w:val="21"/>
                      <w:szCs w:val="21"/>
                      <w:highlight w:val="none"/>
                    </w:rPr>
                    <w:t>蒽</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ABA2A9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C466CE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0.1L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2AB95AE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1.5</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42E5ABC">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56BA8C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FD6B8D3">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44</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BF51319">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萘</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56E6B7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2FFEBD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0.09L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6A3663E6">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70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C70A98E">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6806F0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14725A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45</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C90A349">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2-氯酚</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113E04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96988CD">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0.06L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2201F74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2256</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61C8C8A">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50B5A8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9BAA12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46</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44CD19C">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茚并</w:t>
                  </w:r>
                  <w:r>
                    <w:rPr>
                      <w:rFonts w:hint="eastAsia" w:cs="Times New Roman"/>
                      <w:b w:val="0"/>
                      <w:color w:val="000000"/>
                      <w:kern w:val="0"/>
                      <w:sz w:val="21"/>
                      <w:szCs w:val="21"/>
                      <w:highlight w:val="none"/>
                      <w:lang w:eastAsia="zh-CN"/>
                    </w:rPr>
                    <w:t>（</w:t>
                  </w:r>
                  <w:r>
                    <w:rPr>
                      <w:rFonts w:hint="default" w:ascii="Times New Roman" w:hAnsi="Times New Roman" w:eastAsia="宋体" w:cs="Times New Roman"/>
                      <w:b w:val="0"/>
                      <w:color w:val="000000"/>
                      <w:kern w:val="0"/>
                      <w:sz w:val="21"/>
                      <w:szCs w:val="21"/>
                      <w:highlight w:val="none"/>
                    </w:rPr>
                    <w:t>1,2,3-cd</w:t>
                  </w:r>
                  <w:r>
                    <w:rPr>
                      <w:rFonts w:hint="eastAsia" w:cs="Times New Roman"/>
                      <w:b w:val="0"/>
                      <w:color w:val="000000"/>
                      <w:kern w:val="0"/>
                      <w:sz w:val="21"/>
                      <w:szCs w:val="21"/>
                      <w:highlight w:val="none"/>
                      <w:lang w:eastAsia="zh-CN"/>
                    </w:rPr>
                    <w:t>）</w:t>
                  </w:r>
                  <w:r>
                    <w:rPr>
                      <w:rFonts w:hint="default" w:ascii="Times New Roman" w:hAnsi="Times New Roman" w:eastAsia="宋体" w:cs="Times New Roman"/>
                      <w:b w:val="0"/>
                      <w:color w:val="000000"/>
                      <w:kern w:val="0"/>
                      <w:sz w:val="21"/>
                      <w:szCs w:val="21"/>
                      <w:highlight w:val="none"/>
                    </w:rPr>
                    <w:t>芘</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0F7506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3A853B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0.1L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6B56C738">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15</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959625F">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r w14:paraId="6905D1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1068"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E09C225">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47</w:t>
                  </w:r>
                </w:p>
              </w:tc>
              <w:tc>
                <w:tcPr>
                  <w:tcW w:w="112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106EAF2">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石油烃（C</w:t>
                  </w:r>
                  <w:r>
                    <w:rPr>
                      <w:rFonts w:hint="default" w:ascii="Times New Roman" w:hAnsi="Times New Roman" w:eastAsia="宋体" w:cs="Times New Roman"/>
                      <w:b w:val="0"/>
                      <w:bCs/>
                      <w:color w:val="000000"/>
                      <w:kern w:val="0"/>
                      <w:sz w:val="21"/>
                      <w:szCs w:val="21"/>
                      <w:highlight w:val="none"/>
                      <w:vertAlign w:val="subscript"/>
                    </w:rPr>
                    <w:t>10</w:t>
                  </w:r>
                  <w:r>
                    <w:rPr>
                      <w:rFonts w:hint="default" w:ascii="Times New Roman" w:hAnsi="Times New Roman" w:eastAsia="宋体" w:cs="Times New Roman"/>
                      <w:b w:val="0"/>
                      <w:color w:val="000000"/>
                      <w:kern w:val="0"/>
                      <w:sz w:val="21"/>
                      <w:szCs w:val="21"/>
                      <w:highlight w:val="none"/>
                    </w:rPr>
                    <w:t>～C</w:t>
                  </w:r>
                  <w:r>
                    <w:rPr>
                      <w:rFonts w:hint="default" w:ascii="Times New Roman" w:hAnsi="Times New Roman" w:eastAsia="宋体" w:cs="Times New Roman"/>
                      <w:b w:val="0"/>
                      <w:bCs/>
                      <w:color w:val="000000"/>
                      <w:kern w:val="0"/>
                      <w:sz w:val="21"/>
                      <w:szCs w:val="21"/>
                      <w:highlight w:val="none"/>
                      <w:vertAlign w:val="subscript"/>
                    </w:rPr>
                    <w:t>40</w:t>
                  </w:r>
                  <w:r>
                    <w:rPr>
                      <w:rFonts w:hint="default" w:ascii="Times New Roman" w:hAnsi="Times New Roman" w:eastAsia="宋体" w:cs="Times New Roman"/>
                      <w:b w:val="0"/>
                      <w:color w:val="000000"/>
                      <w:kern w:val="0"/>
                      <w:sz w:val="21"/>
                      <w:szCs w:val="21"/>
                      <w:highlight w:val="none"/>
                    </w:rPr>
                    <w:t>）</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9A51B0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mg/kg</w:t>
                  </w:r>
                </w:p>
              </w:tc>
              <w:tc>
                <w:tcPr>
                  <w:tcW w:w="107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62096C7">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6L</w:t>
                  </w:r>
                </w:p>
              </w:tc>
              <w:tc>
                <w:tcPr>
                  <w:tcW w:w="107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0267C759">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4500</w:t>
                  </w:r>
                </w:p>
              </w:tc>
              <w:tc>
                <w:tcPr>
                  <w:tcW w:w="1067"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B56679B">
                  <w:pPr>
                    <w:jc w:val="center"/>
                    <w:rPr>
                      <w:rFonts w:hint="default" w:ascii="Times New Roman" w:hAnsi="Times New Roman" w:eastAsia="宋体" w:cs="Times New Roman"/>
                      <w:b w:val="0"/>
                      <w:color w:val="000000"/>
                      <w:kern w:val="0"/>
                      <w:sz w:val="21"/>
                      <w:szCs w:val="21"/>
                      <w:highlight w:val="none"/>
                    </w:rPr>
                  </w:pPr>
                  <w:r>
                    <w:rPr>
                      <w:rFonts w:hint="default" w:ascii="Times New Roman" w:hAnsi="Times New Roman" w:eastAsia="宋体" w:cs="Times New Roman"/>
                      <w:b w:val="0"/>
                      <w:color w:val="000000"/>
                      <w:kern w:val="0"/>
                      <w:sz w:val="21"/>
                      <w:szCs w:val="21"/>
                      <w:highlight w:val="none"/>
                    </w:rPr>
                    <w:t>达标</w:t>
                  </w:r>
                </w:p>
              </w:tc>
            </w:tr>
          </w:tbl>
          <w:p w14:paraId="35ECDD49">
            <w:pPr>
              <w:spacing w:line="91" w:lineRule="exact"/>
              <w:rPr>
                <w:color w:val="000000"/>
                <w:highlight w:val="none"/>
              </w:rPr>
            </w:pPr>
          </w:p>
          <w:p w14:paraId="678F815F">
            <w:pPr>
              <w:pStyle w:val="23"/>
              <w:bidi w:val="0"/>
              <w:rPr>
                <w:rFonts w:hint="eastAsia"/>
                <w:lang w:eastAsia="zh-CN"/>
              </w:rPr>
            </w:pPr>
            <w:r>
              <w:t>表</w:t>
            </w:r>
            <w:r>
              <w:fldChar w:fldCharType="begin"/>
            </w:r>
            <w:r>
              <w:instrText xml:space="preserve"> STYLEREF 1 \s \* ARABIC </w:instrText>
            </w:r>
            <w:r>
              <w:fldChar w:fldCharType="separate"/>
            </w:r>
            <w:r>
              <w:t>3</w:t>
            </w:r>
            <w:r>
              <w:fldChar w:fldCharType="end"/>
            </w:r>
            <w:r>
              <w:rPr>
                <w:rFonts w:hint="eastAsia"/>
                <w:lang w:val="en-US" w:eastAsia="zh-CN"/>
              </w:rPr>
              <w:t xml:space="preserve">-8 </w:t>
            </w:r>
            <w:r>
              <w:rPr>
                <w:rFonts w:hint="eastAsia"/>
                <w:lang w:eastAsia="zh-CN"/>
              </w:rPr>
              <w:t>土壤监测结果及评价结果一览表（</w:t>
            </w:r>
            <w:r>
              <w:rPr>
                <w:rFonts w:hint="eastAsia"/>
                <w:lang w:val="en-US" w:eastAsia="zh-CN"/>
              </w:rPr>
              <w:t>7</w:t>
            </w:r>
            <w:r>
              <w:rPr>
                <w:rFonts w:hint="eastAsia"/>
                <w:lang w:eastAsia="zh-CN"/>
              </w:rPr>
              <w:t>#、</w:t>
            </w:r>
            <w:r>
              <w:rPr>
                <w:rFonts w:hint="eastAsia"/>
                <w:lang w:val="en-US" w:eastAsia="zh-CN"/>
              </w:rPr>
              <w:t>8</w:t>
            </w:r>
            <w:r>
              <w:rPr>
                <w:rFonts w:hint="eastAsia"/>
                <w:lang w:eastAsia="zh-CN"/>
              </w:rPr>
              <w:t>#）</w:t>
            </w:r>
          </w:p>
          <w:tbl>
            <w:tblPr>
              <w:tblStyle w:val="33"/>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453"/>
              <w:gridCol w:w="1119"/>
              <w:gridCol w:w="656"/>
              <w:gridCol w:w="853"/>
              <w:gridCol w:w="853"/>
              <w:gridCol w:w="856"/>
              <w:gridCol w:w="853"/>
              <w:gridCol w:w="853"/>
              <w:gridCol w:w="859"/>
              <w:gridCol w:w="1034"/>
            </w:tblGrid>
            <w:tr w14:paraId="7A6A6C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1" w:hRule="atLeast"/>
                <w:jc w:val="center"/>
              </w:trPr>
              <w:tc>
                <w:tcPr>
                  <w:tcW w:w="270" w:type="pct"/>
                  <w:vMerge w:val="restart"/>
                  <w:tcBorders>
                    <w:top w:val="single" w:color="000000" w:sz="4" w:space="0"/>
                    <w:left w:val="single" w:color="000000" w:sz="4" w:space="0"/>
                    <w:tl2br w:val="nil"/>
                    <w:tr2bl w:val="nil"/>
                  </w:tcBorders>
                  <w:shd w:val="clear" w:color="auto" w:fill="FFFFFF"/>
                  <w:noWrap w:val="0"/>
                  <w:vAlign w:val="center"/>
                </w:tcPr>
                <w:p w14:paraId="5B682D17">
                  <w:pPr>
                    <w:autoSpaceDE w:val="0"/>
                    <w:autoSpaceDN w:val="0"/>
                    <w:jc w:val="center"/>
                    <w:rPr>
                      <w:b w:val="0"/>
                      <w:color w:val="000000"/>
                      <w:kern w:val="0"/>
                      <w:highlight w:val="none"/>
                    </w:rPr>
                  </w:pPr>
                  <w:r>
                    <w:rPr>
                      <w:b w:val="0"/>
                      <w:color w:val="000000"/>
                      <w:kern w:val="0"/>
                      <w:highlight w:val="none"/>
                    </w:rPr>
                    <w:t>序号</w:t>
                  </w:r>
                </w:p>
              </w:tc>
              <w:tc>
                <w:tcPr>
                  <w:tcW w:w="667" w:type="pct"/>
                  <w:vMerge w:val="restart"/>
                  <w:tcBorders>
                    <w:top w:val="single" w:color="000000" w:sz="4" w:space="0"/>
                    <w:tl2br w:val="nil"/>
                    <w:tr2bl w:val="nil"/>
                  </w:tcBorders>
                  <w:shd w:val="clear" w:color="auto" w:fill="FFFFFF"/>
                  <w:noWrap w:val="0"/>
                  <w:vAlign w:val="center"/>
                </w:tcPr>
                <w:p w14:paraId="39F51AB8">
                  <w:pPr>
                    <w:autoSpaceDE w:val="0"/>
                    <w:autoSpaceDN w:val="0"/>
                    <w:jc w:val="center"/>
                    <w:rPr>
                      <w:b w:val="0"/>
                      <w:color w:val="000000"/>
                      <w:kern w:val="0"/>
                      <w:highlight w:val="none"/>
                    </w:rPr>
                  </w:pPr>
                  <w:r>
                    <w:rPr>
                      <w:b w:val="0"/>
                      <w:color w:val="000000"/>
                      <w:kern w:val="0"/>
                      <w:highlight w:val="none"/>
                    </w:rPr>
                    <w:t>污染物项目</w:t>
                  </w:r>
                </w:p>
              </w:tc>
              <w:tc>
                <w:tcPr>
                  <w:tcW w:w="391" w:type="pct"/>
                  <w:vMerge w:val="restart"/>
                  <w:tcBorders>
                    <w:top w:val="single" w:color="000000" w:sz="4" w:space="0"/>
                    <w:tl2br w:val="nil"/>
                    <w:tr2bl w:val="nil"/>
                  </w:tcBorders>
                  <w:shd w:val="clear" w:color="auto" w:fill="FFFFFF"/>
                  <w:noWrap w:val="0"/>
                  <w:vAlign w:val="center"/>
                </w:tcPr>
                <w:p w14:paraId="4C6C172D">
                  <w:pPr>
                    <w:autoSpaceDE w:val="0"/>
                    <w:autoSpaceDN w:val="0"/>
                    <w:jc w:val="center"/>
                    <w:rPr>
                      <w:b w:val="0"/>
                      <w:color w:val="000000"/>
                      <w:kern w:val="0"/>
                      <w:highlight w:val="none"/>
                    </w:rPr>
                  </w:pPr>
                  <w:r>
                    <w:rPr>
                      <w:b w:val="0"/>
                      <w:color w:val="000000"/>
                      <w:kern w:val="0"/>
                      <w:highlight w:val="none"/>
                    </w:rPr>
                    <w:t>单位</w:t>
                  </w:r>
                </w:p>
              </w:tc>
              <w:tc>
                <w:tcPr>
                  <w:tcW w:w="3054" w:type="pct"/>
                  <w:gridSpan w:val="6"/>
                  <w:tcBorders>
                    <w:top w:val="single" w:color="000000" w:sz="4" w:space="0"/>
                    <w:tl2br w:val="nil"/>
                    <w:tr2bl w:val="nil"/>
                  </w:tcBorders>
                  <w:shd w:val="clear" w:color="auto" w:fill="FFFFFF"/>
                  <w:noWrap w:val="0"/>
                  <w:vAlign w:val="center"/>
                </w:tcPr>
                <w:p w14:paraId="1991B2B2">
                  <w:pPr>
                    <w:autoSpaceDE w:val="0"/>
                    <w:autoSpaceDN w:val="0"/>
                    <w:jc w:val="center"/>
                    <w:rPr>
                      <w:b w:val="0"/>
                      <w:color w:val="000000"/>
                      <w:kern w:val="0"/>
                      <w:highlight w:val="none"/>
                    </w:rPr>
                  </w:pPr>
                  <w:r>
                    <w:rPr>
                      <w:b w:val="0"/>
                      <w:color w:val="000000"/>
                      <w:kern w:val="0"/>
                      <w:highlight w:val="none"/>
                    </w:rPr>
                    <w:t>监测值</w:t>
                  </w:r>
                </w:p>
              </w:tc>
              <w:tc>
                <w:tcPr>
                  <w:tcW w:w="616" w:type="pct"/>
                  <w:vMerge w:val="restart"/>
                  <w:tcBorders>
                    <w:top w:val="single" w:color="000000" w:sz="4" w:space="0"/>
                    <w:right w:val="single" w:color="000000" w:sz="4" w:space="0"/>
                    <w:tl2br w:val="nil"/>
                    <w:tr2bl w:val="nil"/>
                  </w:tcBorders>
                  <w:shd w:val="clear" w:color="auto" w:fill="FFFFFF"/>
                  <w:noWrap w:val="0"/>
                  <w:vAlign w:val="center"/>
                </w:tcPr>
                <w:p w14:paraId="7359A2BC">
                  <w:pPr>
                    <w:autoSpaceDE w:val="0"/>
                    <w:autoSpaceDN w:val="0"/>
                    <w:jc w:val="center"/>
                    <w:rPr>
                      <w:b w:val="0"/>
                      <w:color w:val="000000"/>
                      <w:kern w:val="0"/>
                      <w:highlight w:val="none"/>
                    </w:rPr>
                  </w:pPr>
                  <w:r>
                    <w:rPr>
                      <w:b w:val="0"/>
                      <w:color w:val="000000"/>
                      <w:kern w:val="0"/>
                      <w:highlight w:val="none"/>
                    </w:rPr>
                    <w:t>第二类用地</w:t>
                  </w:r>
                  <w:r>
                    <w:rPr>
                      <w:b w:val="0"/>
                      <w:color w:val="000000"/>
                      <w:spacing w:val="6"/>
                      <w:kern w:val="0"/>
                      <w:highlight w:val="none"/>
                    </w:rPr>
                    <w:t>筛选值</w:t>
                  </w:r>
                </w:p>
              </w:tc>
            </w:tr>
            <w:tr w14:paraId="5A6894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6" w:hRule="atLeast"/>
                <w:jc w:val="center"/>
              </w:trPr>
              <w:tc>
                <w:tcPr>
                  <w:tcW w:w="270" w:type="pct"/>
                  <w:vMerge w:val="continue"/>
                  <w:tcBorders>
                    <w:left w:val="single" w:color="000000" w:sz="4" w:space="0"/>
                    <w:tl2br w:val="nil"/>
                    <w:tr2bl w:val="nil"/>
                  </w:tcBorders>
                  <w:shd w:val="clear" w:color="auto" w:fill="FFFFFF"/>
                  <w:noWrap w:val="0"/>
                  <w:vAlign w:val="center"/>
                </w:tcPr>
                <w:p w14:paraId="6F33F5C4">
                  <w:pPr>
                    <w:pStyle w:val="22"/>
                    <w:autoSpaceDE w:val="0"/>
                    <w:autoSpaceDN w:val="0"/>
                    <w:jc w:val="center"/>
                    <w:rPr>
                      <w:b w:val="0"/>
                      <w:color w:val="000000"/>
                      <w:kern w:val="0"/>
                      <w:highlight w:val="none"/>
                    </w:rPr>
                  </w:pPr>
                </w:p>
              </w:tc>
              <w:tc>
                <w:tcPr>
                  <w:tcW w:w="667" w:type="pct"/>
                  <w:vMerge w:val="continue"/>
                  <w:tcBorders>
                    <w:tl2br w:val="nil"/>
                    <w:tr2bl w:val="nil"/>
                  </w:tcBorders>
                  <w:shd w:val="clear" w:color="auto" w:fill="FFFFFF"/>
                  <w:noWrap w:val="0"/>
                  <w:vAlign w:val="center"/>
                </w:tcPr>
                <w:p w14:paraId="0AFEA821">
                  <w:pPr>
                    <w:pStyle w:val="22"/>
                    <w:autoSpaceDE w:val="0"/>
                    <w:autoSpaceDN w:val="0"/>
                    <w:jc w:val="center"/>
                    <w:rPr>
                      <w:b w:val="0"/>
                      <w:color w:val="000000"/>
                      <w:kern w:val="0"/>
                      <w:highlight w:val="none"/>
                    </w:rPr>
                  </w:pPr>
                </w:p>
              </w:tc>
              <w:tc>
                <w:tcPr>
                  <w:tcW w:w="391" w:type="pct"/>
                  <w:vMerge w:val="continue"/>
                  <w:tcBorders>
                    <w:tl2br w:val="nil"/>
                    <w:tr2bl w:val="nil"/>
                  </w:tcBorders>
                  <w:shd w:val="clear" w:color="auto" w:fill="FFFFFF"/>
                  <w:noWrap w:val="0"/>
                  <w:vAlign w:val="center"/>
                </w:tcPr>
                <w:p w14:paraId="32B391EC">
                  <w:pPr>
                    <w:pStyle w:val="22"/>
                    <w:autoSpaceDE w:val="0"/>
                    <w:autoSpaceDN w:val="0"/>
                    <w:jc w:val="center"/>
                    <w:rPr>
                      <w:b w:val="0"/>
                      <w:color w:val="000000"/>
                      <w:kern w:val="0"/>
                      <w:highlight w:val="none"/>
                    </w:rPr>
                  </w:pPr>
                </w:p>
              </w:tc>
              <w:tc>
                <w:tcPr>
                  <w:tcW w:w="1526" w:type="pct"/>
                  <w:gridSpan w:val="3"/>
                  <w:tcBorders>
                    <w:tl2br w:val="nil"/>
                    <w:tr2bl w:val="nil"/>
                  </w:tcBorders>
                  <w:shd w:val="clear" w:color="auto" w:fill="FFFFFF"/>
                  <w:noWrap w:val="0"/>
                  <w:vAlign w:val="center"/>
                </w:tcPr>
                <w:p w14:paraId="78CEC6E2">
                  <w:pPr>
                    <w:autoSpaceDE w:val="0"/>
                    <w:autoSpaceDN w:val="0"/>
                    <w:jc w:val="center"/>
                    <w:rPr>
                      <w:b w:val="0"/>
                      <w:color w:val="000000"/>
                      <w:kern w:val="0"/>
                      <w:highlight w:val="none"/>
                    </w:rPr>
                  </w:pPr>
                  <w:r>
                    <w:rPr>
                      <w:rFonts w:hint="eastAsia"/>
                      <w:b w:val="0"/>
                      <w:color w:val="000000"/>
                      <w:kern w:val="0"/>
                      <w:highlight w:val="none"/>
                    </w:rPr>
                    <w:t>7#</w:t>
                  </w:r>
                </w:p>
              </w:tc>
              <w:tc>
                <w:tcPr>
                  <w:tcW w:w="1527" w:type="pct"/>
                  <w:gridSpan w:val="3"/>
                  <w:tcBorders>
                    <w:tl2br w:val="nil"/>
                    <w:tr2bl w:val="nil"/>
                  </w:tcBorders>
                  <w:shd w:val="clear" w:color="auto" w:fill="FFFFFF"/>
                  <w:noWrap w:val="0"/>
                  <w:vAlign w:val="center"/>
                </w:tcPr>
                <w:p w14:paraId="4494F559">
                  <w:pPr>
                    <w:autoSpaceDE w:val="0"/>
                    <w:autoSpaceDN w:val="0"/>
                    <w:jc w:val="center"/>
                    <w:rPr>
                      <w:rFonts w:cs="宋体"/>
                      <w:b w:val="0"/>
                      <w:color w:val="000000"/>
                      <w:kern w:val="0"/>
                      <w:highlight w:val="none"/>
                    </w:rPr>
                  </w:pPr>
                  <w:r>
                    <w:rPr>
                      <w:rFonts w:hint="eastAsia"/>
                      <w:b w:val="0"/>
                      <w:color w:val="000000"/>
                      <w:kern w:val="0"/>
                      <w:highlight w:val="none"/>
                    </w:rPr>
                    <w:t>8#</w:t>
                  </w:r>
                </w:p>
              </w:tc>
              <w:tc>
                <w:tcPr>
                  <w:tcW w:w="616" w:type="pct"/>
                  <w:vMerge w:val="continue"/>
                  <w:tcBorders>
                    <w:right w:val="single" w:color="000000" w:sz="4" w:space="0"/>
                    <w:tl2br w:val="nil"/>
                    <w:tr2bl w:val="nil"/>
                  </w:tcBorders>
                  <w:shd w:val="clear" w:color="auto" w:fill="FFFFFF"/>
                  <w:noWrap w:val="0"/>
                  <w:vAlign w:val="center"/>
                </w:tcPr>
                <w:p w14:paraId="2F92C821">
                  <w:pPr>
                    <w:autoSpaceDE w:val="0"/>
                    <w:autoSpaceDN w:val="0"/>
                    <w:jc w:val="center"/>
                    <w:rPr>
                      <w:b w:val="0"/>
                      <w:color w:val="000000"/>
                      <w:kern w:val="0"/>
                      <w:highlight w:val="none"/>
                    </w:rPr>
                  </w:pPr>
                </w:p>
              </w:tc>
            </w:tr>
            <w:tr w14:paraId="738C85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vMerge w:val="continue"/>
                  <w:tcBorders>
                    <w:left w:val="single" w:color="000000" w:sz="4" w:space="0"/>
                    <w:tl2br w:val="nil"/>
                    <w:tr2bl w:val="nil"/>
                  </w:tcBorders>
                  <w:shd w:val="clear" w:color="auto" w:fill="FFFFFF"/>
                  <w:noWrap w:val="0"/>
                  <w:vAlign w:val="center"/>
                </w:tcPr>
                <w:p w14:paraId="33D7AD1A">
                  <w:pPr>
                    <w:autoSpaceDE w:val="0"/>
                    <w:autoSpaceDN w:val="0"/>
                    <w:jc w:val="center"/>
                    <w:rPr>
                      <w:b w:val="0"/>
                      <w:color w:val="000000"/>
                      <w:kern w:val="0"/>
                      <w:highlight w:val="none"/>
                    </w:rPr>
                  </w:pPr>
                </w:p>
              </w:tc>
              <w:tc>
                <w:tcPr>
                  <w:tcW w:w="667" w:type="pct"/>
                  <w:vMerge w:val="continue"/>
                  <w:tcBorders>
                    <w:tl2br w:val="nil"/>
                    <w:tr2bl w:val="nil"/>
                  </w:tcBorders>
                  <w:shd w:val="clear" w:color="auto" w:fill="FFFFFF"/>
                  <w:noWrap w:val="0"/>
                  <w:vAlign w:val="center"/>
                </w:tcPr>
                <w:p w14:paraId="416D9B4C">
                  <w:pPr>
                    <w:autoSpaceDE w:val="0"/>
                    <w:autoSpaceDN w:val="0"/>
                    <w:jc w:val="center"/>
                    <w:rPr>
                      <w:b w:val="0"/>
                      <w:color w:val="000000"/>
                      <w:kern w:val="0"/>
                      <w:highlight w:val="none"/>
                    </w:rPr>
                  </w:pPr>
                </w:p>
              </w:tc>
              <w:tc>
                <w:tcPr>
                  <w:tcW w:w="391" w:type="pct"/>
                  <w:tcBorders>
                    <w:tl2br w:val="nil"/>
                    <w:tr2bl w:val="nil"/>
                  </w:tcBorders>
                  <w:shd w:val="clear" w:color="auto" w:fill="FFFFFF"/>
                  <w:noWrap w:val="0"/>
                  <w:vAlign w:val="center"/>
                </w:tcPr>
                <w:p w14:paraId="236DDABC">
                  <w:pPr>
                    <w:autoSpaceDE w:val="0"/>
                    <w:autoSpaceDN w:val="0"/>
                    <w:jc w:val="center"/>
                    <w:rPr>
                      <w:b w:val="0"/>
                      <w:color w:val="000000"/>
                      <w:kern w:val="0"/>
                      <w:highlight w:val="none"/>
                    </w:rPr>
                  </w:pPr>
                  <w:r>
                    <w:rPr>
                      <w:rFonts w:hint="eastAsia"/>
                      <w:b w:val="0"/>
                      <w:color w:val="000000"/>
                      <w:kern w:val="0"/>
                      <w:highlight w:val="none"/>
                    </w:rPr>
                    <w:t>层位</w:t>
                  </w:r>
                </w:p>
              </w:tc>
              <w:tc>
                <w:tcPr>
                  <w:tcW w:w="508" w:type="pct"/>
                  <w:tcBorders>
                    <w:tl2br w:val="nil"/>
                    <w:tr2bl w:val="nil"/>
                  </w:tcBorders>
                  <w:shd w:val="clear" w:color="auto" w:fill="FFFFFF"/>
                  <w:noWrap w:val="0"/>
                  <w:vAlign w:val="center"/>
                </w:tcPr>
                <w:p w14:paraId="42DAD4A4">
                  <w:pPr>
                    <w:autoSpaceDE w:val="0"/>
                    <w:autoSpaceDN w:val="0"/>
                    <w:jc w:val="center"/>
                    <w:rPr>
                      <w:b w:val="0"/>
                      <w:color w:val="000000"/>
                      <w:kern w:val="0"/>
                      <w:highlight w:val="none"/>
                    </w:rPr>
                  </w:pPr>
                  <w:r>
                    <w:rPr>
                      <w:b w:val="0"/>
                      <w:color w:val="000000"/>
                      <w:kern w:val="0"/>
                      <w:highlight w:val="none"/>
                    </w:rPr>
                    <w:t>0~0.5m</w:t>
                  </w:r>
                </w:p>
              </w:tc>
              <w:tc>
                <w:tcPr>
                  <w:tcW w:w="508" w:type="pct"/>
                  <w:tcBorders>
                    <w:tl2br w:val="nil"/>
                    <w:tr2bl w:val="nil"/>
                  </w:tcBorders>
                  <w:shd w:val="clear" w:color="auto" w:fill="FFFFFF"/>
                  <w:noWrap w:val="0"/>
                  <w:vAlign w:val="center"/>
                </w:tcPr>
                <w:p w14:paraId="737877C7">
                  <w:pPr>
                    <w:autoSpaceDE w:val="0"/>
                    <w:autoSpaceDN w:val="0"/>
                    <w:jc w:val="center"/>
                    <w:rPr>
                      <w:b w:val="0"/>
                      <w:color w:val="000000"/>
                      <w:kern w:val="0"/>
                      <w:highlight w:val="none"/>
                    </w:rPr>
                  </w:pPr>
                  <w:r>
                    <w:rPr>
                      <w:b w:val="0"/>
                      <w:color w:val="000000"/>
                      <w:kern w:val="0"/>
                      <w:highlight w:val="none"/>
                    </w:rPr>
                    <w:t>0.5~1.5m</w:t>
                  </w:r>
                </w:p>
              </w:tc>
              <w:tc>
                <w:tcPr>
                  <w:tcW w:w="509" w:type="pct"/>
                  <w:tcBorders>
                    <w:tl2br w:val="nil"/>
                    <w:tr2bl w:val="nil"/>
                  </w:tcBorders>
                  <w:shd w:val="clear" w:color="auto" w:fill="FFFFFF"/>
                  <w:noWrap w:val="0"/>
                  <w:vAlign w:val="center"/>
                </w:tcPr>
                <w:p w14:paraId="047CBCBC">
                  <w:pPr>
                    <w:autoSpaceDE w:val="0"/>
                    <w:autoSpaceDN w:val="0"/>
                    <w:jc w:val="center"/>
                    <w:rPr>
                      <w:b w:val="0"/>
                      <w:color w:val="000000"/>
                      <w:kern w:val="0"/>
                      <w:highlight w:val="none"/>
                    </w:rPr>
                  </w:pPr>
                  <w:r>
                    <w:rPr>
                      <w:b w:val="0"/>
                      <w:color w:val="000000"/>
                      <w:kern w:val="0"/>
                      <w:highlight w:val="none"/>
                    </w:rPr>
                    <w:t>1.5</w:t>
                  </w:r>
                  <w:r>
                    <w:rPr>
                      <w:rFonts w:hint="eastAsia"/>
                      <w:b w:val="0"/>
                      <w:color w:val="000000"/>
                      <w:kern w:val="0"/>
                      <w:highlight w:val="none"/>
                    </w:rPr>
                    <w:t>～</w:t>
                  </w:r>
                  <w:r>
                    <w:rPr>
                      <w:b w:val="0"/>
                      <w:color w:val="000000"/>
                      <w:kern w:val="0"/>
                      <w:highlight w:val="none"/>
                    </w:rPr>
                    <w:t>3m</w:t>
                  </w:r>
                </w:p>
              </w:tc>
              <w:tc>
                <w:tcPr>
                  <w:tcW w:w="508" w:type="pct"/>
                  <w:tcBorders>
                    <w:tl2br w:val="nil"/>
                    <w:tr2bl w:val="nil"/>
                  </w:tcBorders>
                  <w:shd w:val="clear" w:color="auto" w:fill="FFFFFF"/>
                  <w:noWrap w:val="0"/>
                  <w:vAlign w:val="center"/>
                </w:tcPr>
                <w:p w14:paraId="09FF8C70">
                  <w:pPr>
                    <w:autoSpaceDE w:val="0"/>
                    <w:autoSpaceDN w:val="0"/>
                    <w:jc w:val="center"/>
                    <w:rPr>
                      <w:b w:val="0"/>
                      <w:color w:val="000000"/>
                      <w:kern w:val="0"/>
                      <w:highlight w:val="none"/>
                    </w:rPr>
                  </w:pPr>
                  <w:r>
                    <w:rPr>
                      <w:b w:val="0"/>
                      <w:color w:val="000000"/>
                      <w:kern w:val="0"/>
                      <w:highlight w:val="none"/>
                    </w:rPr>
                    <w:t>0~0.5m</w:t>
                  </w:r>
                </w:p>
              </w:tc>
              <w:tc>
                <w:tcPr>
                  <w:tcW w:w="508" w:type="pct"/>
                  <w:tcBorders>
                    <w:tl2br w:val="nil"/>
                    <w:tr2bl w:val="nil"/>
                  </w:tcBorders>
                  <w:shd w:val="clear" w:color="auto" w:fill="FFFFFF"/>
                  <w:noWrap w:val="0"/>
                  <w:vAlign w:val="center"/>
                </w:tcPr>
                <w:p w14:paraId="4CD52793">
                  <w:pPr>
                    <w:autoSpaceDE w:val="0"/>
                    <w:autoSpaceDN w:val="0"/>
                    <w:jc w:val="center"/>
                    <w:rPr>
                      <w:b w:val="0"/>
                      <w:color w:val="000000"/>
                      <w:kern w:val="0"/>
                      <w:highlight w:val="none"/>
                    </w:rPr>
                  </w:pPr>
                  <w:r>
                    <w:rPr>
                      <w:b w:val="0"/>
                      <w:color w:val="000000"/>
                      <w:kern w:val="0"/>
                      <w:highlight w:val="none"/>
                    </w:rPr>
                    <w:t>0.5~</w:t>
                  </w:r>
                  <w:r>
                    <w:rPr>
                      <w:b w:val="0"/>
                      <w:color w:val="000000"/>
                      <w:spacing w:val="-25"/>
                      <w:kern w:val="0"/>
                      <w:highlight w:val="none"/>
                    </w:rPr>
                    <w:t xml:space="preserve"> </w:t>
                  </w:r>
                  <w:r>
                    <w:rPr>
                      <w:b w:val="0"/>
                      <w:color w:val="000000"/>
                      <w:kern w:val="0"/>
                      <w:highlight w:val="none"/>
                    </w:rPr>
                    <w:t>1.5m</w:t>
                  </w:r>
                </w:p>
              </w:tc>
              <w:tc>
                <w:tcPr>
                  <w:tcW w:w="510" w:type="pct"/>
                  <w:tcBorders>
                    <w:tl2br w:val="nil"/>
                    <w:tr2bl w:val="nil"/>
                  </w:tcBorders>
                  <w:shd w:val="clear" w:color="auto" w:fill="FFFFFF"/>
                  <w:noWrap w:val="0"/>
                  <w:vAlign w:val="center"/>
                </w:tcPr>
                <w:p w14:paraId="696AEA7C">
                  <w:pPr>
                    <w:autoSpaceDE w:val="0"/>
                    <w:autoSpaceDN w:val="0"/>
                    <w:jc w:val="center"/>
                    <w:rPr>
                      <w:b w:val="0"/>
                      <w:color w:val="000000"/>
                      <w:kern w:val="0"/>
                      <w:highlight w:val="none"/>
                    </w:rPr>
                  </w:pPr>
                  <w:r>
                    <w:rPr>
                      <w:b w:val="0"/>
                      <w:color w:val="000000"/>
                      <w:kern w:val="0"/>
                      <w:highlight w:val="none"/>
                    </w:rPr>
                    <w:t>1.5</w:t>
                  </w:r>
                  <w:r>
                    <w:rPr>
                      <w:rFonts w:hint="eastAsia"/>
                      <w:b w:val="0"/>
                      <w:color w:val="000000"/>
                      <w:kern w:val="0"/>
                      <w:highlight w:val="none"/>
                    </w:rPr>
                    <w:t>～</w:t>
                  </w:r>
                  <w:r>
                    <w:rPr>
                      <w:b w:val="0"/>
                      <w:color w:val="000000"/>
                      <w:kern w:val="0"/>
                      <w:highlight w:val="none"/>
                    </w:rPr>
                    <w:t>3m</w:t>
                  </w:r>
                </w:p>
              </w:tc>
              <w:tc>
                <w:tcPr>
                  <w:tcW w:w="616" w:type="pct"/>
                  <w:vMerge w:val="continue"/>
                  <w:tcBorders>
                    <w:right w:val="single" w:color="000000" w:sz="4" w:space="0"/>
                    <w:tl2br w:val="nil"/>
                    <w:tr2bl w:val="nil"/>
                  </w:tcBorders>
                  <w:shd w:val="clear" w:color="auto" w:fill="FFFFFF"/>
                  <w:noWrap w:val="0"/>
                  <w:vAlign w:val="center"/>
                </w:tcPr>
                <w:p w14:paraId="782E651E">
                  <w:pPr>
                    <w:autoSpaceDE w:val="0"/>
                    <w:autoSpaceDN w:val="0"/>
                    <w:jc w:val="center"/>
                    <w:rPr>
                      <w:b w:val="0"/>
                      <w:color w:val="000000"/>
                      <w:kern w:val="0"/>
                      <w:highlight w:val="none"/>
                    </w:rPr>
                  </w:pPr>
                </w:p>
              </w:tc>
            </w:tr>
            <w:tr w14:paraId="632EF7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6E2B6665">
                  <w:pPr>
                    <w:autoSpaceDE w:val="0"/>
                    <w:autoSpaceDN w:val="0"/>
                    <w:jc w:val="center"/>
                    <w:rPr>
                      <w:b w:val="0"/>
                      <w:color w:val="000000"/>
                      <w:kern w:val="0"/>
                      <w:highlight w:val="none"/>
                    </w:rPr>
                  </w:pPr>
                  <w:r>
                    <w:rPr>
                      <w:b w:val="0"/>
                      <w:color w:val="000000"/>
                      <w:kern w:val="0"/>
                      <w:highlight w:val="none"/>
                    </w:rPr>
                    <w:t>1</w:t>
                  </w:r>
                </w:p>
              </w:tc>
              <w:tc>
                <w:tcPr>
                  <w:tcW w:w="667" w:type="pct"/>
                  <w:tcBorders>
                    <w:tl2br w:val="nil"/>
                    <w:tr2bl w:val="nil"/>
                  </w:tcBorders>
                  <w:shd w:val="clear" w:color="auto" w:fill="FFFFFF"/>
                  <w:noWrap w:val="0"/>
                  <w:vAlign w:val="center"/>
                </w:tcPr>
                <w:p w14:paraId="374EC22F">
                  <w:pPr>
                    <w:autoSpaceDE w:val="0"/>
                    <w:autoSpaceDN w:val="0"/>
                    <w:jc w:val="center"/>
                    <w:rPr>
                      <w:b w:val="0"/>
                      <w:color w:val="000000"/>
                      <w:kern w:val="0"/>
                      <w:highlight w:val="none"/>
                    </w:rPr>
                  </w:pPr>
                  <w:r>
                    <w:rPr>
                      <w:b w:val="0"/>
                      <w:color w:val="000000"/>
                      <w:kern w:val="0"/>
                      <w:highlight w:val="none"/>
                    </w:rPr>
                    <w:t>pH</w:t>
                  </w:r>
                </w:p>
              </w:tc>
              <w:tc>
                <w:tcPr>
                  <w:tcW w:w="391" w:type="pct"/>
                  <w:tcBorders>
                    <w:tl2br w:val="nil"/>
                    <w:tr2bl w:val="nil"/>
                  </w:tcBorders>
                  <w:shd w:val="clear" w:color="auto" w:fill="FFFFFF"/>
                  <w:noWrap w:val="0"/>
                  <w:vAlign w:val="center"/>
                </w:tcPr>
                <w:p w14:paraId="2568FFD7">
                  <w:pPr>
                    <w:autoSpaceDE w:val="0"/>
                    <w:autoSpaceDN w:val="0"/>
                    <w:jc w:val="center"/>
                    <w:rPr>
                      <w:rFonts w:cs="宋体"/>
                      <w:b w:val="0"/>
                      <w:color w:val="000000"/>
                      <w:kern w:val="0"/>
                      <w:highlight w:val="none"/>
                    </w:rPr>
                  </w:pPr>
                  <w:r>
                    <w:rPr>
                      <w:rFonts w:hint="eastAsia"/>
                      <w:b w:val="0"/>
                      <w:color w:val="000000"/>
                      <w:kern w:val="0"/>
                      <w:highlight w:val="none"/>
                    </w:rPr>
                    <w:t>无量纲</w:t>
                  </w:r>
                </w:p>
              </w:tc>
              <w:tc>
                <w:tcPr>
                  <w:tcW w:w="508" w:type="pct"/>
                  <w:tcBorders>
                    <w:tl2br w:val="nil"/>
                    <w:tr2bl w:val="nil"/>
                  </w:tcBorders>
                  <w:shd w:val="clear" w:color="auto" w:fill="FFFFFF"/>
                  <w:noWrap w:val="0"/>
                  <w:vAlign w:val="center"/>
                </w:tcPr>
                <w:p w14:paraId="64B34B46">
                  <w:pPr>
                    <w:autoSpaceDE w:val="0"/>
                    <w:autoSpaceDN w:val="0"/>
                    <w:jc w:val="center"/>
                    <w:rPr>
                      <w:b w:val="0"/>
                      <w:color w:val="000000"/>
                      <w:kern w:val="0"/>
                      <w:highlight w:val="none"/>
                    </w:rPr>
                  </w:pPr>
                  <w:r>
                    <w:rPr>
                      <w:b w:val="0"/>
                      <w:color w:val="000000"/>
                      <w:kern w:val="0"/>
                      <w:highlight w:val="none"/>
                    </w:rPr>
                    <w:t>8.22</w:t>
                  </w:r>
                </w:p>
              </w:tc>
              <w:tc>
                <w:tcPr>
                  <w:tcW w:w="508" w:type="pct"/>
                  <w:tcBorders>
                    <w:tl2br w:val="nil"/>
                    <w:tr2bl w:val="nil"/>
                  </w:tcBorders>
                  <w:shd w:val="clear" w:color="auto" w:fill="FFFFFF"/>
                  <w:noWrap w:val="0"/>
                  <w:vAlign w:val="center"/>
                </w:tcPr>
                <w:p w14:paraId="47C82571">
                  <w:pPr>
                    <w:autoSpaceDE w:val="0"/>
                    <w:autoSpaceDN w:val="0"/>
                    <w:jc w:val="center"/>
                    <w:rPr>
                      <w:b w:val="0"/>
                      <w:color w:val="000000"/>
                      <w:kern w:val="0"/>
                      <w:highlight w:val="none"/>
                    </w:rPr>
                  </w:pPr>
                  <w:r>
                    <w:rPr>
                      <w:b w:val="0"/>
                      <w:color w:val="000000"/>
                      <w:kern w:val="0"/>
                      <w:highlight w:val="none"/>
                    </w:rPr>
                    <w:t>8.01</w:t>
                  </w:r>
                </w:p>
              </w:tc>
              <w:tc>
                <w:tcPr>
                  <w:tcW w:w="509" w:type="pct"/>
                  <w:tcBorders>
                    <w:tl2br w:val="nil"/>
                    <w:tr2bl w:val="nil"/>
                  </w:tcBorders>
                  <w:shd w:val="clear" w:color="auto" w:fill="FFFFFF"/>
                  <w:noWrap w:val="0"/>
                  <w:vAlign w:val="center"/>
                </w:tcPr>
                <w:p w14:paraId="084E0692">
                  <w:pPr>
                    <w:autoSpaceDE w:val="0"/>
                    <w:autoSpaceDN w:val="0"/>
                    <w:jc w:val="center"/>
                    <w:rPr>
                      <w:b w:val="0"/>
                      <w:color w:val="000000"/>
                      <w:kern w:val="0"/>
                      <w:highlight w:val="none"/>
                    </w:rPr>
                  </w:pPr>
                  <w:r>
                    <w:rPr>
                      <w:b w:val="0"/>
                      <w:color w:val="000000"/>
                      <w:kern w:val="0"/>
                      <w:highlight w:val="none"/>
                    </w:rPr>
                    <w:t>8.07</w:t>
                  </w:r>
                </w:p>
              </w:tc>
              <w:tc>
                <w:tcPr>
                  <w:tcW w:w="508" w:type="pct"/>
                  <w:tcBorders>
                    <w:tl2br w:val="nil"/>
                    <w:tr2bl w:val="nil"/>
                  </w:tcBorders>
                  <w:shd w:val="clear" w:color="auto" w:fill="FFFFFF"/>
                  <w:noWrap w:val="0"/>
                  <w:vAlign w:val="center"/>
                </w:tcPr>
                <w:p w14:paraId="69B4AC72">
                  <w:pPr>
                    <w:autoSpaceDE w:val="0"/>
                    <w:autoSpaceDN w:val="0"/>
                    <w:jc w:val="center"/>
                    <w:rPr>
                      <w:b w:val="0"/>
                      <w:color w:val="000000"/>
                      <w:kern w:val="0"/>
                      <w:highlight w:val="none"/>
                    </w:rPr>
                  </w:pPr>
                  <w:r>
                    <w:rPr>
                      <w:b w:val="0"/>
                      <w:color w:val="000000"/>
                      <w:kern w:val="0"/>
                      <w:highlight w:val="none"/>
                    </w:rPr>
                    <w:t>7.86</w:t>
                  </w:r>
                </w:p>
              </w:tc>
              <w:tc>
                <w:tcPr>
                  <w:tcW w:w="508" w:type="pct"/>
                  <w:tcBorders>
                    <w:tl2br w:val="nil"/>
                    <w:tr2bl w:val="nil"/>
                  </w:tcBorders>
                  <w:shd w:val="clear" w:color="auto" w:fill="FFFFFF"/>
                  <w:noWrap w:val="0"/>
                  <w:vAlign w:val="center"/>
                </w:tcPr>
                <w:p w14:paraId="0D17657A">
                  <w:pPr>
                    <w:autoSpaceDE w:val="0"/>
                    <w:autoSpaceDN w:val="0"/>
                    <w:jc w:val="center"/>
                    <w:rPr>
                      <w:b w:val="0"/>
                      <w:color w:val="000000"/>
                      <w:kern w:val="0"/>
                      <w:highlight w:val="none"/>
                    </w:rPr>
                  </w:pPr>
                  <w:r>
                    <w:rPr>
                      <w:b w:val="0"/>
                      <w:color w:val="000000"/>
                      <w:kern w:val="0"/>
                      <w:highlight w:val="none"/>
                    </w:rPr>
                    <w:t>7.93</w:t>
                  </w:r>
                </w:p>
              </w:tc>
              <w:tc>
                <w:tcPr>
                  <w:tcW w:w="510" w:type="pct"/>
                  <w:tcBorders>
                    <w:tl2br w:val="nil"/>
                    <w:tr2bl w:val="nil"/>
                  </w:tcBorders>
                  <w:shd w:val="clear" w:color="auto" w:fill="FFFFFF"/>
                  <w:noWrap w:val="0"/>
                  <w:vAlign w:val="center"/>
                </w:tcPr>
                <w:p w14:paraId="7755F63E">
                  <w:pPr>
                    <w:autoSpaceDE w:val="0"/>
                    <w:autoSpaceDN w:val="0"/>
                    <w:jc w:val="center"/>
                    <w:rPr>
                      <w:b w:val="0"/>
                      <w:color w:val="000000"/>
                      <w:kern w:val="0"/>
                      <w:highlight w:val="none"/>
                    </w:rPr>
                  </w:pPr>
                  <w:r>
                    <w:rPr>
                      <w:b w:val="0"/>
                      <w:color w:val="000000"/>
                      <w:kern w:val="0"/>
                      <w:highlight w:val="none"/>
                    </w:rPr>
                    <w:t>7.75</w:t>
                  </w:r>
                </w:p>
              </w:tc>
              <w:tc>
                <w:tcPr>
                  <w:tcW w:w="616" w:type="pct"/>
                  <w:tcBorders>
                    <w:right w:val="single" w:color="000000" w:sz="4" w:space="0"/>
                    <w:tl2br w:val="nil"/>
                    <w:tr2bl w:val="nil"/>
                  </w:tcBorders>
                  <w:shd w:val="clear" w:color="auto" w:fill="FFFFFF"/>
                  <w:noWrap w:val="0"/>
                  <w:vAlign w:val="center"/>
                </w:tcPr>
                <w:p w14:paraId="2798ED76">
                  <w:pPr>
                    <w:autoSpaceDE w:val="0"/>
                    <w:autoSpaceDN w:val="0"/>
                    <w:jc w:val="center"/>
                    <w:rPr>
                      <w:b w:val="0"/>
                      <w:color w:val="000000"/>
                      <w:kern w:val="0"/>
                      <w:highlight w:val="none"/>
                    </w:rPr>
                  </w:pPr>
                  <w:r>
                    <w:rPr>
                      <w:rFonts w:hint="eastAsia"/>
                      <w:b w:val="0"/>
                      <w:snapToGrid w:val="0"/>
                      <w:color w:val="000000"/>
                      <w:kern w:val="0"/>
                      <w:highlight w:val="none"/>
                    </w:rPr>
                    <w:t>/</w:t>
                  </w:r>
                </w:p>
              </w:tc>
            </w:tr>
            <w:tr w14:paraId="2F160C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73FDFBEF">
                  <w:pPr>
                    <w:autoSpaceDE w:val="0"/>
                    <w:autoSpaceDN w:val="0"/>
                    <w:jc w:val="center"/>
                    <w:rPr>
                      <w:b w:val="0"/>
                      <w:color w:val="000000"/>
                      <w:kern w:val="0"/>
                      <w:highlight w:val="none"/>
                    </w:rPr>
                  </w:pPr>
                  <w:r>
                    <w:rPr>
                      <w:b w:val="0"/>
                      <w:color w:val="000000"/>
                      <w:kern w:val="0"/>
                      <w:highlight w:val="none"/>
                    </w:rPr>
                    <w:t>2</w:t>
                  </w:r>
                </w:p>
              </w:tc>
              <w:tc>
                <w:tcPr>
                  <w:tcW w:w="667" w:type="pct"/>
                  <w:tcBorders>
                    <w:tl2br w:val="nil"/>
                    <w:tr2bl w:val="nil"/>
                  </w:tcBorders>
                  <w:shd w:val="clear" w:color="auto" w:fill="FFFFFF"/>
                  <w:noWrap w:val="0"/>
                  <w:vAlign w:val="center"/>
                </w:tcPr>
                <w:p w14:paraId="57AFD2B9">
                  <w:pPr>
                    <w:autoSpaceDE w:val="0"/>
                    <w:autoSpaceDN w:val="0"/>
                    <w:jc w:val="center"/>
                    <w:rPr>
                      <w:rFonts w:cs="宋体"/>
                      <w:b w:val="0"/>
                      <w:color w:val="000000"/>
                      <w:kern w:val="0"/>
                      <w:highlight w:val="none"/>
                    </w:rPr>
                  </w:pPr>
                  <w:r>
                    <w:rPr>
                      <w:rFonts w:hint="eastAsia"/>
                      <w:b w:val="0"/>
                      <w:color w:val="000000"/>
                      <w:kern w:val="0"/>
                      <w:highlight w:val="none"/>
                    </w:rPr>
                    <w:t>汞</w:t>
                  </w:r>
                </w:p>
              </w:tc>
              <w:tc>
                <w:tcPr>
                  <w:tcW w:w="391" w:type="pct"/>
                  <w:tcBorders>
                    <w:tl2br w:val="nil"/>
                    <w:tr2bl w:val="nil"/>
                  </w:tcBorders>
                  <w:shd w:val="clear" w:color="auto" w:fill="FFFFFF"/>
                  <w:noWrap w:val="0"/>
                  <w:vAlign w:val="center"/>
                </w:tcPr>
                <w:p w14:paraId="1E2D2255">
                  <w:pPr>
                    <w:autoSpaceDE w:val="0"/>
                    <w:autoSpaceDN w:val="0"/>
                    <w:jc w:val="center"/>
                    <w:rPr>
                      <w:b w:val="0"/>
                      <w:color w:val="000000"/>
                      <w:kern w:val="0"/>
                      <w:highlight w:val="none"/>
                    </w:rPr>
                  </w:pPr>
                  <w:r>
                    <w:rPr>
                      <w:b w:val="0"/>
                      <w:color w:val="000000"/>
                      <w:kern w:val="0"/>
                      <w:highlight w:val="none"/>
                    </w:rPr>
                    <w:t>mg/kg</w:t>
                  </w:r>
                </w:p>
              </w:tc>
              <w:tc>
                <w:tcPr>
                  <w:tcW w:w="508" w:type="pct"/>
                  <w:tcBorders>
                    <w:tl2br w:val="nil"/>
                    <w:tr2bl w:val="nil"/>
                  </w:tcBorders>
                  <w:shd w:val="clear" w:color="auto" w:fill="FFFFFF"/>
                  <w:noWrap w:val="0"/>
                  <w:vAlign w:val="center"/>
                </w:tcPr>
                <w:p w14:paraId="1E1E1522">
                  <w:pPr>
                    <w:autoSpaceDE w:val="0"/>
                    <w:autoSpaceDN w:val="0"/>
                    <w:jc w:val="center"/>
                    <w:rPr>
                      <w:b w:val="0"/>
                      <w:color w:val="000000"/>
                      <w:kern w:val="0"/>
                      <w:highlight w:val="none"/>
                    </w:rPr>
                  </w:pPr>
                  <w:r>
                    <w:rPr>
                      <w:b w:val="0"/>
                      <w:color w:val="000000"/>
                      <w:kern w:val="0"/>
                      <w:highlight w:val="none"/>
                    </w:rPr>
                    <w:t>0.02</w:t>
                  </w:r>
                </w:p>
              </w:tc>
              <w:tc>
                <w:tcPr>
                  <w:tcW w:w="508" w:type="pct"/>
                  <w:tcBorders>
                    <w:tl2br w:val="nil"/>
                    <w:tr2bl w:val="nil"/>
                  </w:tcBorders>
                  <w:shd w:val="clear" w:color="auto" w:fill="FFFFFF"/>
                  <w:noWrap w:val="0"/>
                  <w:vAlign w:val="center"/>
                </w:tcPr>
                <w:p w14:paraId="638B2B02">
                  <w:pPr>
                    <w:autoSpaceDE w:val="0"/>
                    <w:autoSpaceDN w:val="0"/>
                    <w:jc w:val="center"/>
                    <w:rPr>
                      <w:b w:val="0"/>
                      <w:color w:val="000000"/>
                      <w:kern w:val="0"/>
                      <w:highlight w:val="none"/>
                    </w:rPr>
                  </w:pPr>
                  <w:r>
                    <w:rPr>
                      <w:b w:val="0"/>
                      <w:color w:val="000000"/>
                      <w:kern w:val="0"/>
                      <w:highlight w:val="none"/>
                    </w:rPr>
                    <w:t>0.019</w:t>
                  </w:r>
                </w:p>
              </w:tc>
              <w:tc>
                <w:tcPr>
                  <w:tcW w:w="509" w:type="pct"/>
                  <w:tcBorders>
                    <w:tl2br w:val="nil"/>
                    <w:tr2bl w:val="nil"/>
                  </w:tcBorders>
                  <w:shd w:val="clear" w:color="auto" w:fill="FFFFFF"/>
                  <w:noWrap w:val="0"/>
                  <w:vAlign w:val="center"/>
                </w:tcPr>
                <w:p w14:paraId="3061075E">
                  <w:pPr>
                    <w:autoSpaceDE w:val="0"/>
                    <w:autoSpaceDN w:val="0"/>
                    <w:jc w:val="center"/>
                    <w:rPr>
                      <w:b w:val="0"/>
                      <w:color w:val="000000"/>
                      <w:kern w:val="0"/>
                      <w:highlight w:val="none"/>
                    </w:rPr>
                  </w:pPr>
                  <w:r>
                    <w:rPr>
                      <w:b w:val="0"/>
                      <w:color w:val="000000"/>
                      <w:kern w:val="0"/>
                      <w:highlight w:val="none"/>
                    </w:rPr>
                    <w:t>0.019</w:t>
                  </w:r>
                </w:p>
              </w:tc>
              <w:tc>
                <w:tcPr>
                  <w:tcW w:w="508" w:type="pct"/>
                  <w:tcBorders>
                    <w:tl2br w:val="nil"/>
                    <w:tr2bl w:val="nil"/>
                  </w:tcBorders>
                  <w:shd w:val="clear" w:color="auto" w:fill="FFFFFF"/>
                  <w:noWrap w:val="0"/>
                  <w:vAlign w:val="center"/>
                </w:tcPr>
                <w:p w14:paraId="7EF8E3F7">
                  <w:pPr>
                    <w:autoSpaceDE w:val="0"/>
                    <w:autoSpaceDN w:val="0"/>
                    <w:jc w:val="center"/>
                    <w:rPr>
                      <w:b w:val="0"/>
                      <w:color w:val="000000"/>
                      <w:kern w:val="0"/>
                      <w:highlight w:val="none"/>
                    </w:rPr>
                  </w:pPr>
                  <w:r>
                    <w:rPr>
                      <w:b w:val="0"/>
                      <w:color w:val="000000"/>
                      <w:kern w:val="0"/>
                      <w:highlight w:val="none"/>
                    </w:rPr>
                    <w:t>0.021</w:t>
                  </w:r>
                </w:p>
              </w:tc>
              <w:tc>
                <w:tcPr>
                  <w:tcW w:w="508" w:type="pct"/>
                  <w:tcBorders>
                    <w:tl2br w:val="nil"/>
                    <w:tr2bl w:val="nil"/>
                  </w:tcBorders>
                  <w:shd w:val="clear" w:color="auto" w:fill="FFFFFF"/>
                  <w:noWrap w:val="0"/>
                  <w:vAlign w:val="center"/>
                </w:tcPr>
                <w:p w14:paraId="50C69574">
                  <w:pPr>
                    <w:autoSpaceDE w:val="0"/>
                    <w:autoSpaceDN w:val="0"/>
                    <w:jc w:val="center"/>
                    <w:rPr>
                      <w:b w:val="0"/>
                      <w:color w:val="000000"/>
                      <w:kern w:val="0"/>
                      <w:highlight w:val="none"/>
                    </w:rPr>
                  </w:pPr>
                  <w:r>
                    <w:rPr>
                      <w:b w:val="0"/>
                      <w:color w:val="000000"/>
                      <w:kern w:val="0"/>
                      <w:highlight w:val="none"/>
                    </w:rPr>
                    <w:t>0.002L</w:t>
                  </w:r>
                </w:p>
              </w:tc>
              <w:tc>
                <w:tcPr>
                  <w:tcW w:w="510" w:type="pct"/>
                  <w:tcBorders>
                    <w:tl2br w:val="nil"/>
                    <w:tr2bl w:val="nil"/>
                  </w:tcBorders>
                  <w:shd w:val="clear" w:color="auto" w:fill="FFFFFF"/>
                  <w:noWrap w:val="0"/>
                  <w:vAlign w:val="center"/>
                </w:tcPr>
                <w:p w14:paraId="3B0D3258">
                  <w:pPr>
                    <w:autoSpaceDE w:val="0"/>
                    <w:autoSpaceDN w:val="0"/>
                    <w:jc w:val="center"/>
                    <w:rPr>
                      <w:b w:val="0"/>
                      <w:color w:val="000000"/>
                      <w:kern w:val="0"/>
                      <w:highlight w:val="none"/>
                    </w:rPr>
                  </w:pPr>
                  <w:r>
                    <w:rPr>
                      <w:b w:val="0"/>
                      <w:color w:val="000000"/>
                      <w:kern w:val="0"/>
                      <w:highlight w:val="none"/>
                    </w:rPr>
                    <w:t>0.002L</w:t>
                  </w:r>
                </w:p>
              </w:tc>
              <w:tc>
                <w:tcPr>
                  <w:tcW w:w="616" w:type="pct"/>
                  <w:tcBorders>
                    <w:right w:val="single" w:color="000000" w:sz="4" w:space="0"/>
                    <w:tl2br w:val="nil"/>
                    <w:tr2bl w:val="nil"/>
                  </w:tcBorders>
                  <w:shd w:val="clear" w:color="auto" w:fill="FFFFFF"/>
                  <w:noWrap w:val="0"/>
                  <w:vAlign w:val="center"/>
                </w:tcPr>
                <w:p w14:paraId="6CD610C7">
                  <w:pPr>
                    <w:autoSpaceDE w:val="0"/>
                    <w:autoSpaceDN w:val="0"/>
                    <w:jc w:val="center"/>
                    <w:rPr>
                      <w:rFonts w:cs="宋体"/>
                      <w:b w:val="0"/>
                      <w:color w:val="000000"/>
                      <w:kern w:val="0"/>
                      <w:highlight w:val="none"/>
                    </w:rPr>
                  </w:pPr>
                  <w:r>
                    <w:rPr>
                      <w:rFonts w:hint="eastAsia"/>
                      <w:b w:val="0"/>
                      <w:color w:val="000000"/>
                      <w:kern w:val="0"/>
                      <w:highlight w:val="none"/>
                    </w:rPr>
                    <w:t>38</w:t>
                  </w:r>
                </w:p>
              </w:tc>
            </w:tr>
            <w:tr w14:paraId="4A6321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4155C2F9">
                  <w:pPr>
                    <w:autoSpaceDE w:val="0"/>
                    <w:autoSpaceDN w:val="0"/>
                    <w:jc w:val="center"/>
                    <w:rPr>
                      <w:b w:val="0"/>
                      <w:color w:val="000000"/>
                      <w:kern w:val="0"/>
                      <w:highlight w:val="none"/>
                    </w:rPr>
                  </w:pPr>
                  <w:r>
                    <w:rPr>
                      <w:b w:val="0"/>
                      <w:color w:val="000000"/>
                      <w:kern w:val="0"/>
                      <w:highlight w:val="none"/>
                    </w:rPr>
                    <w:t>3</w:t>
                  </w:r>
                </w:p>
              </w:tc>
              <w:tc>
                <w:tcPr>
                  <w:tcW w:w="667" w:type="pct"/>
                  <w:tcBorders>
                    <w:tl2br w:val="nil"/>
                    <w:tr2bl w:val="nil"/>
                  </w:tcBorders>
                  <w:shd w:val="clear" w:color="auto" w:fill="FFFFFF"/>
                  <w:noWrap w:val="0"/>
                  <w:vAlign w:val="center"/>
                </w:tcPr>
                <w:p w14:paraId="6CE7CE64">
                  <w:pPr>
                    <w:autoSpaceDE w:val="0"/>
                    <w:autoSpaceDN w:val="0"/>
                    <w:jc w:val="center"/>
                    <w:rPr>
                      <w:rFonts w:cs="宋体"/>
                      <w:b w:val="0"/>
                      <w:color w:val="000000"/>
                      <w:kern w:val="0"/>
                      <w:highlight w:val="none"/>
                    </w:rPr>
                  </w:pPr>
                  <w:r>
                    <w:rPr>
                      <w:rFonts w:hint="eastAsia"/>
                      <w:b w:val="0"/>
                      <w:color w:val="000000"/>
                      <w:kern w:val="0"/>
                      <w:highlight w:val="none"/>
                    </w:rPr>
                    <w:t>砷</w:t>
                  </w:r>
                </w:p>
              </w:tc>
              <w:tc>
                <w:tcPr>
                  <w:tcW w:w="391" w:type="pct"/>
                  <w:tcBorders>
                    <w:tl2br w:val="nil"/>
                    <w:tr2bl w:val="nil"/>
                  </w:tcBorders>
                  <w:shd w:val="clear" w:color="auto" w:fill="FFFFFF"/>
                  <w:noWrap w:val="0"/>
                  <w:vAlign w:val="center"/>
                </w:tcPr>
                <w:p w14:paraId="2D159A85">
                  <w:pPr>
                    <w:autoSpaceDE w:val="0"/>
                    <w:autoSpaceDN w:val="0"/>
                    <w:jc w:val="center"/>
                    <w:rPr>
                      <w:b w:val="0"/>
                      <w:color w:val="000000"/>
                      <w:kern w:val="0"/>
                      <w:highlight w:val="none"/>
                    </w:rPr>
                  </w:pPr>
                  <w:r>
                    <w:rPr>
                      <w:b w:val="0"/>
                      <w:color w:val="000000"/>
                      <w:kern w:val="0"/>
                      <w:highlight w:val="none"/>
                    </w:rPr>
                    <w:t>mg/kg</w:t>
                  </w:r>
                </w:p>
              </w:tc>
              <w:tc>
                <w:tcPr>
                  <w:tcW w:w="508" w:type="pct"/>
                  <w:tcBorders>
                    <w:tl2br w:val="nil"/>
                    <w:tr2bl w:val="nil"/>
                  </w:tcBorders>
                  <w:shd w:val="clear" w:color="auto" w:fill="FFFFFF"/>
                  <w:noWrap w:val="0"/>
                  <w:vAlign w:val="center"/>
                </w:tcPr>
                <w:p w14:paraId="0C4327AA">
                  <w:pPr>
                    <w:autoSpaceDE w:val="0"/>
                    <w:autoSpaceDN w:val="0"/>
                    <w:jc w:val="center"/>
                    <w:rPr>
                      <w:b w:val="0"/>
                      <w:color w:val="000000"/>
                      <w:kern w:val="0"/>
                      <w:highlight w:val="none"/>
                    </w:rPr>
                  </w:pPr>
                  <w:r>
                    <w:rPr>
                      <w:b w:val="0"/>
                      <w:color w:val="000000"/>
                      <w:kern w:val="0"/>
                      <w:highlight w:val="none"/>
                    </w:rPr>
                    <w:t>7.98</w:t>
                  </w:r>
                </w:p>
              </w:tc>
              <w:tc>
                <w:tcPr>
                  <w:tcW w:w="508" w:type="pct"/>
                  <w:tcBorders>
                    <w:tl2br w:val="nil"/>
                    <w:tr2bl w:val="nil"/>
                  </w:tcBorders>
                  <w:shd w:val="clear" w:color="auto" w:fill="FFFFFF"/>
                  <w:noWrap w:val="0"/>
                  <w:vAlign w:val="center"/>
                </w:tcPr>
                <w:p w14:paraId="4FE42BAB">
                  <w:pPr>
                    <w:autoSpaceDE w:val="0"/>
                    <w:autoSpaceDN w:val="0"/>
                    <w:jc w:val="center"/>
                    <w:rPr>
                      <w:b w:val="0"/>
                      <w:color w:val="000000"/>
                      <w:kern w:val="0"/>
                      <w:highlight w:val="none"/>
                    </w:rPr>
                  </w:pPr>
                  <w:r>
                    <w:rPr>
                      <w:b w:val="0"/>
                      <w:color w:val="000000"/>
                      <w:kern w:val="0"/>
                      <w:highlight w:val="none"/>
                    </w:rPr>
                    <w:t>8.22</w:t>
                  </w:r>
                </w:p>
              </w:tc>
              <w:tc>
                <w:tcPr>
                  <w:tcW w:w="509" w:type="pct"/>
                  <w:tcBorders>
                    <w:tl2br w:val="nil"/>
                    <w:tr2bl w:val="nil"/>
                  </w:tcBorders>
                  <w:shd w:val="clear" w:color="auto" w:fill="FFFFFF"/>
                  <w:noWrap w:val="0"/>
                  <w:vAlign w:val="center"/>
                </w:tcPr>
                <w:p w14:paraId="6C69118A">
                  <w:pPr>
                    <w:autoSpaceDE w:val="0"/>
                    <w:autoSpaceDN w:val="0"/>
                    <w:jc w:val="center"/>
                    <w:rPr>
                      <w:b w:val="0"/>
                      <w:color w:val="000000"/>
                      <w:kern w:val="0"/>
                      <w:highlight w:val="none"/>
                    </w:rPr>
                  </w:pPr>
                  <w:r>
                    <w:rPr>
                      <w:b w:val="0"/>
                      <w:color w:val="000000"/>
                      <w:kern w:val="0"/>
                      <w:highlight w:val="none"/>
                    </w:rPr>
                    <w:t>7.2</w:t>
                  </w:r>
                </w:p>
              </w:tc>
              <w:tc>
                <w:tcPr>
                  <w:tcW w:w="508" w:type="pct"/>
                  <w:tcBorders>
                    <w:tl2br w:val="nil"/>
                    <w:tr2bl w:val="nil"/>
                  </w:tcBorders>
                  <w:shd w:val="clear" w:color="auto" w:fill="FFFFFF"/>
                  <w:noWrap w:val="0"/>
                  <w:vAlign w:val="center"/>
                </w:tcPr>
                <w:p w14:paraId="0601474F">
                  <w:pPr>
                    <w:autoSpaceDE w:val="0"/>
                    <w:autoSpaceDN w:val="0"/>
                    <w:jc w:val="center"/>
                    <w:rPr>
                      <w:b w:val="0"/>
                      <w:color w:val="000000"/>
                      <w:kern w:val="0"/>
                      <w:highlight w:val="none"/>
                    </w:rPr>
                  </w:pPr>
                  <w:r>
                    <w:rPr>
                      <w:b w:val="0"/>
                      <w:color w:val="000000"/>
                      <w:kern w:val="0"/>
                      <w:highlight w:val="none"/>
                    </w:rPr>
                    <w:t>10.5</w:t>
                  </w:r>
                </w:p>
              </w:tc>
              <w:tc>
                <w:tcPr>
                  <w:tcW w:w="508" w:type="pct"/>
                  <w:tcBorders>
                    <w:tl2br w:val="nil"/>
                    <w:tr2bl w:val="nil"/>
                  </w:tcBorders>
                  <w:shd w:val="clear" w:color="auto" w:fill="FFFFFF"/>
                  <w:noWrap w:val="0"/>
                  <w:vAlign w:val="center"/>
                </w:tcPr>
                <w:p w14:paraId="28C3ADDC">
                  <w:pPr>
                    <w:autoSpaceDE w:val="0"/>
                    <w:autoSpaceDN w:val="0"/>
                    <w:jc w:val="center"/>
                    <w:rPr>
                      <w:b w:val="0"/>
                      <w:color w:val="000000"/>
                      <w:kern w:val="0"/>
                      <w:highlight w:val="none"/>
                    </w:rPr>
                  </w:pPr>
                  <w:r>
                    <w:rPr>
                      <w:b w:val="0"/>
                      <w:color w:val="000000"/>
                      <w:kern w:val="0"/>
                      <w:highlight w:val="none"/>
                    </w:rPr>
                    <w:t>11.1</w:t>
                  </w:r>
                </w:p>
              </w:tc>
              <w:tc>
                <w:tcPr>
                  <w:tcW w:w="510" w:type="pct"/>
                  <w:tcBorders>
                    <w:tl2br w:val="nil"/>
                    <w:tr2bl w:val="nil"/>
                  </w:tcBorders>
                  <w:shd w:val="clear" w:color="auto" w:fill="FFFFFF"/>
                  <w:noWrap w:val="0"/>
                  <w:vAlign w:val="center"/>
                </w:tcPr>
                <w:p w14:paraId="29671223">
                  <w:pPr>
                    <w:autoSpaceDE w:val="0"/>
                    <w:autoSpaceDN w:val="0"/>
                    <w:jc w:val="center"/>
                    <w:rPr>
                      <w:b w:val="0"/>
                      <w:color w:val="000000"/>
                      <w:kern w:val="0"/>
                      <w:highlight w:val="none"/>
                    </w:rPr>
                  </w:pPr>
                  <w:r>
                    <w:rPr>
                      <w:b w:val="0"/>
                      <w:color w:val="000000"/>
                      <w:kern w:val="0"/>
                      <w:highlight w:val="none"/>
                    </w:rPr>
                    <w:t>10.8</w:t>
                  </w:r>
                </w:p>
              </w:tc>
              <w:tc>
                <w:tcPr>
                  <w:tcW w:w="616" w:type="pct"/>
                  <w:tcBorders>
                    <w:right w:val="single" w:color="000000" w:sz="4" w:space="0"/>
                    <w:tl2br w:val="nil"/>
                    <w:tr2bl w:val="nil"/>
                  </w:tcBorders>
                  <w:shd w:val="clear" w:color="auto" w:fill="FFFFFF"/>
                  <w:noWrap w:val="0"/>
                  <w:vAlign w:val="center"/>
                </w:tcPr>
                <w:p w14:paraId="355366D4">
                  <w:pPr>
                    <w:autoSpaceDE w:val="0"/>
                    <w:autoSpaceDN w:val="0"/>
                    <w:jc w:val="center"/>
                    <w:rPr>
                      <w:rFonts w:cs="宋体"/>
                      <w:b w:val="0"/>
                      <w:color w:val="000000"/>
                      <w:kern w:val="0"/>
                      <w:highlight w:val="none"/>
                    </w:rPr>
                  </w:pPr>
                  <w:r>
                    <w:rPr>
                      <w:rFonts w:hint="eastAsia"/>
                      <w:b w:val="0"/>
                      <w:color w:val="000000"/>
                      <w:kern w:val="0"/>
                      <w:highlight w:val="none"/>
                    </w:rPr>
                    <w:t>60</w:t>
                  </w:r>
                </w:p>
              </w:tc>
            </w:tr>
            <w:tr w14:paraId="01AE84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0532DF08">
                  <w:pPr>
                    <w:autoSpaceDE w:val="0"/>
                    <w:autoSpaceDN w:val="0"/>
                    <w:jc w:val="center"/>
                    <w:rPr>
                      <w:b w:val="0"/>
                      <w:color w:val="000000"/>
                      <w:kern w:val="0"/>
                      <w:highlight w:val="none"/>
                    </w:rPr>
                  </w:pPr>
                  <w:r>
                    <w:rPr>
                      <w:b w:val="0"/>
                      <w:color w:val="000000"/>
                      <w:kern w:val="0"/>
                      <w:highlight w:val="none"/>
                    </w:rPr>
                    <w:t>4</w:t>
                  </w:r>
                </w:p>
              </w:tc>
              <w:tc>
                <w:tcPr>
                  <w:tcW w:w="667" w:type="pct"/>
                  <w:tcBorders>
                    <w:tl2br w:val="nil"/>
                    <w:tr2bl w:val="nil"/>
                  </w:tcBorders>
                  <w:shd w:val="clear" w:color="auto" w:fill="FFFFFF"/>
                  <w:noWrap w:val="0"/>
                  <w:vAlign w:val="center"/>
                </w:tcPr>
                <w:p w14:paraId="580B0D93">
                  <w:pPr>
                    <w:autoSpaceDE w:val="0"/>
                    <w:autoSpaceDN w:val="0"/>
                    <w:jc w:val="center"/>
                    <w:rPr>
                      <w:rFonts w:cs="宋体"/>
                      <w:b w:val="0"/>
                      <w:color w:val="000000"/>
                      <w:kern w:val="0"/>
                      <w:highlight w:val="none"/>
                    </w:rPr>
                  </w:pPr>
                  <w:r>
                    <w:rPr>
                      <w:rFonts w:hint="eastAsia"/>
                      <w:b w:val="0"/>
                      <w:color w:val="000000"/>
                      <w:kern w:val="0"/>
                      <w:highlight w:val="none"/>
                    </w:rPr>
                    <w:t>铅</w:t>
                  </w:r>
                </w:p>
              </w:tc>
              <w:tc>
                <w:tcPr>
                  <w:tcW w:w="391" w:type="pct"/>
                  <w:tcBorders>
                    <w:tl2br w:val="nil"/>
                    <w:tr2bl w:val="nil"/>
                  </w:tcBorders>
                  <w:shd w:val="clear" w:color="auto" w:fill="FFFFFF"/>
                  <w:noWrap w:val="0"/>
                  <w:vAlign w:val="center"/>
                </w:tcPr>
                <w:p w14:paraId="2C4DF9F9">
                  <w:pPr>
                    <w:autoSpaceDE w:val="0"/>
                    <w:autoSpaceDN w:val="0"/>
                    <w:jc w:val="center"/>
                    <w:rPr>
                      <w:b w:val="0"/>
                      <w:color w:val="000000"/>
                      <w:kern w:val="0"/>
                      <w:highlight w:val="none"/>
                    </w:rPr>
                  </w:pPr>
                  <w:r>
                    <w:rPr>
                      <w:b w:val="0"/>
                      <w:color w:val="000000"/>
                      <w:kern w:val="0"/>
                      <w:highlight w:val="none"/>
                    </w:rPr>
                    <w:t>mg/kg</w:t>
                  </w:r>
                </w:p>
              </w:tc>
              <w:tc>
                <w:tcPr>
                  <w:tcW w:w="508" w:type="pct"/>
                  <w:tcBorders>
                    <w:tl2br w:val="nil"/>
                    <w:tr2bl w:val="nil"/>
                  </w:tcBorders>
                  <w:shd w:val="clear" w:color="auto" w:fill="FFFFFF"/>
                  <w:noWrap w:val="0"/>
                  <w:vAlign w:val="center"/>
                </w:tcPr>
                <w:p w14:paraId="0860BC73">
                  <w:pPr>
                    <w:autoSpaceDE w:val="0"/>
                    <w:autoSpaceDN w:val="0"/>
                    <w:jc w:val="center"/>
                    <w:rPr>
                      <w:b w:val="0"/>
                      <w:color w:val="000000"/>
                      <w:kern w:val="0"/>
                      <w:highlight w:val="none"/>
                    </w:rPr>
                  </w:pPr>
                  <w:r>
                    <w:rPr>
                      <w:b w:val="0"/>
                      <w:color w:val="000000"/>
                      <w:kern w:val="0"/>
                      <w:highlight w:val="none"/>
                    </w:rPr>
                    <w:t>5.4</w:t>
                  </w:r>
                </w:p>
              </w:tc>
              <w:tc>
                <w:tcPr>
                  <w:tcW w:w="508" w:type="pct"/>
                  <w:tcBorders>
                    <w:tl2br w:val="nil"/>
                    <w:tr2bl w:val="nil"/>
                  </w:tcBorders>
                  <w:shd w:val="clear" w:color="auto" w:fill="FFFFFF"/>
                  <w:noWrap w:val="0"/>
                  <w:vAlign w:val="center"/>
                </w:tcPr>
                <w:p w14:paraId="16CB79EA">
                  <w:pPr>
                    <w:autoSpaceDE w:val="0"/>
                    <w:autoSpaceDN w:val="0"/>
                    <w:jc w:val="center"/>
                    <w:rPr>
                      <w:b w:val="0"/>
                      <w:color w:val="000000"/>
                      <w:kern w:val="0"/>
                      <w:highlight w:val="none"/>
                    </w:rPr>
                  </w:pPr>
                  <w:r>
                    <w:rPr>
                      <w:b w:val="0"/>
                      <w:color w:val="000000"/>
                      <w:kern w:val="0"/>
                      <w:highlight w:val="none"/>
                    </w:rPr>
                    <w:t>5.5</w:t>
                  </w:r>
                </w:p>
              </w:tc>
              <w:tc>
                <w:tcPr>
                  <w:tcW w:w="509" w:type="pct"/>
                  <w:tcBorders>
                    <w:tl2br w:val="nil"/>
                    <w:tr2bl w:val="nil"/>
                  </w:tcBorders>
                  <w:shd w:val="clear" w:color="auto" w:fill="FFFFFF"/>
                  <w:noWrap w:val="0"/>
                  <w:vAlign w:val="center"/>
                </w:tcPr>
                <w:p w14:paraId="4C945B04">
                  <w:pPr>
                    <w:autoSpaceDE w:val="0"/>
                    <w:autoSpaceDN w:val="0"/>
                    <w:jc w:val="center"/>
                    <w:rPr>
                      <w:b w:val="0"/>
                      <w:color w:val="000000"/>
                      <w:kern w:val="0"/>
                      <w:highlight w:val="none"/>
                    </w:rPr>
                  </w:pPr>
                  <w:r>
                    <w:rPr>
                      <w:b w:val="0"/>
                      <w:color w:val="000000"/>
                      <w:kern w:val="0"/>
                      <w:highlight w:val="none"/>
                    </w:rPr>
                    <w:t>4.7</w:t>
                  </w:r>
                </w:p>
              </w:tc>
              <w:tc>
                <w:tcPr>
                  <w:tcW w:w="508" w:type="pct"/>
                  <w:tcBorders>
                    <w:tl2br w:val="nil"/>
                    <w:tr2bl w:val="nil"/>
                  </w:tcBorders>
                  <w:shd w:val="clear" w:color="auto" w:fill="FFFFFF"/>
                  <w:noWrap w:val="0"/>
                  <w:vAlign w:val="center"/>
                </w:tcPr>
                <w:p w14:paraId="660AF0CF">
                  <w:pPr>
                    <w:autoSpaceDE w:val="0"/>
                    <w:autoSpaceDN w:val="0"/>
                    <w:jc w:val="center"/>
                    <w:rPr>
                      <w:b w:val="0"/>
                      <w:color w:val="000000"/>
                      <w:kern w:val="0"/>
                      <w:highlight w:val="none"/>
                    </w:rPr>
                  </w:pPr>
                  <w:r>
                    <w:rPr>
                      <w:b w:val="0"/>
                      <w:color w:val="000000"/>
                      <w:kern w:val="0"/>
                      <w:highlight w:val="none"/>
                    </w:rPr>
                    <w:t>5</w:t>
                  </w:r>
                </w:p>
              </w:tc>
              <w:tc>
                <w:tcPr>
                  <w:tcW w:w="508" w:type="pct"/>
                  <w:tcBorders>
                    <w:tl2br w:val="nil"/>
                    <w:tr2bl w:val="nil"/>
                  </w:tcBorders>
                  <w:shd w:val="clear" w:color="auto" w:fill="FFFFFF"/>
                  <w:noWrap w:val="0"/>
                  <w:vAlign w:val="center"/>
                </w:tcPr>
                <w:p w14:paraId="41341C02">
                  <w:pPr>
                    <w:autoSpaceDE w:val="0"/>
                    <w:autoSpaceDN w:val="0"/>
                    <w:jc w:val="center"/>
                    <w:rPr>
                      <w:b w:val="0"/>
                      <w:color w:val="000000"/>
                      <w:kern w:val="0"/>
                      <w:highlight w:val="none"/>
                    </w:rPr>
                  </w:pPr>
                  <w:r>
                    <w:rPr>
                      <w:b w:val="0"/>
                      <w:color w:val="000000"/>
                      <w:kern w:val="0"/>
                      <w:highlight w:val="none"/>
                    </w:rPr>
                    <w:t>5</w:t>
                  </w:r>
                </w:p>
              </w:tc>
              <w:tc>
                <w:tcPr>
                  <w:tcW w:w="510" w:type="pct"/>
                  <w:tcBorders>
                    <w:tl2br w:val="nil"/>
                    <w:tr2bl w:val="nil"/>
                  </w:tcBorders>
                  <w:shd w:val="clear" w:color="auto" w:fill="FFFFFF"/>
                  <w:noWrap w:val="0"/>
                  <w:vAlign w:val="center"/>
                </w:tcPr>
                <w:p w14:paraId="22248A5D">
                  <w:pPr>
                    <w:autoSpaceDE w:val="0"/>
                    <w:autoSpaceDN w:val="0"/>
                    <w:jc w:val="center"/>
                    <w:rPr>
                      <w:b w:val="0"/>
                      <w:color w:val="000000"/>
                      <w:kern w:val="0"/>
                      <w:highlight w:val="none"/>
                    </w:rPr>
                  </w:pPr>
                  <w:r>
                    <w:rPr>
                      <w:b w:val="0"/>
                      <w:color w:val="000000"/>
                      <w:kern w:val="0"/>
                      <w:highlight w:val="none"/>
                    </w:rPr>
                    <w:t>5</w:t>
                  </w:r>
                </w:p>
              </w:tc>
              <w:tc>
                <w:tcPr>
                  <w:tcW w:w="616" w:type="pct"/>
                  <w:tcBorders>
                    <w:right w:val="single" w:color="000000" w:sz="4" w:space="0"/>
                    <w:tl2br w:val="nil"/>
                    <w:tr2bl w:val="nil"/>
                  </w:tcBorders>
                  <w:shd w:val="clear" w:color="auto" w:fill="FFFFFF"/>
                  <w:noWrap w:val="0"/>
                  <w:vAlign w:val="center"/>
                </w:tcPr>
                <w:p w14:paraId="4FB02683">
                  <w:pPr>
                    <w:autoSpaceDE w:val="0"/>
                    <w:autoSpaceDN w:val="0"/>
                    <w:jc w:val="center"/>
                    <w:rPr>
                      <w:rFonts w:cs="宋体"/>
                      <w:b w:val="0"/>
                      <w:color w:val="000000"/>
                      <w:kern w:val="0"/>
                      <w:highlight w:val="none"/>
                    </w:rPr>
                  </w:pPr>
                  <w:r>
                    <w:rPr>
                      <w:rFonts w:hint="eastAsia"/>
                      <w:b w:val="0"/>
                      <w:color w:val="000000"/>
                      <w:kern w:val="0"/>
                      <w:highlight w:val="none"/>
                    </w:rPr>
                    <w:t>800</w:t>
                  </w:r>
                </w:p>
              </w:tc>
            </w:tr>
            <w:tr w14:paraId="2AD283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43744E10">
                  <w:pPr>
                    <w:autoSpaceDE w:val="0"/>
                    <w:autoSpaceDN w:val="0"/>
                    <w:jc w:val="center"/>
                    <w:rPr>
                      <w:b w:val="0"/>
                      <w:color w:val="000000"/>
                      <w:kern w:val="0"/>
                      <w:highlight w:val="none"/>
                    </w:rPr>
                  </w:pPr>
                  <w:r>
                    <w:rPr>
                      <w:b w:val="0"/>
                      <w:color w:val="000000"/>
                      <w:kern w:val="0"/>
                      <w:highlight w:val="none"/>
                    </w:rPr>
                    <w:t>5</w:t>
                  </w:r>
                </w:p>
              </w:tc>
              <w:tc>
                <w:tcPr>
                  <w:tcW w:w="667" w:type="pct"/>
                  <w:tcBorders>
                    <w:tl2br w:val="nil"/>
                    <w:tr2bl w:val="nil"/>
                  </w:tcBorders>
                  <w:shd w:val="clear" w:color="auto" w:fill="FFFFFF"/>
                  <w:noWrap w:val="0"/>
                  <w:vAlign w:val="center"/>
                </w:tcPr>
                <w:p w14:paraId="76E50FD1">
                  <w:pPr>
                    <w:autoSpaceDE w:val="0"/>
                    <w:autoSpaceDN w:val="0"/>
                    <w:jc w:val="center"/>
                    <w:rPr>
                      <w:rFonts w:cs="宋体"/>
                      <w:b w:val="0"/>
                      <w:color w:val="000000"/>
                      <w:kern w:val="0"/>
                      <w:highlight w:val="none"/>
                    </w:rPr>
                  </w:pPr>
                  <w:r>
                    <w:rPr>
                      <w:rFonts w:hint="eastAsia"/>
                      <w:b w:val="0"/>
                      <w:color w:val="000000"/>
                      <w:kern w:val="0"/>
                      <w:highlight w:val="none"/>
                    </w:rPr>
                    <w:t>镉</w:t>
                  </w:r>
                </w:p>
              </w:tc>
              <w:tc>
                <w:tcPr>
                  <w:tcW w:w="391" w:type="pct"/>
                  <w:tcBorders>
                    <w:tl2br w:val="nil"/>
                    <w:tr2bl w:val="nil"/>
                  </w:tcBorders>
                  <w:shd w:val="clear" w:color="auto" w:fill="FFFFFF"/>
                  <w:noWrap w:val="0"/>
                  <w:vAlign w:val="center"/>
                </w:tcPr>
                <w:p w14:paraId="779E736D">
                  <w:pPr>
                    <w:autoSpaceDE w:val="0"/>
                    <w:autoSpaceDN w:val="0"/>
                    <w:jc w:val="center"/>
                    <w:rPr>
                      <w:b w:val="0"/>
                      <w:color w:val="000000"/>
                      <w:kern w:val="0"/>
                      <w:highlight w:val="none"/>
                    </w:rPr>
                  </w:pPr>
                  <w:r>
                    <w:rPr>
                      <w:b w:val="0"/>
                      <w:color w:val="000000"/>
                      <w:kern w:val="0"/>
                      <w:highlight w:val="none"/>
                    </w:rPr>
                    <w:t>mg/kg</w:t>
                  </w:r>
                </w:p>
              </w:tc>
              <w:tc>
                <w:tcPr>
                  <w:tcW w:w="508" w:type="pct"/>
                  <w:tcBorders>
                    <w:tl2br w:val="nil"/>
                    <w:tr2bl w:val="nil"/>
                  </w:tcBorders>
                  <w:shd w:val="clear" w:color="auto" w:fill="FFFFFF"/>
                  <w:noWrap w:val="0"/>
                  <w:vAlign w:val="center"/>
                </w:tcPr>
                <w:p w14:paraId="67C5172A">
                  <w:pPr>
                    <w:autoSpaceDE w:val="0"/>
                    <w:autoSpaceDN w:val="0"/>
                    <w:jc w:val="center"/>
                    <w:rPr>
                      <w:b w:val="0"/>
                      <w:color w:val="000000"/>
                      <w:kern w:val="0"/>
                      <w:highlight w:val="none"/>
                    </w:rPr>
                  </w:pPr>
                  <w:r>
                    <w:rPr>
                      <w:b w:val="0"/>
                      <w:color w:val="000000"/>
                      <w:kern w:val="0"/>
                      <w:highlight w:val="none"/>
                    </w:rPr>
                    <w:t>0.05</w:t>
                  </w:r>
                </w:p>
              </w:tc>
              <w:tc>
                <w:tcPr>
                  <w:tcW w:w="508" w:type="pct"/>
                  <w:tcBorders>
                    <w:tl2br w:val="nil"/>
                    <w:tr2bl w:val="nil"/>
                  </w:tcBorders>
                  <w:shd w:val="clear" w:color="auto" w:fill="FFFFFF"/>
                  <w:noWrap w:val="0"/>
                  <w:vAlign w:val="center"/>
                </w:tcPr>
                <w:p w14:paraId="44462CBB">
                  <w:pPr>
                    <w:autoSpaceDE w:val="0"/>
                    <w:autoSpaceDN w:val="0"/>
                    <w:jc w:val="center"/>
                    <w:rPr>
                      <w:b w:val="0"/>
                      <w:color w:val="000000"/>
                      <w:kern w:val="0"/>
                      <w:highlight w:val="none"/>
                    </w:rPr>
                  </w:pPr>
                  <w:r>
                    <w:rPr>
                      <w:b w:val="0"/>
                      <w:color w:val="000000"/>
                      <w:kern w:val="0"/>
                      <w:highlight w:val="none"/>
                    </w:rPr>
                    <w:t>0.05</w:t>
                  </w:r>
                </w:p>
              </w:tc>
              <w:tc>
                <w:tcPr>
                  <w:tcW w:w="509" w:type="pct"/>
                  <w:tcBorders>
                    <w:tl2br w:val="nil"/>
                    <w:tr2bl w:val="nil"/>
                  </w:tcBorders>
                  <w:shd w:val="clear" w:color="auto" w:fill="FFFFFF"/>
                  <w:noWrap w:val="0"/>
                  <w:vAlign w:val="center"/>
                </w:tcPr>
                <w:p w14:paraId="2B9A966A">
                  <w:pPr>
                    <w:autoSpaceDE w:val="0"/>
                    <w:autoSpaceDN w:val="0"/>
                    <w:jc w:val="center"/>
                    <w:rPr>
                      <w:b w:val="0"/>
                      <w:color w:val="000000"/>
                      <w:kern w:val="0"/>
                      <w:highlight w:val="none"/>
                    </w:rPr>
                  </w:pPr>
                  <w:r>
                    <w:rPr>
                      <w:b w:val="0"/>
                      <w:color w:val="000000"/>
                      <w:kern w:val="0"/>
                      <w:highlight w:val="none"/>
                    </w:rPr>
                    <w:t>0.06</w:t>
                  </w:r>
                </w:p>
              </w:tc>
              <w:tc>
                <w:tcPr>
                  <w:tcW w:w="508" w:type="pct"/>
                  <w:tcBorders>
                    <w:tl2br w:val="nil"/>
                    <w:tr2bl w:val="nil"/>
                  </w:tcBorders>
                  <w:shd w:val="clear" w:color="auto" w:fill="FFFFFF"/>
                  <w:noWrap w:val="0"/>
                  <w:vAlign w:val="center"/>
                </w:tcPr>
                <w:p w14:paraId="58EC271A">
                  <w:pPr>
                    <w:autoSpaceDE w:val="0"/>
                    <w:autoSpaceDN w:val="0"/>
                    <w:jc w:val="center"/>
                    <w:rPr>
                      <w:b w:val="0"/>
                      <w:color w:val="000000"/>
                      <w:kern w:val="0"/>
                      <w:highlight w:val="none"/>
                    </w:rPr>
                  </w:pPr>
                  <w:r>
                    <w:rPr>
                      <w:b w:val="0"/>
                      <w:color w:val="000000"/>
                      <w:kern w:val="0"/>
                      <w:highlight w:val="none"/>
                    </w:rPr>
                    <w:t>0.06</w:t>
                  </w:r>
                </w:p>
              </w:tc>
              <w:tc>
                <w:tcPr>
                  <w:tcW w:w="508" w:type="pct"/>
                  <w:tcBorders>
                    <w:tl2br w:val="nil"/>
                    <w:tr2bl w:val="nil"/>
                  </w:tcBorders>
                  <w:shd w:val="clear" w:color="auto" w:fill="FFFFFF"/>
                  <w:noWrap w:val="0"/>
                  <w:vAlign w:val="center"/>
                </w:tcPr>
                <w:p w14:paraId="59D028C3">
                  <w:pPr>
                    <w:autoSpaceDE w:val="0"/>
                    <w:autoSpaceDN w:val="0"/>
                    <w:jc w:val="center"/>
                    <w:rPr>
                      <w:b w:val="0"/>
                      <w:color w:val="000000"/>
                      <w:kern w:val="0"/>
                      <w:highlight w:val="none"/>
                    </w:rPr>
                  </w:pPr>
                  <w:r>
                    <w:rPr>
                      <w:b w:val="0"/>
                      <w:color w:val="000000"/>
                      <w:kern w:val="0"/>
                      <w:highlight w:val="none"/>
                    </w:rPr>
                    <w:t>0.06</w:t>
                  </w:r>
                </w:p>
              </w:tc>
              <w:tc>
                <w:tcPr>
                  <w:tcW w:w="510" w:type="pct"/>
                  <w:tcBorders>
                    <w:tl2br w:val="nil"/>
                    <w:tr2bl w:val="nil"/>
                  </w:tcBorders>
                  <w:shd w:val="clear" w:color="auto" w:fill="FFFFFF"/>
                  <w:noWrap w:val="0"/>
                  <w:vAlign w:val="center"/>
                </w:tcPr>
                <w:p w14:paraId="5012787E">
                  <w:pPr>
                    <w:autoSpaceDE w:val="0"/>
                    <w:autoSpaceDN w:val="0"/>
                    <w:jc w:val="center"/>
                    <w:rPr>
                      <w:b w:val="0"/>
                      <w:color w:val="000000"/>
                      <w:kern w:val="0"/>
                      <w:highlight w:val="none"/>
                    </w:rPr>
                  </w:pPr>
                  <w:r>
                    <w:rPr>
                      <w:b w:val="0"/>
                      <w:color w:val="000000"/>
                      <w:kern w:val="0"/>
                      <w:highlight w:val="none"/>
                    </w:rPr>
                    <w:t>0.06</w:t>
                  </w:r>
                </w:p>
              </w:tc>
              <w:tc>
                <w:tcPr>
                  <w:tcW w:w="616" w:type="pct"/>
                  <w:tcBorders>
                    <w:right w:val="single" w:color="000000" w:sz="4" w:space="0"/>
                    <w:tl2br w:val="nil"/>
                    <w:tr2bl w:val="nil"/>
                  </w:tcBorders>
                  <w:shd w:val="clear" w:color="auto" w:fill="FFFFFF"/>
                  <w:noWrap w:val="0"/>
                  <w:vAlign w:val="center"/>
                </w:tcPr>
                <w:p w14:paraId="78F8B66A">
                  <w:pPr>
                    <w:autoSpaceDE w:val="0"/>
                    <w:autoSpaceDN w:val="0"/>
                    <w:jc w:val="center"/>
                    <w:rPr>
                      <w:rFonts w:cs="宋体"/>
                      <w:b w:val="0"/>
                      <w:color w:val="000000"/>
                      <w:kern w:val="0"/>
                      <w:highlight w:val="none"/>
                    </w:rPr>
                  </w:pPr>
                  <w:r>
                    <w:rPr>
                      <w:rFonts w:hint="eastAsia"/>
                      <w:b w:val="0"/>
                      <w:color w:val="000000"/>
                      <w:kern w:val="0"/>
                      <w:highlight w:val="none"/>
                    </w:rPr>
                    <w:t>65</w:t>
                  </w:r>
                </w:p>
              </w:tc>
            </w:tr>
            <w:tr w14:paraId="7EB2D3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355E8CA5">
                  <w:pPr>
                    <w:autoSpaceDE w:val="0"/>
                    <w:autoSpaceDN w:val="0"/>
                    <w:jc w:val="center"/>
                    <w:rPr>
                      <w:b w:val="0"/>
                      <w:color w:val="000000"/>
                      <w:kern w:val="0"/>
                      <w:highlight w:val="none"/>
                    </w:rPr>
                  </w:pPr>
                  <w:r>
                    <w:rPr>
                      <w:b w:val="0"/>
                      <w:color w:val="000000"/>
                      <w:kern w:val="0"/>
                      <w:highlight w:val="none"/>
                    </w:rPr>
                    <w:t>6</w:t>
                  </w:r>
                </w:p>
              </w:tc>
              <w:tc>
                <w:tcPr>
                  <w:tcW w:w="667" w:type="pct"/>
                  <w:tcBorders>
                    <w:tl2br w:val="nil"/>
                    <w:tr2bl w:val="nil"/>
                  </w:tcBorders>
                  <w:shd w:val="clear" w:color="auto" w:fill="FFFFFF"/>
                  <w:noWrap w:val="0"/>
                  <w:vAlign w:val="center"/>
                </w:tcPr>
                <w:p w14:paraId="37E09071">
                  <w:pPr>
                    <w:autoSpaceDE w:val="0"/>
                    <w:autoSpaceDN w:val="0"/>
                    <w:jc w:val="center"/>
                    <w:rPr>
                      <w:rFonts w:cs="宋体"/>
                      <w:b w:val="0"/>
                      <w:color w:val="000000"/>
                      <w:kern w:val="0"/>
                      <w:highlight w:val="none"/>
                    </w:rPr>
                  </w:pPr>
                  <w:r>
                    <w:rPr>
                      <w:rFonts w:hint="eastAsia"/>
                      <w:b w:val="0"/>
                      <w:color w:val="000000"/>
                      <w:kern w:val="0"/>
                      <w:highlight w:val="none"/>
                    </w:rPr>
                    <w:t>铜</w:t>
                  </w:r>
                </w:p>
              </w:tc>
              <w:tc>
                <w:tcPr>
                  <w:tcW w:w="391" w:type="pct"/>
                  <w:tcBorders>
                    <w:tl2br w:val="nil"/>
                    <w:tr2bl w:val="nil"/>
                  </w:tcBorders>
                  <w:shd w:val="clear" w:color="auto" w:fill="FFFFFF"/>
                  <w:noWrap w:val="0"/>
                  <w:vAlign w:val="center"/>
                </w:tcPr>
                <w:p w14:paraId="17D844E8">
                  <w:pPr>
                    <w:autoSpaceDE w:val="0"/>
                    <w:autoSpaceDN w:val="0"/>
                    <w:jc w:val="center"/>
                    <w:rPr>
                      <w:b w:val="0"/>
                      <w:color w:val="000000"/>
                      <w:kern w:val="0"/>
                      <w:highlight w:val="none"/>
                    </w:rPr>
                  </w:pPr>
                  <w:r>
                    <w:rPr>
                      <w:b w:val="0"/>
                      <w:color w:val="000000"/>
                      <w:kern w:val="0"/>
                      <w:highlight w:val="none"/>
                    </w:rPr>
                    <w:t>mg/kg</w:t>
                  </w:r>
                </w:p>
              </w:tc>
              <w:tc>
                <w:tcPr>
                  <w:tcW w:w="508" w:type="pct"/>
                  <w:tcBorders>
                    <w:tl2br w:val="nil"/>
                    <w:tr2bl w:val="nil"/>
                  </w:tcBorders>
                  <w:shd w:val="clear" w:color="auto" w:fill="FFFFFF"/>
                  <w:noWrap w:val="0"/>
                  <w:vAlign w:val="center"/>
                </w:tcPr>
                <w:p w14:paraId="22895E68">
                  <w:pPr>
                    <w:autoSpaceDE w:val="0"/>
                    <w:autoSpaceDN w:val="0"/>
                    <w:jc w:val="center"/>
                    <w:rPr>
                      <w:b w:val="0"/>
                      <w:color w:val="000000"/>
                      <w:kern w:val="0"/>
                      <w:highlight w:val="none"/>
                    </w:rPr>
                  </w:pPr>
                  <w:r>
                    <w:rPr>
                      <w:b w:val="0"/>
                      <w:color w:val="000000"/>
                      <w:kern w:val="0"/>
                      <w:highlight w:val="none"/>
                    </w:rPr>
                    <w:t>8</w:t>
                  </w:r>
                </w:p>
              </w:tc>
              <w:tc>
                <w:tcPr>
                  <w:tcW w:w="508" w:type="pct"/>
                  <w:tcBorders>
                    <w:tl2br w:val="nil"/>
                    <w:tr2bl w:val="nil"/>
                  </w:tcBorders>
                  <w:shd w:val="clear" w:color="auto" w:fill="FFFFFF"/>
                  <w:noWrap w:val="0"/>
                  <w:vAlign w:val="center"/>
                </w:tcPr>
                <w:p w14:paraId="571A7D72">
                  <w:pPr>
                    <w:autoSpaceDE w:val="0"/>
                    <w:autoSpaceDN w:val="0"/>
                    <w:jc w:val="center"/>
                    <w:rPr>
                      <w:b w:val="0"/>
                      <w:color w:val="000000"/>
                      <w:kern w:val="0"/>
                      <w:highlight w:val="none"/>
                    </w:rPr>
                  </w:pPr>
                  <w:r>
                    <w:rPr>
                      <w:b w:val="0"/>
                      <w:color w:val="000000"/>
                      <w:kern w:val="0"/>
                      <w:highlight w:val="none"/>
                    </w:rPr>
                    <w:t>10</w:t>
                  </w:r>
                </w:p>
              </w:tc>
              <w:tc>
                <w:tcPr>
                  <w:tcW w:w="509" w:type="pct"/>
                  <w:tcBorders>
                    <w:tl2br w:val="nil"/>
                    <w:tr2bl w:val="nil"/>
                  </w:tcBorders>
                  <w:shd w:val="clear" w:color="auto" w:fill="FFFFFF"/>
                  <w:noWrap w:val="0"/>
                  <w:vAlign w:val="center"/>
                </w:tcPr>
                <w:p w14:paraId="233CAD8E">
                  <w:pPr>
                    <w:autoSpaceDE w:val="0"/>
                    <w:autoSpaceDN w:val="0"/>
                    <w:jc w:val="center"/>
                    <w:rPr>
                      <w:b w:val="0"/>
                      <w:color w:val="000000"/>
                      <w:kern w:val="0"/>
                      <w:highlight w:val="none"/>
                    </w:rPr>
                  </w:pPr>
                  <w:r>
                    <w:rPr>
                      <w:b w:val="0"/>
                      <w:color w:val="000000"/>
                      <w:kern w:val="0"/>
                      <w:highlight w:val="none"/>
                    </w:rPr>
                    <w:t>15</w:t>
                  </w:r>
                </w:p>
              </w:tc>
              <w:tc>
                <w:tcPr>
                  <w:tcW w:w="508" w:type="pct"/>
                  <w:tcBorders>
                    <w:tl2br w:val="nil"/>
                    <w:tr2bl w:val="nil"/>
                  </w:tcBorders>
                  <w:shd w:val="clear" w:color="auto" w:fill="FFFFFF"/>
                  <w:noWrap w:val="0"/>
                  <w:vAlign w:val="center"/>
                </w:tcPr>
                <w:p w14:paraId="40E7863F">
                  <w:pPr>
                    <w:autoSpaceDE w:val="0"/>
                    <w:autoSpaceDN w:val="0"/>
                    <w:jc w:val="center"/>
                    <w:rPr>
                      <w:b w:val="0"/>
                      <w:color w:val="000000"/>
                      <w:kern w:val="0"/>
                      <w:highlight w:val="none"/>
                    </w:rPr>
                  </w:pPr>
                  <w:r>
                    <w:rPr>
                      <w:b w:val="0"/>
                      <w:color w:val="000000"/>
                      <w:kern w:val="0"/>
                      <w:highlight w:val="none"/>
                    </w:rPr>
                    <w:t>10</w:t>
                  </w:r>
                </w:p>
              </w:tc>
              <w:tc>
                <w:tcPr>
                  <w:tcW w:w="508" w:type="pct"/>
                  <w:tcBorders>
                    <w:tl2br w:val="nil"/>
                    <w:tr2bl w:val="nil"/>
                  </w:tcBorders>
                  <w:shd w:val="clear" w:color="auto" w:fill="FFFFFF"/>
                  <w:noWrap w:val="0"/>
                  <w:vAlign w:val="center"/>
                </w:tcPr>
                <w:p w14:paraId="5062908B">
                  <w:pPr>
                    <w:autoSpaceDE w:val="0"/>
                    <w:autoSpaceDN w:val="0"/>
                    <w:jc w:val="center"/>
                    <w:rPr>
                      <w:b w:val="0"/>
                      <w:color w:val="000000"/>
                      <w:kern w:val="0"/>
                      <w:highlight w:val="none"/>
                    </w:rPr>
                  </w:pPr>
                  <w:r>
                    <w:rPr>
                      <w:b w:val="0"/>
                      <w:color w:val="000000"/>
                      <w:kern w:val="0"/>
                      <w:highlight w:val="none"/>
                    </w:rPr>
                    <w:t>11</w:t>
                  </w:r>
                </w:p>
              </w:tc>
              <w:tc>
                <w:tcPr>
                  <w:tcW w:w="510" w:type="pct"/>
                  <w:tcBorders>
                    <w:tl2br w:val="nil"/>
                    <w:tr2bl w:val="nil"/>
                  </w:tcBorders>
                  <w:shd w:val="clear" w:color="auto" w:fill="FFFFFF"/>
                  <w:noWrap w:val="0"/>
                  <w:vAlign w:val="center"/>
                </w:tcPr>
                <w:p w14:paraId="403D8449">
                  <w:pPr>
                    <w:autoSpaceDE w:val="0"/>
                    <w:autoSpaceDN w:val="0"/>
                    <w:jc w:val="center"/>
                    <w:rPr>
                      <w:b w:val="0"/>
                      <w:color w:val="000000"/>
                      <w:kern w:val="0"/>
                      <w:highlight w:val="none"/>
                    </w:rPr>
                  </w:pPr>
                  <w:r>
                    <w:rPr>
                      <w:b w:val="0"/>
                      <w:color w:val="000000"/>
                      <w:kern w:val="0"/>
                      <w:highlight w:val="none"/>
                    </w:rPr>
                    <w:t>12</w:t>
                  </w:r>
                </w:p>
              </w:tc>
              <w:tc>
                <w:tcPr>
                  <w:tcW w:w="616" w:type="pct"/>
                  <w:tcBorders>
                    <w:right w:val="single" w:color="000000" w:sz="4" w:space="0"/>
                    <w:tl2br w:val="nil"/>
                    <w:tr2bl w:val="nil"/>
                  </w:tcBorders>
                  <w:shd w:val="clear" w:color="auto" w:fill="FFFFFF"/>
                  <w:noWrap w:val="0"/>
                  <w:vAlign w:val="center"/>
                </w:tcPr>
                <w:p w14:paraId="0E03E1F5">
                  <w:pPr>
                    <w:autoSpaceDE w:val="0"/>
                    <w:autoSpaceDN w:val="0"/>
                    <w:jc w:val="center"/>
                    <w:rPr>
                      <w:rFonts w:cs="宋体"/>
                      <w:b w:val="0"/>
                      <w:color w:val="000000"/>
                      <w:kern w:val="0"/>
                      <w:highlight w:val="none"/>
                    </w:rPr>
                  </w:pPr>
                  <w:r>
                    <w:rPr>
                      <w:rFonts w:hint="eastAsia"/>
                      <w:b w:val="0"/>
                      <w:color w:val="000000"/>
                      <w:kern w:val="0"/>
                      <w:highlight w:val="none"/>
                    </w:rPr>
                    <w:t>18000</w:t>
                  </w:r>
                </w:p>
              </w:tc>
            </w:tr>
            <w:tr w14:paraId="02290E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1A684012">
                  <w:pPr>
                    <w:autoSpaceDE w:val="0"/>
                    <w:autoSpaceDN w:val="0"/>
                    <w:jc w:val="center"/>
                    <w:rPr>
                      <w:b w:val="0"/>
                      <w:color w:val="000000"/>
                      <w:kern w:val="0"/>
                      <w:highlight w:val="none"/>
                    </w:rPr>
                  </w:pPr>
                  <w:r>
                    <w:rPr>
                      <w:b w:val="0"/>
                      <w:color w:val="000000"/>
                      <w:kern w:val="0"/>
                      <w:highlight w:val="none"/>
                    </w:rPr>
                    <w:t>7</w:t>
                  </w:r>
                </w:p>
              </w:tc>
              <w:tc>
                <w:tcPr>
                  <w:tcW w:w="667" w:type="pct"/>
                  <w:tcBorders>
                    <w:tl2br w:val="nil"/>
                    <w:tr2bl w:val="nil"/>
                  </w:tcBorders>
                  <w:shd w:val="clear" w:color="auto" w:fill="FFFFFF"/>
                  <w:noWrap w:val="0"/>
                  <w:vAlign w:val="center"/>
                </w:tcPr>
                <w:p w14:paraId="5646ED03">
                  <w:pPr>
                    <w:autoSpaceDE w:val="0"/>
                    <w:autoSpaceDN w:val="0"/>
                    <w:jc w:val="center"/>
                    <w:rPr>
                      <w:rFonts w:cs="宋体"/>
                      <w:b w:val="0"/>
                      <w:color w:val="000000"/>
                      <w:kern w:val="0"/>
                      <w:highlight w:val="none"/>
                    </w:rPr>
                  </w:pPr>
                  <w:r>
                    <w:rPr>
                      <w:rFonts w:hint="eastAsia"/>
                      <w:b w:val="0"/>
                      <w:color w:val="000000"/>
                      <w:kern w:val="0"/>
                      <w:highlight w:val="none"/>
                    </w:rPr>
                    <w:t>镍</w:t>
                  </w:r>
                </w:p>
              </w:tc>
              <w:tc>
                <w:tcPr>
                  <w:tcW w:w="391" w:type="pct"/>
                  <w:tcBorders>
                    <w:tl2br w:val="nil"/>
                    <w:tr2bl w:val="nil"/>
                  </w:tcBorders>
                  <w:shd w:val="clear" w:color="auto" w:fill="FFFFFF"/>
                  <w:noWrap w:val="0"/>
                  <w:vAlign w:val="center"/>
                </w:tcPr>
                <w:p w14:paraId="16D1D8CF">
                  <w:pPr>
                    <w:autoSpaceDE w:val="0"/>
                    <w:autoSpaceDN w:val="0"/>
                    <w:jc w:val="center"/>
                    <w:rPr>
                      <w:b w:val="0"/>
                      <w:color w:val="000000"/>
                      <w:kern w:val="0"/>
                      <w:highlight w:val="none"/>
                    </w:rPr>
                  </w:pPr>
                  <w:r>
                    <w:rPr>
                      <w:b w:val="0"/>
                      <w:color w:val="000000"/>
                      <w:kern w:val="0"/>
                      <w:highlight w:val="none"/>
                    </w:rPr>
                    <w:t>mg/kg</w:t>
                  </w:r>
                </w:p>
              </w:tc>
              <w:tc>
                <w:tcPr>
                  <w:tcW w:w="508" w:type="pct"/>
                  <w:tcBorders>
                    <w:tl2br w:val="nil"/>
                    <w:tr2bl w:val="nil"/>
                  </w:tcBorders>
                  <w:shd w:val="clear" w:color="auto" w:fill="FFFFFF"/>
                  <w:noWrap w:val="0"/>
                  <w:vAlign w:val="center"/>
                </w:tcPr>
                <w:p w14:paraId="35F7AE1E">
                  <w:pPr>
                    <w:autoSpaceDE w:val="0"/>
                    <w:autoSpaceDN w:val="0"/>
                    <w:jc w:val="center"/>
                    <w:rPr>
                      <w:b w:val="0"/>
                      <w:color w:val="000000"/>
                      <w:kern w:val="0"/>
                      <w:highlight w:val="none"/>
                    </w:rPr>
                  </w:pPr>
                  <w:r>
                    <w:rPr>
                      <w:b w:val="0"/>
                      <w:color w:val="000000"/>
                      <w:kern w:val="0"/>
                      <w:highlight w:val="none"/>
                    </w:rPr>
                    <w:t>25</w:t>
                  </w:r>
                </w:p>
              </w:tc>
              <w:tc>
                <w:tcPr>
                  <w:tcW w:w="508" w:type="pct"/>
                  <w:tcBorders>
                    <w:tl2br w:val="nil"/>
                    <w:tr2bl w:val="nil"/>
                  </w:tcBorders>
                  <w:shd w:val="clear" w:color="auto" w:fill="FFFFFF"/>
                  <w:noWrap w:val="0"/>
                  <w:vAlign w:val="center"/>
                </w:tcPr>
                <w:p w14:paraId="77E6B073">
                  <w:pPr>
                    <w:autoSpaceDE w:val="0"/>
                    <w:autoSpaceDN w:val="0"/>
                    <w:jc w:val="center"/>
                    <w:rPr>
                      <w:b w:val="0"/>
                      <w:color w:val="000000"/>
                      <w:kern w:val="0"/>
                      <w:highlight w:val="none"/>
                    </w:rPr>
                  </w:pPr>
                  <w:r>
                    <w:rPr>
                      <w:b w:val="0"/>
                      <w:color w:val="000000"/>
                      <w:kern w:val="0"/>
                      <w:highlight w:val="none"/>
                    </w:rPr>
                    <w:t>30</w:t>
                  </w:r>
                </w:p>
              </w:tc>
              <w:tc>
                <w:tcPr>
                  <w:tcW w:w="509" w:type="pct"/>
                  <w:tcBorders>
                    <w:tl2br w:val="nil"/>
                    <w:tr2bl w:val="nil"/>
                  </w:tcBorders>
                  <w:shd w:val="clear" w:color="auto" w:fill="FFFFFF"/>
                  <w:noWrap w:val="0"/>
                  <w:vAlign w:val="center"/>
                </w:tcPr>
                <w:p w14:paraId="47E5BA00">
                  <w:pPr>
                    <w:autoSpaceDE w:val="0"/>
                    <w:autoSpaceDN w:val="0"/>
                    <w:jc w:val="center"/>
                    <w:rPr>
                      <w:b w:val="0"/>
                      <w:color w:val="000000"/>
                      <w:kern w:val="0"/>
                      <w:highlight w:val="none"/>
                    </w:rPr>
                  </w:pPr>
                  <w:r>
                    <w:rPr>
                      <w:b w:val="0"/>
                      <w:color w:val="000000"/>
                      <w:kern w:val="0"/>
                      <w:highlight w:val="none"/>
                    </w:rPr>
                    <w:t>32</w:t>
                  </w:r>
                </w:p>
              </w:tc>
              <w:tc>
                <w:tcPr>
                  <w:tcW w:w="508" w:type="pct"/>
                  <w:tcBorders>
                    <w:tl2br w:val="nil"/>
                    <w:tr2bl w:val="nil"/>
                  </w:tcBorders>
                  <w:shd w:val="clear" w:color="auto" w:fill="FFFFFF"/>
                  <w:noWrap w:val="0"/>
                  <w:vAlign w:val="center"/>
                </w:tcPr>
                <w:p w14:paraId="7FB01D90">
                  <w:pPr>
                    <w:autoSpaceDE w:val="0"/>
                    <w:autoSpaceDN w:val="0"/>
                    <w:jc w:val="center"/>
                    <w:rPr>
                      <w:b w:val="0"/>
                      <w:color w:val="000000"/>
                      <w:kern w:val="0"/>
                      <w:highlight w:val="none"/>
                    </w:rPr>
                  </w:pPr>
                  <w:r>
                    <w:rPr>
                      <w:b w:val="0"/>
                      <w:color w:val="000000"/>
                      <w:kern w:val="0"/>
                      <w:highlight w:val="none"/>
                    </w:rPr>
                    <w:t>23</w:t>
                  </w:r>
                </w:p>
              </w:tc>
              <w:tc>
                <w:tcPr>
                  <w:tcW w:w="508" w:type="pct"/>
                  <w:tcBorders>
                    <w:tl2br w:val="nil"/>
                    <w:tr2bl w:val="nil"/>
                  </w:tcBorders>
                  <w:shd w:val="clear" w:color="auto" w:fill="FFFFFF"/>
                  <w:noWrap w:val="0"/>
                  <w:vAlign w:val="center"/>
                </w:tcPr>
                <w:p w14:paraId="5B269A89">
                  <w:pPr>
                    <w:autoSpaceDE w:val="0"/>
                    <w:autoSpaceDN w:val="0"/>
                    <w:jc w:val="center"/>
                    <w:rPr>
                      <w:b w:val="0"/>
                      <w:color w:val="000000"/>
                      <w:kern w:val="0"/>
                      <w:highlight w:val="none"/>
                    </w:rPr>
                  </w:pPr>
                  <w:r>
                    <w:rPr>
                      <w:b w:val="0"/>
                      <w:color w:val="000000"/>
                      <w:kern w:val="0"/>
                      <w:highlight w:val="none"/>
                    </w:rPr>
                    <w:t>30</w:t>
                  </w:r>
                </w:p>
              </w:tc>
              <w:tc>
                <w:tcPr>
                  <w:tcW w:w="510" w:type="pct"/>
                  <w:tcBorders>
                    <w:tl2br w:val="nil"/>
                    <w:tr2bl w:val="nil"/>
                  </w:tcBorders>
                  <w:shd w:val="clear" w:color="auto" w:fill="FFFFFF"/>
                  <w:noWrap w:val="0"/>
                  <w:vAlign w:val="center"/>
                </w:tcPr>
                <w:p w14:paraId="22FB1A66">
                  <w:pPr>
                    <w:autoSpaceDE w:val="0"/>
                    <w:autoSpaceDN w:val="0"/>
                    <w:jc w:val="center"/>
                    <w:rPr>
                      <w:b w:val="0"/>
                      <w:color w:val="000000"/>
                      <w:kern w:val="0"/>
                      <w:highlight w:val="none"/>
                    </w:rPr>
                  </w:pPr>
                  <w:r>
                    <w:rPr>
                      <w:b w:val="0"/>
                      <w:color w:val="000000"/>
                      <w:kern w:val="0"/>
                      <w:highlight w:val="none"/>
                    </w:rPr>
                    <w:t>32</w:t>
                  </w:r>
                </w:p>
              </w:tc>
              <w:tc>
                <w:tcPr>
                  <w:tcW w:w="616" w:type="pct"/>
                  <w:tcBorders>
                    <w:right w:val="single" w:color="000000" w:sz="4" w:space="0"/>
                    <w:tl2br w:val="nil"/>
                    <w:tr2bl w:val="nil"/>
                  </w:tcBorders>
                  <w:shd w:val="clear" w:color="auto" w:fill="FFFFFF"/>
                  <w:noWrap w:val="0"/>
                  <w:vAlign w:val="center"/>
                </w:tcPr>
                <w:p w14:paraId="330C11E4">
                  <w:pPr>
                    <w:autoSpaceDE w:val="0"/>
                    <w:autoSpaceDN w:val="0"/>
                    <w:jc w:val="center"/>
                    <w:rPr>
                      <w:rFonts w:cs="宋体"/>
                      <w:b w:val="0"/>
                      <w:color w:val="000000"/>
                      <w:kern w:val="0"/>
                      <w:highlight w:val="none"/>
                    </w:rPr>
                  </w:pPr>
                  <w:r>
                    <w:rPr>
                      <w:rFonts w:hint="eastAsia"/>
                      <w:b w:val="0"/>
                      <w:color w:val="000000"/>
                      <w:kern w:val="0"/>
                      <w:highlight w:val="none"/>
                    </w:rPr>
                    <w:t>900</w:t>
                  </w:r>
                </w:p>
              </w:tc>
            </w:tr>
            <w:tr w14:paraId="6A33A4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3C050501">
                  <w:pPr>
                    <w:autoSpaceDE w:val="0"/>
                    <w:autoSpaceDN w:val="0"/>
                    <w:jc w:val="center"/>
                    <w:rPr>
                      <w:b w:val="0"/>
                      <w:color w:val="000000"/>
                      <w:kern w:val="0"/>
                      <w:highlight w:val="none"/>
                    </w:rPr>
                  </w:pPr>
                  <w:r>
                    <w:rPr>
                      <w:b w:val="0"/>
                      <w:color w:val="000000"/>
                      <w:kern w:val="0"/>
                      <w:highlight w:val="none"/>
                    </w:rPr>
                    <w:t>8</w:t>
                  </w:r>
                </w:p>
              </w:tc>
              <w:tc>
                <w:tcPr>
                  <w:tcW w:w="667" w:type="pct"/>
                  <w:tcBorders>
                    <w:tl2br w:val="nil"/>
                    <w:tr2bl w:val="nil"/>
                  </w:tcBorders>
                  <w:shd w:val="clear" w:color="auto" w:fill="FFFFFF"/>
                  <w:noWrap w:val="0"/>
                  <w:vAlign w:val="center"/>
                </w:tcPr>
                <w:p w14:paraId="603BF076">
                  <w:pPr>
                    <w:autoSpaceDE w:val="0"/>
                    <w:autoSpaceDN w:val="0"/>
                    <w:jc w:val="center"/>
                    <w:rPr>
                      <w:rFonts w:cs="宋体"/>
                      <w:b w:val="0"/>
                      <w:color w:val="000000"/>
                      <w:kern w:val="0"/>
                      <w:highlight w:val="none"/>
                    </w:rPr>
                  </w:pPr>
                  <w:r>
                    <w:rPr>
                      <w:rFonts w:hint="eastAsia"/>
                      <w:b w:val="0"/>
                      <w:color w:val="000000"/>
                      <w:kern w:val="0"/>
                      <w:highlight w:val="none"/>
                    </w:rPr>
                    <w:t>六价铬</w:t>
                  </w:r>
                </w:p>
              </w:tc>
              <w:tc>
                <w:tcPr>
                  <w:tcW w:w="391" w:type="pct"/>
                  <w:tcBorders>
                    <w:tl2br w:val="nil"/>
                    <w:tr2bl w:val="nil"/>
                  </w:tcBorders>
                  <w:shd w:val="clear" w:color="auto" w:fill="FFFFFF"/>
                  <w:noWrap w:val="0"/>
                  <w:vAlign w:val="center"/>
                </w:tcPr>
                <w:p w14:paraId="7A8C10EB">
                  <w:pPr>
                    <w:autoSpaceDE w:val="0"/>
                    <w:autoSpaceDN w:val="0"/>
                    <w:jc w:val="center"/>
                    <w:rPr>
                      <w:b w:val="0"/>
                      <w:color w:val="000000"/>
                      <w:kern w:val="0"/>
                      <w:highlight w:val="none"/>
                    </w:rPr>
                  </w:pPr>
                  <w:r>
                    <w:rPr>
                      <w:b w:val="0"/>
                      <w:color w:val="000000"/>
                      <w:kern w:val="0"/>
                      <w:highlight w:val="none"/>
                    </w:rPr>
                    <w:t>mg/kg</w:t>
                  </w:r>
                </w:p>
              </w:tc>
              <w:tc>
                <w:tcPr>
                  <w:tcW w:w="508" w:type="pct"/>
                  <w:tcBorders>
                    <w:tl2br w:val="nil"/>
                    <w:tr2bl w:val="nil"/>
                  </w:tcBorders>
                  <w:shd w:val="clear" w:color="auto" w:fill="FFFFFF"/>
                  <w:noWrap w:val="0"/>
                  <w:vAlign w:val="center"/>
                </w:tcPr>
                <w:p w14:paraId="52225DF2">
                  <w:pPr>
                    <w:autoSpaceDE w:val="0"/>
                    <w:autoSpaceDN w:val="0"/>
                    <w:jc w:val="center"/>
                    <w:rPr>
                      <w:b w:val="0"/>
                      <w:color w:val="000000"/>
                      <w:kern w:val="0"/>
                      <w:highlight w:val="none"/>
                    </w:rPr>
                  </w:pPr>
                  <w:r>
                    <w:rPr>
                      <w:b w:val="0"/>
                      <w:color w:val="000000"/>
                      <w:kern w:val="0"/>
                      <w:highlight w:val="none"/>
                    </w:rPr>
                    <w:t>0.5L</w:t>
                  </w:r>
                </w:p>
              </w:tc>
              <w:tc>
                <w:tcPr>
                  <w:tcW w:w="508" w:type="pct"/>
                  <w:tcBorders>
                    <w:tl2br w:val="nil"/>
                    <w:tr2bl w:val="nil"/>
                  </w:tcBorders>
                  <w:shd w:val="clear" w:color="auto" w:fill="FFFFFF"/>
                  <w:noWrap w:val="0"/>
                  <w:vAlign w:val="center"/>
                </w:tcPr>
                <w:p w14:paraId="551691F6">
                  <w:pPr>
                    <w:autoSpaceDE w:val="0"/>
                    <w:autoSpaceDN w:val="0"/>
                    <w:jc w:val="center"/>
                    <w:rPr>
                      <w:b w:val="0"/>
                      <w:color w:val="000000"/>
                      <w:kern w:val="0"/>
                      <w:highlight w:val="none"/>
                    </w:rPr>
                  </w:pPr>
                  <w:r>
                    <w:rPr>
                      <w:b w:val="0"/>
                      <w:color w:val="000000"/>
                      <w:kern w:val="0"/>
                      <w:highlight w:val="none"/>
                    </w:rPr>
                    <w:t>0.5L</w:t>
                  </w:r>
                </w:p>
              </w:tc>
              <w:tc>
                <w:tcPr>
                  <w:tcW w:w="509" w:type="pct"/>
                  <w:tcBorders>
                    <w:tl2br w:val="nil"/>
                    <w:tr2bl w:val="nil"/>
                  </w:tcBorders>
                  <w:shd w:val="clear" w:color="auto" w:fill="FFFFFF"/>
                  <w:noWrap w:val="0"/>
                  <w:vAlign w:val="center"/>
                </w:tcPr>
                <w:p w14:paraId="0F1D4C3D">
                  <w:pPr>
                    <w:autoSpaceDE w:val="0"/>
                    <w:autoSpaceDN w:val="0"/>
                    <w:jc w:val="center"/>
                    <w:rPr>
                      <w:b w:val="0"/>
                      <w:color w:val="000000"/>
                      <w:kern w:val="0"/>
                      <w:highlight w:val="none"/>
                    </w:rPr>
                  </w:pPr>
                  <w:r>
                    <w:rPr>
                      <w:b w:val="0"/>
                      <w:color w:val="000000"/>
                      <w:kern w:val="0"/>
                      <w:highlight w:val="none"/>
                    </w:rPr>
                    <w:t>0.5L</w:t>
                  </w:r>
                </w:p>
              </w:tc>
              <w:tc>
                <w:tcPr>
                  <w:tcW w:w="508" w:type="pct"/>
                  <w:tcBorders>
                    <w:tl2br w:val="nil"/>
                    <w:tr2bl w:val="nil"/>
                  </w:tcBorders>
                  <w:shd w:val="clear" w:color="auto" w:fill="FFFFFF"/>
                  <w:noWrap w:val="0"/>
                  <w:vAlign w:val="center"/>
                </w:tcPr>
                <w:p w14:paraId="074460B2">
                  <w:pPr>
                    <w:autoSpaceDE w:val="0"/>
                    <w:autoSpaceDN w:val="0"/>
                    <w:jc w:val="center"/>
                    <w:rPr>
                      <w:b w:val="0"/>
                      <w:color w:val="000000"/>
                      <w:kern w:val="0"/>
                      <w:highlight w:val="none"/>
                    </w:rPr>
                  </w:pPr>
                  <w:r>
                    <w:rPr>
                      <w:b w:val="0"/>
                      <w:color w:val="000000"/>
                      <w:kern w:val="0"/>
                      <w:highlight w:val="none"/>
                    </w:rPr>
                    <w:t>0.5L</w:t>
                  </w:r>
                </w:p>
              </w:tc>
              <w:tc>
                <w:tcPr>
                  <w:tcW w:w="508" w:type="pct"/>
                  <w:tcBorders>
                    <w:tl2br w:val="nil"/>
                    <w:tr2bl w:val="nil"/>
                  </w:tcBorders>
                  <w:shd w:val="clear" w:color="auto" w:fill="FFFFFF"/>
                  <w:noWrap w:val="0"/>
                  <w:vAlign w:val="center"/>
                </w:tcPr>
                <w:p w14:paraId="25684203">
                  <w:pPr>
                    <w:autoSpaceDE w:val="0"/>
                    <w:autoSpaceDN w:val="0"/>
                    <w:jc w:val="center"/>
                    <w:rPr>
                      <w:b w:val="0"/>
                      <w:color w:val="000000"/>
                      <w:kern w:val="0"/>
                      <w:highlight w:val="none"/>
                    </w:rPr>
                  </w:pPr>
                  <w:r>
                    <w:rPr>
                      <w:b w:val="0"/>
                      <w:color w:val="000000"/>
                      <w:kern w:val="0"/>
                      <w:highlight w:val="none"/>
                    </w:rPr>
                    <w:t>0.5L</w:t>
                  </w:r>
                </w:p>
              </w:tc>
              <w:tc>
                <w:tcPr>
                  <w:tcW w:w="510" w:type="pct"/>
                  <w:tcBorders>
                    <w:tl2br w:val="nil"/>
                    <w:tr2bl w:val="nil"/>
                  </w:tcBorders>
                  <w:shd w:val="clear" w:color="auto" w:fill="FFFFFF"/>
                  <w:noWrap w:val="0"/>
                  <w:vAlign w:val="center"/>
                </w:tcPr>
                <w:p w14:paraId="066529A5">
                  <w:pPr>
                    <w:autoSpaceDE w:val="0"/>
                    <w:autoSpaceDN w:val="0"/>
                    <w:jc w:val="center"/>
                    <w:rPr>
                      <w:b w:val="0"/>
                      <w:color w:val="000000"/>
                      <w:kern w:val="0"/>
                      <w:highlight w:val="none"/>
                    </w:rPr>
                  </w:pPr>
                  <w:r>
                    <w:rPr>
                      <w:b w:val="0"/>
                      <w:color w:val="000000"/>
                      <w:kern w:val="0"/>
                      <w:highlight w:val="none"/>
                    </w:rPr>
                    <w:t>0.5L</w:t>
                  </w:r>
                </w:p>
              </w:tc>
              <w:tc>
                <w:tcPr>
                  <w:tcW w:w="616" w:type="pct"/>
                  <w:tcBorders>
                    <w:right w:val="single" w:color="000000" w:sz="4" w:space="0"/>
                    <w:tl2br w:val="nil"/>
                    <w:tr2bl w:val="nil"/>
                  </w:tcBorders>
                  <w:shd w:val="clear" w:color="auto" w:fill="FFFFFF"/>
                  <w:noWrap w:val="0"/>
                  <w:vAlign w:val="center"/>
                </w:tcPr>
                <w:p w14:paraId="4109E134">
                  <w:pPr>
                    <w:autoSpaceDE w:val="0"/>
                    <w:autoSpaceDN w:val="0"/>
                    <w:jc w:val="center"/>
                    <w:rPr>
                      <w:rFonts w:cs="宋体"/>
                      <w:b w:val="0"/>
                      <w:color w:val="000000"/>
                      <w:kern w:val="0"/>
                      <w:highlight w:val="none"/>
                    </w:rPr>
                  </w:pPr>
                  <w:r>
                    <w:rPr>
                      <w:rFonts w:hint="eastAsia"/>
                      <w:b w:val="0"/>
                      <w:color w:val="000000"/>
                      <w:kern w:val="0"/>
                      <w:highlight w:val="none"/>
                    </w:rPr>
                    <w:t>5.7</w:t>
                  </w:r>
                </w:p>
              </w:tc>
            </w:tr>
            <w:tr w14:paraId="2496B6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bottom w:val="single" w:color="000000" w:sz="4" w:space="0"/>
                    <w:tl2br w:val="nil"/>
                    <w:tr2bl w:val="nil"/>
                  </w:tcBorders>
                  <w:shd w:val="clear" w:color="auto" w:fill="FFFFFF"/>
                  <w:noWrap w:val="0"/>
                  <w:vAlign w:val="center"/>
                </w:tcPr>
                <w:p w14:paraId="56FBED41">
                  <w:pPr>
                    <w:autoSpaceDE w:val="0"/>
                    <w:autoSpaceDN w:val="0"/>
                    <w:jc w:val="center"/>
                    <w:rPr>
                      <w:b w:val="0"/>
                      <w:color w:val="000000"/>
                      <w:kern w:val="0"/>
                      <w:highlight w:val="none"/>
                    </w:rPr>
                  </w:pPr>
                  <w:r>
                    <w:rPr>
                      <w:b w:val="0"/>
                      <w:color w:val="000000"/>
                      <w:kern w:val="0"/>
                      <w:highlight w:val="none"/>
                    </w:rPr>
                    <w:t>9</w:t>
                  </w:r>
                </w:p>
              </w:tc>
              <w:tc>
                <w:tcPr>
                  <w:tcW w:w="667" w:type="pct"/>
                  <w:tcBorders>
                    <w:bottom w:val="single" w:color="000000" w:sz="4" w:space="0"/>
                    <w:tl2br w:val="nil"/>
                    <w:tr2bl w:val="nil"/>
                  </w:tcBorders>
                  <w:shd w:val="clear" w:color="auto" w:fill="FFFFFF"/>
                  <w:noWrap w:val="0"/>
                  <w:vAlign w:val="center"/>
                </w:tcPr>
                <w:p w14:paraId="2B92452B">
                  <w:pPr>
                    <w:autoSpaceDE w:val="0"/>
                    <w:autoSpaceDN w:val="0"/>
                    <w:jc w:val="center"/>
                    <w:rPr>
                      <w:rFonts w:cs="宋体"/>
                      <w:b w:val="0"/>
                      <w:color w:val="000000"/>
                      <w:kern w:val="0"/>
                      <w:highlight w:val="none"/>
                    </w:rPr>
                  </w:pPr>
                  <w:r>
                    <w:rPr>
                      <w:rFonts w:hint="eastAsia"/>
                      <w:b w:val="0"/>
                      <w:color w:val="000000"/>
                      <w:kern w:val="0"/>
                      <w:highlight w:val="none"/>
                    </w:rPr>
                    <w:t>石油烃（</w:t>
                  </w:r>
                  <w:r>
                    <w:rPr>
                      <w:b w:val="0"/>
                      <w:color w:val="000000"/>
                      <w:kern w:val="0"/>
                      <w:highlight w:val="none"/>
                    </w:rPr>
                    <w:t>C</w:t>
                  </w:r>
                  <w:r>
                    <w:rPr>
                      <w:b w:val="0"/>
                      <w:bCs/>
                      <w:color w:val="000000"/>
                      <w:kern w:val="0"/>
                      <w:highlight w:val="none"/>
                      <w:vertAlign w:val="subscript"/>
                    </w:rPr>
                    <w:t>10</w:t>
                  </w:r>
                  <w:r>
                    <w:rPr>
                      <w:b w:val="0"/>
                      <w:color w:val="000000"/>
                      <w:kern w:val="0"/>
                      <w:highlight w:val="none"/>
                    </w:rPr>
                    <w:t>~C</w:t>
                  </w:r>
                  <w:r>
                    <w:rPr>
                      <w:b w:val="0"/>
                      <w:bCs/>
                      <w:color w:val="000000"/>
                      <w:kern w:val="0"/>
                      <w:highlight w:val="none"/>
                      <w:vertAlign w:val="subscript"/>
                    </w:rPr>
                    <w:t>40</w:t>
                  </w:r>
                  <w:r>
                    <w:rPr>
                      <w:rFonts w:hint="eastAsia"/>
                      <w:b w:val="0"/>
                      <w:color w:val="000000"/>
                      <w:kern w:val="0"/>
                      <w:highlight w:val="none"/>
                    </w:rPr>
                    <w:t>）</w:t>
                  </w:r>
                </w:p>
              </w:tc>
              <w:tc>
                <w:tcPr>
                  <w:tcW w:w="391" w:type="pct"/>
                  <w:tcBorders>
                    <w:bottom w:val="single" w:color="000000" w:sz="4" w:space="0"/>
                    <w:tl2br w:val="nil"/>
                    <w:tr2bl w:val="nil"/>
                  </w:tcBorders>
                  <w:shd w:val="clear" w:color="auto" w:fill="FFFFFF"/>
                  <w:noWrap w:val="0"/>
                  <w:vAlign w:val="center"/>
                </w:tcPr>
                <w:p w14:paraId="485C943C">
                  <w:pPr>
                    <w:autoSpaceDE w:val="0"/>
                    <w:autoSpaceDN w:val="0"/>
                    <w:jc w:val="center"/>
                    <w:rPr>
                      <w:b w:val="0"/>
                      <w:color w:val="000000"/>
                      <w:kern w:val="0"/>
                      <w:highlight w:val="none"/>
                    </w:rPr>
                  </w:pPr>
                  <w:r>
                    <w:rPr>
                      <w:b w:val="0"/>
                      <w:color w:val="000000"/>
                      <w:kern w:val="0"/>
                      <w:highlight w:val="none"/>
                    </w:rPr>
                    <w:t>mg/kg</w:t>
                  </w:r>
                </w:p>
              </w:tc>
              <w:tc>
                <w:tcPr>
                  <w:tcW w:w="508" w:type="pct"/>
                  <w:tcBorders>
                    <w:bottom w:val="single" w:color="000000" w:sz="4" w:space="0"/>
                    <w:tl2br w:val="nil"/>
                    <w:tr2bl w:val="nil"/>
                  </w:tcBorders>
                  <w:shd w:val="clear" w:color="auto" w:fill="FFFFFF"/>
                  <w:noWrap w:val="0"/>
                  <w:vAlign w:val="center"/>
                </w:tcPr>
                <w:p w14:paraId="0DC945C0">
                  <w:pPr>
                    <w:autoSpaceDE w:val="0"/>
                    <w:autoSpaceDN w:val="0"/>
                    <w:jc w:val="center"/>
                    <w:rPr>
                      <w:b w:val="0"/>
                      <w:color w:val="000000"/>
                      <w:kern w:val="0"/>
                      <w:highlight w:val="none"/>
                    </w:rPr>
                  </w:pPr>
                  <w:r>
                    <w:rPr>
                      <w:b w:val="0"/>
                      <w:color w:val="000000"/>
                      <w:kern w:val="0"/>
                      <w:highlight w:val="none"/>
                    </w:rPr>
                    <w:t>13</w:t>
                  </w:r>
                </w:p>
              </w:tc>
              <w:tc>
                <w:tcPr>
                  <w:tcW w:w="508" w:type="pct"/>
                  <w:tcBorders>
                    <w:bottom w:val="single" w:color="000000" w:sz="4" w:space="0"/>
                    <w:tl2br w:val="nil"/>
                    <w:tr2bl w:val="nil"/>
                  </w:tcBorders>
                  <w:shd w:val="clear" w:color="auto" w:fill="FFFFFF"/>
                  <w:noWrap w:val="0"/>
                  <w:vAlign w:val="center"/>
                </w:tcPr>
                <w:p w14:paraId="270FEDCA">
                  <w:pPr>
                    <w:autoSpaceDE w:val="0"/>
                    <w:autoSpaceDN w:val="0"/>
                    <w:jc w:val="center"/>
                    <w:rPr>
                      <w:b w:val="0"/>
                      <w:color w:val="000000"/>
                      <w:kern w:val="0"/>
                      <w:highlight w:val="none"/>
                    </w:rPr>
                  </w:pPr>
                  <w:r>
                    <w:rPr>
                      <w:b w:val="0"/>
                      <w:color w:val="000000"/>
                      <w:kern w:val="0"/>
                      <w:highlight w:val="none"/>
                    </w:rPr>
                    <w:t>15</w:t>
                  </w:r>
                </w:p>
              </w:tc>
              <w:tc>
                <w:tcPr>
                  <w:tcW w:w="509" w:type="pct"/>
                  <w:tcBorders>
                    <w:bottom w:val="single" w:color="000000" w:sz="4" w:space="0"/>
                    <w:tl2br w:val="nil"/>
                    <w:tr2bl w:val="nil"/>
                  </w:tcBorders>
                  <w:shd w:val="clear" w:color="auto" w:fill="FFFFFF"/>
                  <w:noWrap w:val="0"/>
                  <w:vAlign w:val="center"/>
                </w:tcPr>
                <w:p w14:paraId="6EA38BF7">
                  <w:pPr>
                    <w:autoSpaceDE w:val="0"/>
                    <w:autoSpaceDN w:val="0"/>
                    <w:jc w:val="center"/>
                    <w:rPr>
                      <w:b w:val="0"/>
                      <w:color w:val="000000"/>
                      <w:kern w:val="0"/>
                      <w:highlight w:val="none"/>
                    </w:rPr>
                  </w:pPr>
                  <w:r>
                    <w:rPr>
                      <w:b w:val="0"/>
                      <w:color w:val="000000"/>
                      <w:kern w:val="0"/>
                      <w:highlight w:val="none"/>
                    </w:rPr>
                    <w:t>28</w:t>
                  </w:r>
                </w:p>
              </w:tc>
              <w:tc>
                <w:tcPr>
                  <w:tcW w:w="508" w:type="pct"/>
                  <w:tcBorders>
                    <w:bottom w:val="single" w:color="000000" w:sz="4" w:space="0"/>
                    <w:tl2br w:val="nil"/>
                    <w:tr2bl w:val="nil"/>
                  </w:tcBorders>
                  <w:shd w:val="clear" w:color="auto" w:fill="FFFFFF"/>
                  <w:noWrap w:val="0"/>
                  <w:vAlign w:val="center"/>
                </w:tcPr>
                <w:p w14:paraId="21F60F30">
                  <w:pPr>
                    <w:autoSpaceDE w:val="0"/>
                    <w:autoSpaceDN w:val="0"/>
                    <w:jc w:val="center"/>
                    <w:rPr>
                      <w:b w:val="0"/>
                      <w:color w:val="000000"/>
                      <w:kern w:val="0"/>
                      <w:highlight w:val="none"/>
                    </w:rPr>
                  </w:pPr>
                  <w:r>
                    <w:rPr>
                      <w:b w:val="0"/>
                      <w:color w:val="000000"/>
                      <w:kern w:val="0"/>
                      <w:highlight w:val="none"/>
                    </w:rPr>
                    <w:t>6L</w:t>
                  </w:r>
                </w:p>
              </w:tc>
              <w:tc>
                <w:tcPr>
                  <w:tcW w:w="508" w:type="pct"/>
                  <w:tcBorders>
                    <w:bottom w:val="single" w:color="000000" w:sz="4" w:space="0"/>
                    <w:tl2br w:val="nil"/>
                    <w:tr2bl w:val="nil"/>
                  </w:tcBorders>
                  <w:shd w:val="clear" w:color="auto" w:fill="FFFFFF"/>
                  <w:noWrap w:val="0"/>
                  <w:vAlign w:val="center"/>
                </w:tcPr>
                <w:p w14:paraId="2F3B291B">
                  <w:pPr>
                    <w:autoSpaceDE w:val="0"/>
                    <w:autoSpaceDN w:val="0"/>
                    <w:jc w:val="center"/>
                    <w:rPr>
                      <w:b w:val="0"/>
                      <w:color w:val="000000"/>
                      <w:kern w:val="0"/>
                      <w:highlight w:val="none"/>
                    </w:rPr>
                  </w:pPr>
                  <w:r>
                    <w:rPr>
                      <w:b w:val="0"/>
                      <w:color w:val="000000"/>
                      <w:kern w:val="0"/>
                      <w:highlight w:val="none"/>
                    </w:rPr>
                    <w:t>6L</w:t>
                  </w:r>
                </w:p>
              </w:tc>
              <w:tc>
                <w:tcPr>
                  <w:tcW w:w="510" w:type="pct"/>
                  <w:tcBorders>
                    <w:bottom w:val="single" w:color="000000" w:sz="4" w:space="0"/>
                    <w:tl2br w:val="nil"/>
                    <w:tr2bl w:val="nil"/>
                  </w:tcBorders>
                  <w:shd w:val="clear" w:color="auto" w:fill="FFFFFF"/>
                  <w:noWrap w:val="0"/>
                  <w:vAlign w:val="center"/>
                </w:tcPr>
                <w:p w14:paraId="6940E92A">
                  <w:pPr>
                    <w:autoSpaceDE w:val="0"/>
                    <w:autoSpaceDN w:val="0"/>
                    <w:jc w:val="center"/>
                    <w:rPr>
                      <w:b w:val="0"/>
                      <w:color w:val="000000"/>
                      <w:kern w:val="0"/>
                      <w:highlight w:val="none"/>
                    </w:rPr>
                  </w:pPr>
                  <w:r>
                    <w:rPr>
                      <w:b w:val="0"/>
                      <w:color w:val="000000"/>
                      <w:kern w:val="0"/>
                      <w:highlight w:val="none"/>
                    </w:rPr>
                    <w:t>6L</w:t>
                  </w:r>
                </w:p>
              </w:tc>
              <w:tc>
                <w:tcPr>
                  <w:tcW w:w="616" w:type="pct"/>
                  <w:tcBorders>
                    <w:bottom w:val="single" w:color="000000" w:sz="4" w:space="0"/>
                    <w:right w:val="single" w:color="000000" w:sz="4" w:space="0"/>
                    <w:tl2br w:val="nil"/>
                    <w:tr2bl w:val="nil"/>
                  </w:tcBorders>
                  <w:shd w:val="clear" w:color="auto" w:fill="FFFFFF"/>
                  <w:noWrap w:val="0"/>
                  <w:vAlign w:val="center"/>
                </w:tcPr>
                <w:p w14:paraId="71AB8D01">
                  <w:pPr>
                    <w:autoSpaceDE w:val="0"/>
                    <w:autoSpaceDN w:val="0"/>
                    <w:jc w:val="center"/>
                    <w:rPr>
                      <w:rFonts w:cs="宋体"/>
                      <w:b w:val="0"/>
                      <w:color w:val="000000"/>
                      <w:kern w:val="0"/>
                      <w:highlight w:val="none"/>
                    </w:rPr>
                  </w:pPr>
                  <w:r>
                    <w:rPr>
                      <w:rFonts w:hint="eastAsia"/>
                      <w:b w:val="0"/>
                      <w:color w:val="000000"/>
                      <w:kern w:val="0"/>
                      <w:highlight w:val="none"/>
                    </w:rPr>
                    <w:t>4500</w:t>
                  </w:r>
                </w:p>
              </w:tc>
            </w:tr>
          </w:tbl>
          <w:p w14:paraId="3C9C60B0">
            <w:pPr>
              <w:pStyle w:val="23"/>
              <w:bidi w:val="0"/>
              <w:rPr>
                <w:rFonts w:hint="eastAsia"/>
                <w:lang w:eastAsia="zh-CN"/>
              </w:rPr>
            </w:pPr>
            <w:r>
              <w:t>表</w:t>
            </w:r>
            <w:r>
              <w:rPr>
                <w:rFonts w:hint="eastAsia"/>
                <w:lang w:val="en-US" w:eastAsia="zh-CN"/>
              </w:rPr>
              <w:t xml:space="preserve">3-8 </w:t>
            </w:r>
            <w:r>
              <w:rPr>
                <w:rFonts w:hint="eastAsia"/>
                <w:lang w:eastAsia="zh-CN"/>
              </w:rPr>
              <w:t>土壤监测结果及评价结果一览表（</w:t>
            </w:r>
            <w:r>
              <w:rPr>
                <w:rFonts w:hint="eastAsia"/>
                <w:lang w:val="en-US" w:eastAsia="zh-CN"/>
              </w:rPr>
              <w:t>9</w:t>
            </w:r>
            <w:r>
              <w:rPr>
                <w:rFonts w:hint="eastAsia"/>
                <w:lang w:eastAsia="zh-CN"/>
              </w:rPr>
              <w:t>#、</w:t>
            </w:r>
            <w:r>
              <w:rPr>
                <w:rFonts w:hint="eastAsia"/>
                <w:lang w:val="en-US" w:eastAsia="zh-CN"/>
              </w:rPr>
              <w:t>10#</w:t>
            </w:r>
            <w:r>
              <w:rPr>
                <w:rFonts w:hint="eastAsia"/>
                <w:lang w:eastAsia="zh-CN"/>
              </w:rPr>
              <w:t>）</w:t>
            </w:r>
          </w:p>
          <w:tbl>
            <w:tblPr>
              <w:tblStyle w:val="33"/>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453"/>
              <w:gridCol w:w="1119"/>
              <w:gridCol w:w="656"/>
              <w:gridCol w:w="853"/>
              <w:gridCol w:w="853"/>
              <w:gridCol w:w="856"/>
              <w:gridCol w:w="853"/>
              <w:gridCol w:w="853"/>
              <w:gridCol w:w="859"/>
              <w:gridCol w:w="1034"/>
            </w:tblGrid>
            <w:tr w14:paraId="43E3A5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321" w:hRule="atLeast"/>
                <w:jc w:val="center"/>
              </w:trPr>
              <w:tc>
                <w:tcPr>
                  <w:tcW w:w="270" w:type="pct"/>
                  <w:vMerge w:val="restart"/>
                  <w:tcBorders>
                    <w:top w:val="single" w:color="000000" w:sz="4" w:space="0"/>
                    <w:left w:val="single" w:color="000000" w:sz="4" w:space="0"/>
                    <w:tl2br w:val="nil"/>
                    <w:tr2bl w:val="nil"/>
                  </w:tcBorders>
                  <w:shd w:val="clear" w:color="auto" w:fill="FFFFFF"/>
                  <w:noWrap w:val="0"/>
                  <w:vAlign w:val="center"/>
                </w:tcPr>
                <w:p w14:paraId="28049650">
                  <w:pPr>
                    <w:autoSpaceDE w:val="0"/>
                    <w:autoSpaceDN w:val="0"/>
                    <w:jc w:val="center"/>
                    <w:rPr>
                      <w:b w:val="0"/>
                      <w:color w:val="000000"/>
                      <w:kern w:val="0"/>
                      <w:highlight w:val="none"/>
                    </w:rPr>
                  </w:pPr>
                  <w:r>
                    <w:rPr>
                      <w:b w:val="0"/>
                      <w:color w:val="000000"/>
                      <w:kern w:val="0"/>
                      <w:highlight w:val="none"/>
                    </w:rPr>
                    <w:t>序号</w:t>
                  </w:r>
                </w:p>
              </w:tc>
              <w:tc>
                <w:tcPr>
                  <w:tcW w:w="667" w:type="pct"/>
                  <w:vMerge w:val="restart"/>
                  <w:tcBorders>
                    <w:top w:val="single" w:color="000000" w:sz="4" w:space="0"/>
                    <w:tl2br w:val="nil"/>
                    <w:tr2bl w:val="nil"/>
                  </w:tcBorders>
                  <w:shd w:val="clear" w:color="auto" w:fill="FFFFFF"/>
                  <w:noWrap w:val="0"/>
                  <w:vAlign w:val="center"/>
                </w:tcPr>
                <w:p w14:paraId="0B7AE590">
                  <w:pPr>
                    <w:autoSpaceDE w:val="0"/>
                    <w:autoSpaceDN w:val="0"/>
                    <w:jc w:val="center"/>
                    <w:rPr>
                      <w:b w:val="0"/>
                      <w:color w:val="000000"/>
                      <w:kern w:val="0"/>
                      <w:highlight w:val="none"/>
                    </w:rPr>
                  </w:pPr>
                  <w:r>
                    <w:rPr>
                      <w:b w:val="0"/>
                      <w:color w:val="000000"/>
                      <w:kern w:val="0"/>
                      <w:highlight w:val="none"/>
                    </w:rPr>
                    <w:t>污染物项目</w:t>
                  </w:r>
                </w:p>
              </w:tc>
              <w:tc>
                <w:tcPr>
                  <w:tcW w:w="391" w:type="pct"/>
                  <w:vMerge w:val="restart"/>
                  <w:tcBorders>
                    <w:top w:val="single" w:color="000000" w:sz="4" w:space="0"/>
                    <w:tl2br w:val="nil"/>
                    <w:tr2bl w:val="nil"/>
                  </w:tcBorders>
                  <w:shd w:val="clear" w:color="auto" w:fill="FFFFFF"/>
                  <w:noWrap w:val="0"/>
                  <w:vAlign w:val="center"/>
                </w:tcPr>
                <w:p w14:paraId="3D933328">
                  <w:pPr>
                    <w:autoSpaceDE w:val="0"/>
                    <w:autoSpaceDN w:val="0"/>
                    <w:jc w:val="center"/>
                    <w:rPr>
                      <w:b w:val="0"/>
                      <w:color w:val="000000"/>
                      <w:kern w:val="0"/>
                      <w:highlight w:val="none"/>
                    </w:rPr>
                  </w:pPr>
                  <w:r>
                    <w:rPr>
                      <w:b w:val="0"/>
                      <w:color w:val="000000"/>
                      <w:kern w:val="0"/>
                      <w:highlight w:val="none"/>
                    </w:rPr>
                    <w:t>单位</w:t>
                  </w:r>
                </w:p>
              </w:tc>
              <w:tc>
                <w:tcPr>
                  <w:tcW w:w="3054" w:type="pct"/>
                  <w:gridSpan w:val="6"/>
                  <w:tcBorders>
                    <w:top w:val="single" w:color="000000" w:sz="4" w:space="0"/>
                    <w:tl2br w:val="nil"/>
                    <w:tr2bl w:val="nil"/>
                  </w:tcBorders>
                  <w:shd w:val="clear" w:color="auto" w:fill="FFFFFF"/>
                  <w:noWrap w:val="0"/>
                  <w:vAlign w:val="center"/>
                </w:tcPr>
                <w:p w14:paraId="7719300B">
                  <w:pPr>
                    <w:autoSpaceDE w:val="0"/>
                    <w:autoSpaceDN w:val="0"/>
                    <w:jc w:val="center"/>
                    <w:rPr>
                      <w:b w:val="0"/>
                      <w:color w:val="000000"/>
                      <w:kern w:val="0"/>
                      <w:highlight w:val="none"/>
                    </w:rPr>
                  </w:pPr>
                  <w:r>
                    <w:rPr>
                      <w:b w:val="0"/>
                      <w:color w:val="000000"/>
                      <w:kern w:val="0"/>
                      <w:highlight w:val="none"/>
                    </w:rPr>
                    <w:t>监测值</w:t>
                  </w:r>
                </w:p>
              </w:tc>
              <w:tc>
                <w:tcPr>
                  <w:tcW w:w="616" w:type="pct"/>
                  <w:vMerge w:val="restart"/>
                  <w:tcBorders>
                    <w:top w:val="single" w:color="000000" w:sz="4" w:space="0"/>
                    <w:right w:val="single" w:color="000000" w:sz="4" w:space="0"/>
                    <w:tl2br w:val="nil"/>
                    <w:tr2bl w:val="nil"/>
                  </w:tcBorders>
                  <w:shd w:val="clear" w:color="auto" w:fill="FFFFFF"/>
                  <w:noWrap w:val="0"/>
                  <w:vAlign w:val="center"/>
                </w:tcPr>
                <w:p w14:paraId="4D4E0620">
                  <w:pPr>
                    <w:autoSpaceDE w:val="0"/>
                    <w:autoSpaceDN w:val="0"/>
                    <w:jc w:val="center"/>
                    <w:rPr>
                      <w:b w:val="0"/>
                      <w:color w:val="000000"/>
                      <w:kern w:val="0"/>
                      <w:highlight w:val="none"/>
                    </w:rPr>
                  </w:pPr>
                  <w:r>
                    <w:rPr>
                      <w:b w:val="0"/>
                      <w:color w:val="000000"/>
                      <w:kern w:val="0"/>
                      <w:highlight w:val="none"/>
                    </w:rPr>
                    <w:t>第二类用地</w:t>
                  </w:r>
                  <w:r>
                    <w:rPr>
                      <w:b w:val="0"/>
                      <w:color w:val="000000"/>
                      <w:spacing w:val="6"/>
                      <w:kern w:val="0"/>
                      <w:highlight w:val="none"/>
                    </w:rPr>
                    <w:t>筛选值</w:t>
                  </w:r>
                </w:p>
              </w:tc>
            </w:tr>
            <w:tr w14:paraId="2ED6D0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6" w:hRule="atLeast"/>
                <w:jc w:val="center"/>
              </w:trPr>
              <w:tc>
                <w:tcPr>
                  <w:tcW w:w="270" w:type="pct"/>
                  <w:vMerge w:val="continue"/>
                  <w:tcBorders>
                    <w:left w:val="single" w:color="000000" w:sz="4" w:space="0"/>
                    <w:tl2br w:val="nil"/>
                    <w:tr2bl w:val="nil"/>
                  </w:tcBorders>
                  <w:shd w:val="clear" w:color="auto" w:fill="FFFFFF"/>
                  <w:noWrap w:val="0"/>
                  <w:vAlign w:val="center"/>
                </w:tcPr>
                <w:p w14:paraId="1FD50A7B">
                  <w:pPr>
                    <w:pStyle w:val="22"/>
                    <w:autoSpaceDE w:val="0"/>
                    <w:autoSpaceDN w:val="0"/>
                    <w:jc w:val="center"/>
                    <w:rPr>
                      <w:b w:val="0"/>
                      <w:color w:val="000000"/>
                      <w:kern w:val="0"/>
                      <w:highlight w:val="none"/>
                    </w:rPr>
                  </w:pPr>
                </w:p>
              </w:tc>
              <w:tc>
                <w:tcPr>
                  <w:tcW w:w="667" w:type="pct"/>
                  <w:vMerge w:val="continue"/>
                  <w:tcBorders>
                    <w:tl2br w:val="nil"/>
                    <w:tr2bl w:val="nil"/>
                  </w:tcBorders>
                  <w:shd w:val="clear" w:color="auto" w:fill="FFFFFF"/>
                  <w:noWrap w:val="0"/>
                  <w:vAlign w:val="center"/>
                </w:tcPr>
                <w:p w14:paraId="08686765">
                  <w:pPr>
                    <w:pStyle w:val="22"/>
                    <w:autoSpaceDE w:val="0"/>
                    <w:autoSpaceDN w:val="0"/>
                    <w:jc w:val="center"/>
                    <w:rPr>
                      <w:b w:val="0"/>
                      <w:color w:val="000000"/>
                      <w:kern w:val="0"/>
                      <w:highlight w:val="none"/>
                    </w:rPr>
                  </w:pPr>
                </w:p>
              </w:tc>
              <w:tc>
                <w:tcPr>
                  <w:tcW w:w="391" w:type="pct"/>
                  <w:vMerge w:val="continue"/>
                  <w:tcBorders>
                    <w:tl2br w:val="nil"/>
                    <w:tr2bl w:val="nil"/>
                  </w:tcBorders>
                  <w:shd w:val="clear" w:color="auto" w:fill="FFFFFF"/>
                  <w:noWrap w:val="0"/>
                  <w:vAlign w:val="center"/>
                </w:tcPr>
                <w:p w14:paraId="1AEF9C94">
                  <w:pPr>
                    <w:pStyle w:val="22"/>
                    <w:autoSpaceDE w:val="0"/>
                    <w:autoSpaceDN w:val="0"/>
                    <w:jc w:val="center"/>
                    <w:rPr>
                      <w:b w:val="0"/>
                      <w:color w:val="000000"/>
                      <w:kern w:val="0"/>
                      <w:highlight w:val="none"/>
                    </w:rPr>
                  </w:pPr>
                </w:p>
              </w:tc>
              <w:tc>
                <w:tcPr>
                  <w:tcW w:w="1526" w:type="pct"/>
                  <w:gridSpan w:val="3"/>
                  <w:tcBorders>
                    <w:tl2br w:val="nil"/>
                    <w:tr2bl w:val="nil"/>
                  </w:tcBorders>
                  <w:shd w:val="clear" w:color="auto" w:fill="FFFFFF"/>
                  <w:noWrap w:val="0"/>
                  <w:vAlign w:val="center"/>
                </w:tcPr>
                <w:p w14:paraId="0DAE4203">
                  <w:pPr>
                    <w:autoSpaceDE w:val="0"/>
                    <w:autoSpaceDN w:val="0"/>
                    <w:jc w:val="center"/>
                    <w:rPr>
                      <w:b w:val="0"/>
                      <w:color w:val="000000"/>
                      <w:kern w:val="0"/>
                      <w:highlight w:val="none"/>
                    </w:rPr>
                  </w:pPr>
                  <w:r>
                    <w:rPr>
                      <w:rFonts w:hint="eastAsia"/>
                      <w:b w:val="0"/>
                      <w:color w:val="000000"/>
                      <w:kern w:val="0"/>
                      <w:highlight w:val="none"/>
                    </w:rPr>
                    <w:t>9#</w:t>
                  </w:r>
                </w:p>
              </w:tc>
              <w:tc>
                <w:tcPr>
                  <w:tcW w:w="1527" w:type="pct"/>
                  <w:gridSpan w:val="3"/>
                  <w:tcBorders>
                    <w:tl2br w:val="nil"/>
                    <w:tr2bl w:val="nil"/>
                  </w:tcBorders>
                  <w:shd w:val="clear" w:color="auto" w:fill="FFFFFF"/>
                  <w:noWrap w:val="0"/>
                  <w:vAlign w:val="center"/>
                </w:tcPr>
                <w:p w14:paraId="016B840A">
                  <w:pPr>
                    <w:autoSpaceDE w:val="0"/>
                    <w:autoSpaceDN w:val="0"/>
                    <w:jc w:val="center"/>
                    <w:rPr>
                      <w:rFonts w:cs="宋体"/>
                      <w:b w:val="0"/>
                      <w:color w:val="000000"/>
                      <w:kern w:val="0"/>
                      <w:highlight w:val="none"/>
                    </w:rPr>
                  </w:pPr>
                  <w:r>
                    <w:rPr>
                      <w:rFonts w:hint="eastAsia"/>
                      <w:b w:val="0"/>
                      <w:color w:val="000000"/>
                      <w:kern w:val="0"/>
                      <w:highlight w:val="none"/>
                    </w:rPr>
                    <w:t>10#</w:t>
                  </w:r>
                </w:p>
              </w:tc>
              <w:tc>
                <w:tcPr>
                  <w:tcW w:w="616" w:type="pct"/>
                  <w:vMerge w:val="continue"/>
                  <w:tcBorders>
                    <w:right w:val="single" w:color="000000" w:sz="4" w:space="0"/>
                    <w:tl2br w:val="nil"/>
                    <w:tr2bl w:val="nil"/>
                  </w:tcBorders>
                  <w:shd w:val="clear" w:color="auto" w:fill="FFFFFF"/>
                  <w:noWrap w:val="0"/>
                  <w:vAlign w:val="center"/>
                </w:tcPr>
                <w:p w14:paraId="1DBEEC43">
                  <w:pPr>
                    <w:autoSpaceDE w:val="0"/>
                    <w:autoSpaceDN w:val="0"/>
                    <w:jc w:val="center"/>
                    <w:rPr>
                      <w:b w:val="0"/>
                      <w:color w:val="000000"/>
                      <w:kern w:val="0"/>
                      <w:highlight w:val="none"/>
                    </w:rPr>
                  </w:pPr>
                </w:p>
              </w:tc>
            </w:tr>
            <w:tr w14:paraId="553125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vMerge w:val="continue"/>
                  <w:tcBorders>
                    <w:left w:val="single" w:color="000000" w:sz="4" w:space="0"/>
                    <w:tl2br w:val="nil"/>
                    <w:tr2bl w:val="nil"/>
                  </w:tcBorders>
                  <w:shd w:val="clear" w:color="auto" w:fill="FFFFFF"/>
                  <w:noWrap w:val="0"/>
                  <w:vAlign w:val="center"/>
                </w:tcPr>
                <w:p w14:paraId="6325DB7C">
                  <w:pPr>
                    <w:autoSpaceDE w:val="0"/>
                    <w:autoSpaceDN w:val="0"/>
                    <w:jc w:val="center"/>
                    <w:rPr>
                      <w:b w:val="0"/>
                      <w:color w:val="000000"/>
                      <w:kern w:val="0"/>
                      <w:highlight w:val="none"/>
                    </w:rPr>
                  </w:pPr>
                </w:p>
              </w:tc>
              <w:tc>
                <w:tcPr>
                  <w:tcW w:w="667" w:type="pct"/>
                  <w:vMerge w:val="continue"/>
                  <w:tcBorders>
                    <w:tl2br w:val="nil"/>
                    <w:tr2bl w:val="nil"/>
                  </w:tcBorders>
                  <w:shd w:val="clear" w:color="auto" w:fill="FFFFFF"/>
                  <w:noWrap w:val="0"/>
                  <w:vAlign w:val="center"/>
                </w:tcPr>
                <w:p w14:paraId="189F3F61">
                  <w:pPr>
                    <w:autoSpaceDE w:val="0"/>
                    <w:autoSpaceDN w:val="0"/>
                    <w:jc w:val="center"/>
                    <w:rPr>
                      <w:b w:val="0"/>
                      <w:color w:val="000000"/>
                      <w:kern w:val="0"/>
                      <w:highlight w:val="none"/>
                    </w:rPr>
                  </w:pPr>
                </w:p>
              </w:tc>
              <w:tc>
                <w:tcPr>
                  <w:tcW w:w="391" w:type="pct"/>
                  <w:tcBorders>
                    <w:tl2br w:val="nil"/>
                    <w:tr2bl w:val="nil"/>
                  </w:tcBorders>
                  <w:shd w:val="clear" w:color="auto" w:fill="FFFFFF"/>
                  <w:noWrap w:val="0"/>
                  <w:vAlign w:val="center"/>
                </w:tcPr>
                <w:p w14:paraId="6AC35DCE">
                  <w:pPr>
                    <w:autoSpaceDE w:val="0"/>
                    <w:autoSpaceDN w:val="0"/>
                    <w:jc w:val="center"/>
                    <w:rPr>
                      <w:b w:val="0"/>
                      <w:color w:val="000000"/>
                      <w:kern w:val="0"/>
                      <w:highlight w:val="none"/>
                    </w:rPr>
                  </w:pPr>
                  <w:r>
                    <w:rPr>
                      <w:rFonts w:hint="eastAsia"/>
                      <w:b w:val="0"/>
                      <w:color w:val="000000"/>
                      <w:kern w:val="0"/>
                      <w:highlight w:val="none"/>
                    </w:rPr>
                    <w:t>层位</w:t>
                  </w:r>
                </w:p>
              </w:tc>
              <w:tc>
                <w:tcPr>
                  <w:tcW w:w="508" w:type="pct"/>
                  <w:tcBorders>
                    <w:tl2br w:val="nil"/>
                    <w:tr2bl w:val="nil"/>
                  </w:tcBorders>
                  <w:shd w:val="clear" w:color="auto" w:fill="FFFFFF"/>
                  <w:noWrap w:val="0"/>
                  <w:vAlign w:val="center"/>
                </w:tcPr>
                <w:p w14:paraId="21CFE166">
                  <w:pPr>
                    <w:autoSpaceDE w:val="0"/>
                    <w:autoSpaceDN w:val="0"/>
                    <w:jc w:val="center"/>
                    <w:rPr>
                      <w:b w:val="0"/>
                      <w:color w:val="000000"/>
                      <w:kern w:val="0"/>
                      <w:highlight w:val="none"/>
                    </w:rPr>
                  </w:pPr>
                  <w:r>
                    <w:rPr>
                      <w:b w:val="0"/>
                      <w:color w:val="000000"/>
                      <w:kern w:val="0"/>
                      <w:highlight w:val="none"/>
                    </w:rPr>
                    <w:t>0~0.5m</w:t>
                  </w:r>
                </w:p>
              </w:tc>
              <w:tc>
                <w:tcPr>
                  <w:tcW w:w="508" w:type="pct"/>
                  <w:tcBorders>
                    <w:tl2br w:val="nil"/>
                    <w:tr2bl w:val="nil"/>
                  </w:tcBorders>
                  <w:shd w:val="clear" w:color="auto" w:fill="FFFFFF"/>
                  <w:noWrap w:val="0"/>
                  <w:vAlign w:val="center"/>
                </w:tcPr>
                <w:p w14:paraId="5C1E290C">
                  <w:pPr>
                    <w:autoSpaceDE w:val="0"/>
                    <w:autoSpaceDN w:val="0"/>
                    <w:jc w:val="center"/>
                    <w:rPr>
                      <w:b w:val="0"/>
                      <w:color w:val="000000"/>
                      <w:kern w:val="0"/>
                      <w:highlight w:val="none"/>
                    </w:rPr>
                  </w:pPr>
                  <w:r>
                    <w:rPr>
                      <w:b w:val="0"/>
                      <w:color w:val="000000"/>
                      <w:kern w:val="0"/>
                      <w:highlight w:val="none"/>
                    </w:rPr>
                    <w:t>0.5~1.5m</w:t>
                  </w:r>
                </w:p>
              </w:tc>
              <w:tc>
                <w:tcPr>
                  <w:tcW w:w="509" w:type="pct"/>
                  <w:tcBorders>
                    <w:tl2br w:val="nil"/>
                    <w:tr2bl w:val="nil"/>
                  </w:tcBorders>
                  <w:shd w:val="clear" w:color="auto" w:fill="FFFFFF"/>
                  <w:noWrap w:val="0"/>
                  <w:vAlign w:val="center"/>
                </w:tcPr>
                <w:p w14:paraId="5B1731AE">
                  <w:pPr>
                    <w:autoSpaceDE w:val="0"/>
                    <w:autoSpaceDN w:val="0"/>
                    <w:jc w:val="center"/>
                    <w:rPr>
                      <w:b w:val="0"/>
                      <w:color w:val="000000"/>
                      <w:kern w:val="0"/>
                      <w:highlight w:val="none"/>
                    </w:rPr>
                  </w:pPr>
                  <w:r>
                    <w:rPr>
                      <w:b w:val="0"/>
                      <w:color w:val="000000"/>
                      <w:kern w:val="0"/>
                      <w:highlight w:val="none"/>
                    </w:rPr>
                    <w:t>1.5</w:t>
                  </w:r>
                  <w:r>
                    <w:rPr>
                      <w:rFonts w:hint="eastAsia"/>
                      <w:b w:val="0"/>
                      <w:color w:val="000000"/>
                      <w:kern w:val="0"/>
                      <w:highlight w:val="none"/>
                    </w:rPr>
                    <w:t>～</w:t>
                  </w:r>
                  <w:r>
                    <w:rPr>
                      <w:b w:val="0"/>
                      <w:color w:val="000000"/>
                      <w:kern w:val="0"/>
                      <w:highlight w:val="none"/>
                    </w:rPr>
                    <w:t>3m</w:t>
                  </w:r>
                </w:p>
              </w:tc>
              <w:tc>
                <w:tcPr>
                  <w:tcW w:w="508" w:type="pct"/>
                  <w:tcBorders>
                    <w:tl2br w:val="nil"/>
                    <w:tr2bl w:val="nil"/>
                  </w:tcBorders>
                  <w:shd w:val="clear" w:color="auto" w:fill="FFFFFF"/>
                  <w:noWrap w:val="0"/>
                  <w:vAlign w:val="center"/>
                </w:tcPr>
                <w:p w14:paraId="31FCECED">
                  <w:pPr>
                    <w:autoSpaceDE w:val="0"/>
                    <w:autoSpaceDN w:val="0"/>
                    <w:jc w:val="center"/>
                    <w:rPr>
                      <w:b w:val="0"/>
                      <w:color w:val="000000"/>
                      <w:kern w:val="0"/>
                      <w:highlight w:val="none"/>
                    </w:rPr>
                  </w:pPr>
                  <w:r>
                    <w:rPr>
                      <w:b w:val="0"/>
                      <w:color w:val="000000"/>
                      <w:kern w:val="0"/>
                      <w:highlight w:val="none"/>
                    </w:rPr>
                    <w:t>0~0.5m</w:t>
                  </w:r>
                </w:p>
              </w:tc>
              <w:tc>
                <w:tcPr>
                  <w:tcW w:w="508" w:type="pct"/>
                  <w:tcBorders>
                    <w:tl2br w:val="nil"/>
                    <w:tr2bl w:val="nil"/>
                  </w:tcBorders>
                  <w:shd w:val="clear" w:color="auto" w:fill="FFFFFF"/>
                  <w:noWrap w:val="0"/>
                  <w:vAlign w:val="center"/>
                </w:tcPr>
                <w:p w14:paraId="54047E81">
                  <w:pPr>
                    <w:autoSpaceDE w:val="0"/>
                    <w:autoSpaceDN w:val="0"/>
                    <w:jc w:val="center"/>
                    <w:rPr>
                      <w:b w:val="0"/>
                      <w:color w:val="000000"/>
                      <w:kern w:val="0"/>
                      <w:highlight w:val="none"/>
                    </w:rPr>
                  </w:pPr>
                  <w:r>
                    <w:rPr>
                      <w:b w:val="0"/>
                      <w:color w:val="000000"/>
                      <w:kern w:val="0"/>
                      <w:highlight w:val="none"/>
                    </w:rPr>
                    <w:t>0.5~</w:t>
                  </w:r>
                  <w:r>
                    <w:rPr>
                      <w:b w:val="0"/>
                      <w:color w:val="000000"/>
                      <w:spacing w:val="-25"/>
                      <w:kern w:val="0"/>
                      <w:highlight w:val="none"/>
                    </w:rPr>
                    <w:t xml:space="preserve"> </w:t>
                  </w:r>
                  <w:r>
                    <w:rPr>
                      <w:b w:val="0"/>
                      <w:color w:val="000000"/>
                      <w:kern w:val="0"/>
                      <w:highlight w:val="none"/>
                    </w:rPr>
                    <w:t>1.5m</w:t>
                  </w:r>
                </w:p>
              </w:tc>
              <w:tc>
                <w:tcPr>
                  <w:tcW w:w="510" w:type="pct"/>
                  <w:tcBorders>
                    <w:tl2br w:val="nil"/>
                    <w:tr2bl w:val="nil"/>
                  </w:tcBorders>
                  <w:shd w:val="clear" w:color="auto" w:fill="FFFFFF"/>
                  <w:noWrap w:val="0"/>
                  <w:vAlign w:val="center"/>
                </w:tcPr>
                <w:p w14:paraId="01DD0C6A">
                  <w:pPr>
                    <w:autoSpaceDE w:val="0"/>
                    <w:autoSpaceDN w:val="0"/>
                    <w:jc w:val="center"/>
                    <w:rPr>
                      <w:b w:val="0"/>
                      <w:color w:val="000000"/>
                      <w:kern w:val="0"/>
                      <w:highlight w:val="none"/>
                    </w:rPr>
                  </w:pPr>
                  <w:r>
                    <w:rPr>
                      <w:b w:val="0"/>
                      <w:color w:val="000000"/>
                      <w:kern w:val="0"/>
                      <w:highlight w:val="none"/>
                    </w:rPr>
                    <w:t>1.5</w:t>
                  </w:r>
                  <w:r>
                    <w:rPr>
                      <w:rFonts w:hint="eastAsia"/>
                      <w:b w:val="0"/>
                      <w:color w:val="000000"/>
                      <w:kern w:val="0"/>
                      <w:highlight w:val="none"/>
                    </w:rPr>
                    <w:t>～</w:t>
                  </w:r>
                  <w:r>
                    <w:rPr>
                      <w:b w:val="0"/>
                      <w:color w:val="000000"/>
                      <w:kern w:val="0"/>
                      <w:highlight w:val="none"/>
                    </w:rPr>
                    <w:t>3m</w:t>
                  </w:r>
                </w:p>
              </w:tc>
              <w:tc>
                <w:tcPr>
                  <w:tcW w:w="616" w:type="pct"/>
                  <w:vMerge w:val="continue"/>
                  <w:tcBorders>
                    <w:right w:val="single" w:color="000000" w:sz="4" w:space="0"/>
                    <w:tl2br w:val="nil"/>
                    <w:tr2bl w:val="nil"/>
                  </w:tcBorders>
                  <w:shd w:val="clear" w:color="auto" w:fill="FFFFFF"/>
                  <w:noWrap w:val="0"/>
                  <w:vAlign w:val="center"/>
                </w:tcPr>
                <w:p w14:paraId="5116BDB7">
                  <w:pPr>
                    <w:autoSpaceDE w:val="0"/>
                    <w:autoSpaceDN w:val="0"/>
                    <w:jc w:val="center"/>
                    <w:rPr>
                      <w:b w:val="0"/>
                      <w:color w:val="000000"/>
                      <w:kern w:val="0"/>
                      <w:highlight w:val="none"/>
                    </w:rPr>
                  </w:pPr>
                </w:p>
              </w:tc>
            </w:tr>
            <w:tr w14:paraId="39471E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3C73AABB">
                  <w:pPr>
                    <w:autoSpaceDE w:val="0"/>
                    <w:autoSpaceDN w:val="0"/>
                    <w:jc w:val="center"/>
                    <w:rPr>
                      <w:b w:val="0"/>
                      <w:color w:val="000000"/>
                      <w:kern w:val="0"/>
                      <w:highlight w:val="none"/>
                    </w:rPr>
                  </w:pPr>
                  <w:r>
                    <w:rPr>
                      <w:b w:val="0"/>
                      <w:color w:val="000000"/>
                      <w:kern w:val="0"/>
                      <w:highlight w:val="none"/>
                    </w:rPr>
                    <w:t>1</w:t>
                  </w:r>
                </w:p>
              </w:tc>
              <w:tc>
                <w:tcPr>
                  <w:tcW w:w="667" w:type="pct"/>
                  <w:tcBorders>
                    <w:tl2br w:val="nil"/>
                    <w:tr2bl w:val="nil"/>
                  </w:tcBorders>
                  <w:shd w:val="clear" w:color="auto" w:fill="FFFFFF"/>
                  <w:noWrap w:val="0"/>
                  <w:vAlign w:val="center"/>
                </w:tcPr>
                <w:p w14:paraId="196E2CA6">
                  <w:pPr>
                    <w:autoSpaceDE w:val="0"/>
                    <w:autoSpaceDN w:val="0"/>
                    <w:jc w:val="center"/>
                    <w:rPr>
                      <w:b w:val="0"/>
                      <w:color w:val="000000"/>
                      <w:kern w:val="0"/>
                      <w:highlight w:val="none"/>
                    </w:rPr>
                  </w:pPr>
                  <w:r>
                    <w:rPr>
                      <w:b w:val="0"/>
                      <w:color w:val="000000"/>
                      <w:kern w:val="0"/>
                      <w:highlight w:val="none"/>
                    </w:rPr>
                    <w:t>pH</w:t>
                  </w:r>
                </w:p>
              </w:tc>
              <w:tc>
                <w:tcPr>
                  <w:tcW w:w="391" w:type="pct"/>
                  <w:tcBorders>
                    <w:tl2br w:val="nil"/>
                    <w:tr2bl w:val="nil"/>
                  </w:tcBorders>
                  <w:shd w:val="clear" w:color="auto" w:fill="FFFFFF"/>
                  <w:noWrap w:val="0"/>
                  <w:vAlign w:val="center"/>
                </w:tcPr>
                <w:p w14:paraId="7216BCEE">
                  <w:pPr>
                    <w:autoSpaceDE w:val="0"/>
                    <w:autoSpaceDN w:val="0"/>
                    <w:jc w:val="center"/>
                    <w:rPr>
                      <w:rFonts w:cs="宋体"/>
                      <w:b w:val="0"/>
                      <w:color w:val="000000"/>
                      <w:kern w:val="0"/>
                      <w:highlight w:val="none"/>
                    </w:rPr>
                  </w:pPr>
                  <w:r>
                    <w:rPr>
                      <w:rFonts w:hint="eastAsia"/>
                      <w:b w:val="0"/>
                      <w:color w:val="000000"/>
                      <w:kern w:val="0"/>
                      <w:highlight w:val="none"/>
                    </w:rPr>
                    <w:t>无量纲</w:t>
                  </w:r>
                </w:p>
              </w:tc>
              <w:tc>
                <w:tcPr>
                  <w:tcW w:w="508" w:type="pct"/>
                  <w:tcBorders>
                    <w:tl2br w:val="nil"/>
                    <w:tr2bl w:val="nil"/>
                  </w:tcBorders>
                  <w:shd w:val="clear" w:color="auto" w:fill="FFFFFF"/>
                  <w:noWrap w:val="0"/>
                  <w:vAlign w:val="center"/>
                </w:tcPr>
                <w:p w14:paraId="3DEA4AC2">
                  <w:pPr>
                    <w:autoSpaceDE w:val="0"/>
                    <w:autoSpaceDN w:val="0"/>
                    <w:jc w:val="center"/>
                    <w:rPr>
                      <w:b w:val="0"/>
                      <w:color w:val="000000"/>
                      <w:kern w:val="0"/>
                      <w:highlight w:val="none"/>
                    </w:rPr>
                  </w:pPr>
                  <w:r>
                    <w:rPr>
                      <w:b w:val="0"/>
                      <w:color w:val="000000"/>
                      <w:kern w:val="0"/>
                      <w:highlight w:val="none"/>
                    </w:rPr>
                    <w:t>8.18</w:t>
                  </w:r>
                </w:p>
              </w:tc>
              <w:tc>
                <w:tcPr>
                  <w:tcW w:w="508" w:type="pct"/>
                  <w:tcBorders>
                    <w:tl2br w:val="nil"/>
                    <w:tr2bl w:val="nil"/>
                  </w:tcBorders>
                  <w:shd w:val="clear" w:color="auto" w:fill="FFFFFF"/>
                  <w:noWrap w:val="0"/>
                  <w:vAlign w:val="center"/>
                </w:tcPr>
                <w:p w14:paraId="3505A11D">
                  <w:pPr>
                    <w:autoSpaceDE w:val="0"/>
                    <w:autoSpaceDN w:val="0"/>
                    <w:jc w:val="center"/>
                    <w:rPr>
                      <w:b w:val="0"/>
                      <w:color w:val="000000"/>
                      <w:kern w:val="0"/>
                      <w:highlight w:val="none"/>
                    </w:rPr>
                  </w:pPr>
                  <w:r>
                    <w:rPr>
                      <w:b w:val="0"/>
                      <w:color w:val="000000"/>
                      <w:kern w:val="0"/>
                      <w:highlight w:val="none"/>
                    </w:rPr>
                    <w:t>8.22</w:t>
                  </w:r>
                </w:p>
              </w:tc>
              <w:tc>
                <w:tcPr>
                  <w:tcW w:w="509" w:type="pct"/>
                  <w:tcBorders>
                    <w:tl2br w:val="nil"/>
                    <w:tr2bl w:val="nil"/>
                  </w:tcBorders>
                  <w:shd w:val="clear" w:color="auto" w:fill="FFFFFF"/>
                  <w:noWrap w:val="0"/>
                  <w:vAlign w:val="center"/>
                </w:tcPr>
                <w:p w14:paraId="3DA0AE78">
                  <w:pPr>
                    <w:autoSpaceDE w:val="0"/>
                    <w:autoSpaceDN w:val="0"/>
                    <w:jc w:val="center"/>
                    <w:rPr>
                      <w:b w:val="0"/>
                      <w:color w:val="000000"/>
                      <w:kern w:val="0"/>
                      <w:highlight w:val="none"/>
                    </w:rPr>
                  </w:pPr>
                  <w:r>
                    <w:rPr>
                      <w:b w:val="0"/>
                      <w:color w:val="000000"/>
                      <w:kern w:val="0"/>
                      <w:highlight w:val="none"/>
                    </w:rPr>
                    <w:t>7.93</w:t>
                  </w:r>
                </w:p>
              </w:tc>
              <w:tc>
                <w:tcPr>
                  <w:tcW w:w="508" w:type="pct"/>
                  <w:tcBorders>
                    <w:tl2br w:val="nil"/>
                    <w:tr2bl w:val="nil"/>
                  </w:tcBorders>
                  <w:shd w:val="clear" w:color="auto" w:fill="FFFFFF"/>
                  <w:noWrap w:val="0"/>
                  <w:vAlign w:val="center"/>
                </w:tcPr>
                <w:p w14:paraId="79856ED7">
                  <w:pPr>
                    <w:autoSpaceDE w:val="0"/>
                    <w:autoSpaceDN w:val="0"/>
                    <w:jc w:val="center"/>
                    <w:rPr>
                      <w:b w:val="0"/>
                      <w:color w:val="000000"/>
                      <w:kern w:val="0"/>
                      <w:highlight w:val="none"/>
                    </w:rPr>
                  </w:pPr>
                  <w:r>
                    <w:rPr>
                      <w:b w:val="0"/>
                      <w:color w:val="000000"/>
                      <w:kern w:val="0"/>
                      <w:highlight w:val="none"/>
                    </w:rPr>
                    <w:t>8.06</w:t>
                  </w:r>
                </w:p>
              </w:tc>
              <w:tc>
                <w:tcPr>
                  <w:tcW w:w="508" w:type="pct"/>
                  <w:tcBorders>
                    <w:tl2br w:val="nil"/>
                    <w:tr2bl w:val="nil"/>
                  </w:tcBorders>
                  <w:shd w:val="clear" w:color="auto" w:fill="FFFFFF"/>
                  <w:noWrap w:val="0"/>
                  <w:vAlign w:val="center"/>
                </w:tcPr>
                <w:p w14:paraId="18641CC7">
                  <w:pPr>
                    <w:autoSpaceDE w:val="0"/>
                    <w:autoSpaceDN w:val="0"/>
                    <w:jc w:val="center"/>
                    <w:rPr>
                      <w:b w:val="0"/>
                      <w:color w:val="000000"/>
                      <w:kern w:val="0"/>
                      <w:highlight w:val="none"/>
                    </w:rPr>
                  </w:pPr>
                  <w:r>
                    <w:rPr>
                      <w:b w:val="0"/>
                      <w:color w:val="000000"/>
                      <w:kern w:val="0"/>
                      <w:highlight w:val="none"/>
                    </w:rPr>
                    <w:t>7.81</w:t>
                  </w:r>
                </w:p>
              </w:tc>
              <w:tc>
                <w:tcPr>
                  <w:tcW w:w="510" w:type="pct"/>
                  <w:tcBorders>
                    <w:tl2br w:val="nil"/>
                    <w:tr2bl w:val="nil"/>
                  </w:tcBorders>
                  <w:shd w:val="clear" w:color="auto" w:fill="FFFFFF"/>
                  <w:noWrap w:val="0"/>
                  <w:vAlign w:val="center"/>
                </w:tcPr>
                <w:p w14:paraId="142087C9">
                  <w:pPr>
                    <w:autoSpaceDE w:val="0"/>
                    <w:autoSpaceDN w:val="0"/>
                    <w:jc w:val="center"/>
                    <w:rPr>
                      <w:b w:val="0"/>
                      <w:color w:val="000000"/>
                      <w:kern w:val="0"/>
                      <w:highlight w:val="none"/>
                    </w:rPr>
                  </w:pPr>
                  <w:r>
                    <w:rPr>
                      <w:b w:val="0"/>
                      <w:color w:val="000000"/>
                      <w:kern w:val="0"/>
                      <w:highlight w:val="none"/>
                    </w:rPr>
                    <w:t>7.98</w:t>
                  </w:r>
                </w:p>
              </w:tc>
              <w:tc>
                <w:tcPr>
                  <w:tcW w:w="616" w:type="pct"/>
                  <w:tcBorders>
                    <w:right w:val="single" w:color="000000" w:sz="4" w:space="0"/>
                    <w:tl2br w:val="nil"/>
                    <w:tr2bl w:val="nil"/>
                  </w:tcBorders>
                  <w:shd w:val="clear" w:color="auto" w:fill="FFFFFF"/>
                  <w:noWrap w:val="0"/>
                  <w:vAlign w:val="center"/>
                </w:tcPr>
                <w:p w14:paraId="578CFF1B">
                  <w:pPr>
                    <w:autoSpaceDE w:val="0"/>
                    <w:autoSpaceDN w:val="0"/>
                    <w:jc w:val="center"/>
                    <w:rPr>
                      <w:b w:val="0"/>
                      <w:color w:val="000000"/>
                      <w:kern w:val="0"/>
                      <w:highlight w:val="none"/>
                    </w:rPr>
                  </w:pPr>
                  <w:r>
                    <w:rPr>
                      <w:rFonts w:hint="eastAsia"/>
                      <w:b w:val="0"/>
                      <w:snapToGrid w:val="0"/>
                      <w:color w:val="000000"/>
                      <w:kern w:val="0"/>
                      <w:highlight w:val="none"/>
                    </w:rPr>
                    <w:t>/</w:t>
                  </w:r>
                </w:p>
              </w:tc>
            </w:tr>
            <w:tr w14:paraId="77317D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2173F431">
                  <w:pPr>
                    <w:autoSpaceDE w:val="0"/>
                    <w:autoSpaceDN w:val="0"/>
                    <w:jc w:val="center"/>
                    <w:rPr>
                      <w:b w:val="0"/>
                      <w:color w:val="000000"/>
                      <w:kern w:val="0"/>
                      <w:highlight w:val="none"/>
                    </w:rPr>
                  </w:pPr>
                  <w:r>
                    <w:rPr>
                      <w:b w:val="0"/>
                      <w:color w:val="000000"/>
                      <w:kern w:val="0"/>
                      <w:highlight w:val="none"/>
                    </w:rPr>
                    <w:t>2</w:t>
                  </w:r>
                </w:p>
              </w:tc>
              <w:tc>
                <w:tcPr>
                  <w:tcW w:w="667" w:type="pct"/>
                  <w:tcBorders>
                    <w:tl2br w:val="nil"/>
                    <w:tr2bl w:val="nil"/>
                  </w:tcBorders>
                  <w:shd w:val="clear" w:color="auto" w:fill="FFFFFF"/>
                  <w:noWrap w:val="0"/>
                  <w:vAlign w:val="center"/>
                </w:tcPr>
                <w:p w14:paraId="50D156C8">
                  <w:pPr>
                    <w:autoSpaceDE w:val="0"/>
                    <w:autoSpaceDN w:val="0"/>
                    <w:jc w:val="center"/>
                    <w:rPr>
                      <w:rFonts w:cs="宋体"/>
                      <w:b w:val="0"/>
                      <w:color w:val="000000"/>
                      <w:kern w:val="0"/>
                      <w:highlight w:val="none"/>
                    </w:rPr>
                  </w:pPr>
                  <w:r>
                    <w:rPr>
                      <w:rFonts w:hint="eastAsia"/>
                      <w:b w:val="0"/>
                      <w:color w:val="000000"/>
                      <w:kern w:val="0"/>
                      <w:highlight w:val="none"/>
                    </w:rPr>
                    <w:t>汞</w:t>
                  </w:r>
                </w:p>
              </w:tc>
              <w:tc>
                <w:tcPr>
                  <w:tcW w:w="391" w:type="pct"/>
                  <w:tcBorders>
                    <w:tl2br w:val="nil"/>
                    <w:tr2bl w:val="nil"/>
                  </w:tcBorders>
                  <w:shd w:val="clear" w:color="auto" w:fill="FFFFFF"/>
                  <w:noWrap w:val="0"/>
                  <w:vAlign w:val="center"/>
                </w:tcPr>
                <w:p w14:paraId="2DB3A9D2">
                  <w:pPr>
                    <w:autoSpaceDE w:val="0"/>
                    <w:autoSpaceDN w:val="0"/>
                    <w:jc w:val="center"/>
                    <w:rPr>
                      <w:b w:val="0"/>
                      <w:color w:val="000000"/>
                      <w:kern w:val="0"/>
                      <w:highlight w:val="none"/>
                    </w:rPr>
                  </w:pPr>
                  <w:r>
                    <w:rPr>
                      <w:b w:val="0"/>
                      <w:color w:val="000000"/>
                      <w:kern w:val="0"/>
                      <w:highlight w:val="none"/>
                    </w:rPr>
                    <w:t>mg/kg</w:t>
                  </w:r>
                </w:p>
              </w:tc>
              <w:tc>
                <w:tcPr>
                  <w:tcW w:w="508" w:type="pct"/>
                  <w:tcBorders>
                    <w:tl2br w:val="nil"/>
                    <w:tr2bl w:val="nil"/>
                  </w:tcBorders>
                  <w:shd w:val="clear" w:color="auto" w:fill="FFFFFF"/>
                  <w:noWrap w:val="0"/>
                  <w:vAlign w:val="center"/>
                </w:tcPr>
                <w:p w14:paraId="4480D82B">
                  <w:pPr>
                    <w:autoSpaceDE w:val="0"/>
                    <w:autoSpaceDN w:val="0"/>
                    <w:jc w:val="center"/>
                    <w:rPr>
                      <w:b w:val="0"/>
                      <w:color w:val="000000"/>
                      <w:kern w:val="0"/>
                      <w:highlight w:val="none"/>
                    </w:rPr>
                  </w:pPr>
                  <w:r>
                    <w:rPr>
                      <w:b w:val="0"/>
                      <w:color w:val="000000"/>
                      <w:kern w:val="0"/>
                      <w:highlight w:val="none"/>
                    </w:rPr>
                    <w:t>0.002L</w:t>
                  </w:r>
                </w:p>
              </w:tc>
              <w:tc>
                <w:tcPr>
                  <w:tcW w:w="508" w:type="pct"/>
                  <w:tcBorders>
                    <w:tl2br w:val="nil"/>
                    <w:tr2bl w:val="nil"/>
                  </w:tcBorders>
                  <w:shd w:val="clear" w:color="auto" w:fill="FFFFFF"/>
                  <w:noWrap w:val="0"/>
                  <w:vAlign w:val="center"/>
                </w:tcPr>
                <w:p w14:paraId="3D5DA7AC">
                  <w:pPr>
                    <w:autoSpaceDE w:val="0"/>
                    <w:autoSpaceDN w:val="0"/>
                    <w:jc w:val="center"/>
                    <w:rPr>
                      <w:b w:val="0"/>
                      <w:color w:val="000000"/>
                      <w:kern w:val="0"/>
                      <w:highlight w:val="none"/>
                    </w:rPr>
                  </w:pPr>
                  <w:r>
                    <w:rPr>
                      <w:b w:val="0"/>
                      <w:color w:val="000000"/>
                      <w:kern w:val="0"/>
                      <w:highlight w:val="none"/>
                    </w:rPr>
                    <w:t>0.002L</w:t>
                  </w:r>
                </w:p>
              </w:tc>
              <w:tc>
                <w:tcPr>
                  <w:tcW w:w="509" w:type="pct"/>
                  <w:tcBorders>
                    <w:tl2br w:val="nil"/>
                    <w:tr2bl w:val="nil"/>
                  </w:tcBorders>
                  <w:shd w:val="clear" w:color="auto" w:fill="FFFFFF"/>
                  <w:noWrap w:val="0"/>
                  <w:vAlign w:val="center"/>
                </w:tcPr>
                <w:p w14:paraId="2C191DDC">
                  <w:pPr>
                    <w:autoSpaceDE w:val="0"/>
                    <w:autoSpaceDN w:val="0"/>
                    <w:jc w:val="center"/>
                    <w:rPr>
                      <w:b w:val="0"/>
                      <w:color w:val="000000"/>
                      <w:kern w:val="0"/>
                      <w:highlight w:val="none"/>
                    </w:rPr>
                  </w:pPr>
                  <w:r>
                    <w:rPr>
                      <w:b w:val="0"/>
                      <w:color w:val="000000"/>
                      <w:kern w:val="0"/>
                      <w:highlight w:val="none"/>
                    </w:rPr>
                    <w:t>0.002L</w:t>
                  </w:r>
                </w:p>
              </w:tc>
              <w:tc>
                <w:tcPr>
                  <w:tcW w:w="508" w:type="pct"/>
                  <w:tcBorders>
                    <w:tl2br w:val="nil"/>
                    <w:tr2bl w:val="nil"/>
                  </w:tcBorders>
                  <w:shd w:val="clear" w:color="auto" w:fill="FFFFFF"/>
                  <w:noWrap w:val="0"/>
                  <w:vAlign w:val="center"/>
                </w:tcPr>
                <w:p w14:paraId="6242999D">
                  <w:pPr>
                    <w:autoSpaceDE w:val="0"/>
                    <w:autoSpaceDN w:val="0"/>
                    <w:jc w:val="center"/>
                    <w:rPr>
                      <w:b w:val="0"/>
                      <w:color w:val="000000"/>
                      <w:kern w:val="0"/>
                      <w:highlight w:val="none"/>
                    </w:rPr>
                  </w:pPr>
                  <w:r>
                    <w:rPr>
                      <w:b w:val="0"/>
                      <w:color w:val="000000"/>
                      <w:kern w:val="0"/>
                      <w:highlight w:val="none"/>
                    </w:rPr>
                    <w:t>0.014</w:t>
                  </w:r>
                </w:p>
              </w:tc>
              <w:tc>
                <w:tcPr>
                  <w:tcW w:w="508" w:type="pct"/>
                  <w:tcBorders>
                    <w:tl2br w:val="nil"/>
                    <w:tr2bl w:val="nil"/>
                  </w:tcBorders>
                  <w:shd w:val="clear" w:color="auto" w:fill="FFFFFF"/>
                  <w:noWrap w:val="0"/>
                  <w:vAlign w:val="center"/>
                </w:tcPr>
                <w:p w14:paraId="094BA5EF">
                  <w:pPr>
                    <w:autoSpaceDE w:val="0"/>
                    <w:autoSpaceDN w:val="0"/>
                    <w:jc w:val="center"/>
                    <w:rPr>
                      <w:b w:val="0"/>
                      <w:color w:val="000000"/>
                      <w:kern w:val="0"/>
                      <w:highlight w:val="none"/>
                    </w:rPr>
                  </w:pPr>
                  <w:r>
                    <w:rPr>
                      <w:b w:val="0"/>
                      <w:color w:val="000000"/>
                      <w:kern w:val="0"/>
                      <w:highlight w:val="none"/>
                    </w:rPr>
                    <w:t>0.012</w:t>
                  </w:r>
                </w:p>
              </w:tc>
              <w:tc>
                <w:tcPr>
                  <w:tcW w:w="510" w:type="pct"/>
                  <w:tcBorders>
                    <w:tl2br w:val="nil"/>
                    <w:tr2bl w:val="nil"/>
                  </w:tcBorders>
                  <w:shd w:val="clear" w:color="auto" w:fill="FFFFFF"/>
                  <w:noWrap w:val="0"/>
                  <w:vAlign w:val="center"/>
                </w:tcPr>
                <w:p w14:paraId="6D9A5D50">
                  <w:pPr>
                    <w:autoSpaceDE w:val="0"/>
                    <w:autoSpaceDN w:val="0"/>
                    <w:jc w:val="center"/>
                    <w:rPr>
                      <w:b w:val="0"/>
                      <w:color w:val="000000"/>
                      <w:kern w:val="0"/>
                      <w:highlight w:val="none"/>
                    </w:rPr>
                  </w:pPr>
                  <w:r>
                    <w:rPr>
                      <w:b w:val="0"/>
                      <w:color w:val="000000"/>
                      <w:kern w:val="0"/>
                      <w:highlight w:val="none"/>
                    </w:rPr>
                    <w:t>0.013</w:t>
                  </w:r>
                </w:p>
              </w:tc>
              <w:tc>
                <w:tcPr>
                  <w:tcW w:w="616" w:type="pct"/>
                  <w:tcBorders>
                    <w:right w:val="single" w:color="000000" w:sz="4" w:space="0"/>
                    <w:tl2br w:val="nil"/>
                    <w:tr2bl w:val="nil"/>
                  </w:tcBorders>
                  <w:shd w:val="clear" w:color="auto" w:fill="FFFFFF"/>
                  <w:noWrap w:val="0"/>
                  <w:vAlign w:val="center"/>
                </w:tcPr>
                <w:p w14:paraId="064A93DF">
                  <w:pPr>
                    <w:autoSpaceDE w:val="0"/>
                    <w:autoSpaceDN w:val="0"/>
                    <w:jc w:val="center"/>
                    <w:rPr>
                      <w:rFonts w:cs="宋体"/>
                      <w:b w:val="0"/>
                      <w:color w:val="000000"/>
                      <w:kern w:val="0"/>
                      <w:highlight w:val="none"/>
                    </w:rPr>
                  </w:pPr>
                  <w:r>
                    <w:rPr>
                      <w:rFonts w:hint="eastAsia"/>
                      <w:b w:val="0"/>
                      <w:color w:val="000000"/>
                      <w:kern w:val="0"/>
                      <w:highlight w:val="none"/>
                    </w:rPr>
                    <w:t>38</w:t>
                  </w:r>
                </w:p>
              </w:tc>
            </w:tr>
            <w:tr w14:paraId="740441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139D7F2D">
                  <w:pPr>
                    <w:autoSpaceDE w:val="0"/>
                    <w:autoSpaceDN w:val="0"/>
                    <w:jc w:val="center"/>
                    <w:rPr>
                      <w:b w:val="0"/>
                      <w:color w:val="000000"/>
                      <w:kern w:val="0"/>
                      <w:highlight w:val="none"/>
                    </w:rPr>
                  </w:pPr>
                  <w:r>
                    <w:rPr>
                      <w:b w:val="0"/>
                      <w:color w:val="000000"/>
                      <w:kern w:val="0"/>
                      <w:highlight w:val="none"/>
                    </w:rPr>
                    <w:t>3</w:t>
                  </w:r>
                </w:p>
              </w:tc>
              <w:tc>
                <w:tcPr>
                  <w:tcW w:w="667" w:type="pct"/>
                  <w:tcBorders>
                    <w:tl2br w:val="nil"/>
                    <w:tr2bl w:val="nil"/>
                  </w:tcBorders>
                  <w:shd w:val="clear" w:color="auto" w:fill="FFFFFF"/>
                  <w:noWrap w:val="0"/>
                  <w:vAlign w:val="center"/>
                </w:tcPr>
                <w:p w14:paraId="578D27FB">
                  <w:pPr>
                    <w:autoSpaceDE w:val="0"/>
                    <w:autoSpaceDN w:val="0"/>
                    <w:jc w:val="center"/>
                    <w:rPr>
                      <w:rFonts w:cs="宋体"/>
                      <w:b w:val="0"/>
                      <w:color w:val="000000"/>
                      <w:kern w:val="0"/>
                      <w:highlight w:val="none"/>
                    </w:rPr>
                  </w:pPr>
                  <w:r>
                    <w:rPr>
                      <w:rFonts w:hint="eastAsia"/>
                      <w:b w:val="0"/>
                      <w:color w:val="000000"/>
                      <w:kern w:val="0"/>
                      <w:highlight w:val="none"/>
                    </w:rPr>
                    <w:t>砷</w:t>
                  </w:r>
                </w:p>
              </w:tc>
              <w:tc>
                <w:tcPr>
                  <w:tcW w:w="391" w:type="pct"/>
                  <w:tcBorders>
                    <w:tl2br w:val="nil"/>
                    <w:tr2bl w:val="nil"/>
                  </w:tcBorders>
                  <w:shd w:val="clear" w:color="auto" w:fill="FFFFFF"/>
                  <w:noWrap w:val="0"/>
                  <w:vAlign w:val="center"/>
                </w:tcPr>
                <w:p w14:paraId="535A28BC">
                  <w:pPr>
                    <w:autoSpaceDE w:val="0"/>
                    <w:autoSpaceDN w:val="0"/>
                    <w:jc w:val="center"/>
                    <w:rPr>
                      <w:b w:val="0"/>
                      <w:color w:val="000000"/>
                      <w:kern w:val="0"/>
                      <w:highlight w:val="none"/>
                    </w:rPr>
                  </w:pPr>
                  <w:r>
                    <w:rPr>
                      <w:b w:val="0"/>
                      <w:color w:val="000000"/>
                      <w:kern w:val="0"/>
                      <w:highlight w:val="none"/>
                    </w:rPr>
                    <w:t>mg/kg</w:t>
                  </w:r>
                </w:p>
              </w:tc>
              <w:tc>
                <w:tcPr>
                  <w:tcW w:w="508" w:type="pct"/>
                  <w:tcBorders>
                    <w:tl2br w:val="nil"/>
                    <w:tr2bl w:val="nil"/>
                  </w:tcBorders>
                  <w:shd w:val="clear" w:color="auto" w:fill="FFFFFF"/>
                  <w:noWrap w:val="0"/>
                  <w:vAlign w:val="center"/>
                </w:tcPr>
                <w:p w14:paraId="0DD90E8D">
                  <w:pPr>
                    <w:autoSpaceDE w:val="0"/>
                    <w:autoSpaceDN w:val="0"/>
                    <w:jc w:val="center"/>
                    <w:rPr>
                      <w:b w:val="0"/>
                      <w:color w:val="000000"/>
                      <w:kern w:val="0"/>
                      <w:highlight w:val="none"/>
                    </w:rPr>
                  </w:pPr>
                  <w:r>
                    <w:rPr>
                      <w:b w:val="0"/>
                      <w:color w:val="000000"/>
                      <w:kern w:val="0"/>
                      <w:highlight w:val="none"/>
                    </w:rPr>
                    <w:t>10.3</w:t>
                  </w:r>
                </w:p>
              </w:tc>
              <w:tc>
                <w:tcPr>
                  <w:tcW w:w="508" w:type="pct"/>
                  <w:tcBorders>
                    <w:tl2br w:val="nil"/>
                    <w:tr2bl w:val="nil"/>
                  </w:tcBorders>
                  <w:shd w:val="clear" w:color="auto" w:fill="FFFFFF"/>
                  <w:noWrap w:val="0"/>
                  <w:vAlign w:val="center"/>
                </w:tcPr>
                <w:p w14:paraId="1FF7BFFC">
                  <w:pPr>
                    <w:autoSpaceDE w:val="0"/>
                    <w:autoSpaceDN w:val="0"/>
                    <w:jc w:val="center"/>
                    <w:rPr>
                      <w:b w:val="0"/>
                      <w:color w:val="000000"/>
                      <w:kern w:val="0"/>
                      <w:highlight w:val="none"/>
                    </w:rPr>
                  </w:pPr>
                  <w:r>
                    <w:rPr>
                      <w:b w:val="0"/>
                      <w:color w:val="000000"/>
                      <w:kern w:val="0"/>
                      <w:highlight w:val="none"/>
                    </w:rPr>
                    <w:t>10.7</w:t>
                  </w:r>
                </w:p>
              </w:tc>
              <w:tc>
                <w:tcPr>
                  <w:tcW w:w="509" w:type="pct"/>
                  <w:tcBorders>
                    <w:tl2br w:val="nil"/>
                    <w:tr2bl w:val="nil"/>
                  </w:tcBorders>
                  <w:shd w:val="clear" w:color="auto" w:fill="FFFFFF"/>
                  <w:noWrap w:val="0"/>
                  <w:vAlign w:val="center"/>
                </w:tcPr>
                <w:p w14:paraId="6F2141C0">
                  <w:pPr>
                    <w:autoSpaceDE w:val="0"/>
                    <w:autoSpaceDN w:val="0"/>
                    <w:jc w:val="center"/>
                    <w:rPr>
                      <w:b w:val="0"/>
                      <w:color w:val="000000"/>
                      <w:kern w:val="0"/>
                      <w:highlight w:val="none"/>
                    </w:rPr>
                  </w:pPr>
                  <w:r>
                    <w:rPr>
                      <w:b w:val="0"/>
                      <w:color w:val="000000"/>
                      <w:kern w:val="0"/>
                      <w:highlight w:val="none"/>
                    </w:rPr>
                    <w:t>11</w:t>
                  </w:r>
                </w:p>
              </w:tc>
              <w:tc>
                <w:tcPr>
                  <w:tcW w:w="508" w:type="pct"/>
                  <w:tcBorders>
                    <w:tl2br w:val="nil"/>
                    <w:tr2bl w:val="nil"/>
                  </w:tcBorders>
                  <w:shd w:val="clear" w:color="auto" w:fill="FFFFFF"/>
                  <w:noWrap w:val="0"/>
                  <w:vAlign w:val="center"/>
                </w:tcPr>
                <w:p w14:paraId="75D85EF0">
                  <w:pPr>
                    <w:autoSpaceDE w:val="0"/>
                    <w:autoSpaceDN w:val="0"/>
                    <w:jc w:val="center"/>
                    <w:rPr>
                      <w:b w:val="0"/>
                      <w:color w:val="000000"/>
                      <w:kern w:val="0"/>
                      <w:highlight w:val="none"/>
                    </w:rPr>
                  </w:pPr>
                  <w:r>
                    <w:rPr>
                      <w:b w:val="0"/>
                      <w:color w:val="000000"/>
                      <w:kern w:val="0"/>
                      <w:highlight w:val="none"/>
                    </w:rPr>
                    <w:t>7.96</w:t>
                  </w:r>
                </w:p>
              </w:tc>
              <w:tc>
                <w:tcPr>
                  <w:tcW w:w="508" w:type="pct"/>
                  <w:tcBorders>
                    <w:tl2br w:val="nil"/>
                    <w:tr2bl w:val="nil"/>
                  </w:tcBorders>
                  <w:shd w:val="clear" w:color="auto" w:fill="FFFFFF"/>
                  <w:noWrap w:val="0"/>
                  <w:vAlign w:val="center"/>
                </w:tcPr>
                <w:p w14:paraId="45FAE70C">
                  <w:pPr>
                    <w:autoSpaceDE w:val="0"/>
                    <w:autoSpaceDN w:val="0"/>
                    <w:jc w:val="center"/>
                    <w:rPr>
                      <w:b w:val="0"/>
                      <w:color w:val="000000"/>
                      <w:kern w:val="0"/>
                      <w:highlight w:val="none"/>
                    </w:rPr>
                  </w:pPr>
                  <w:r>
                    <w:rPr>
                      <w:b w:val="0"/>
                      <w:color w:val="000000"/>
                      <w:kern w:val="0"/>
                      <w:highlight w:val="none"/>
                    </w:rPr>
                    <w:t>7.74</w:t>
                  </w:r>
                </w:p>
              </w:tc>
              <w:tc>
                <w:tcPr>
                  <w:tcW w:w="510" w:type="pct"/>
                  <w:tcBorders>
                    <w:tl2br w:val="nil"/>
                    <w:tr2bl w:val="nil"/>
                  </w:tcBorders>
                  <w:shd w:val="clear" w:color="auto" w:fill="FFFFFF"/>
                  <w:noWrap w:val="0"/>
                  <w:vAlign w:val="center"/>
                </w:tcPr>
                <w:p w14:paraId="6EF40829">
                  <w:pPr>
                    <w:autoSpaceDE w:val="0"/>
                    <w:autoSpaceDN w:val="0"/>
                    <w:jc w:val="center"/>
                    <w:rPr>
                      <w:b w:val="0"/>
                      <w:color w:val="000000"/>
                      <w:kern w:val="0"/>
                      <w:highlight w:val="none"/>
                    </w:rPr>
                  </w:pPr>
                  <w:r>
                    <w:rPr>
                      <w:b w:val="0"/>
                      <w:color w:val="000000"/>
                      <w:kern w:val="0"/>
                      <w:highlight w:val="none"/>
                    </w:rPr>
                    <w:t>7.95</w:t>
                  </w:r>
                </w:p>
              </w:tc>
              <w:tc>
                <w:tcPr>
                  <w:tcW w:w="616" w:type="pct"/>
                  <w:tcBorders>
                    <w:right w:val="single" w:color="000000" w:sz="4" w:space="0"/>
                    <w:tl2br w:val="nil"/>
                    <w:tr2bl w:val="nil"/>
                  </w:tcBorders>
                  <w:shd w:val="clear" w:color="auto" w:fill="FFFFFF"/>
                  <w:noWrap w:val="0"/>
                  <w:vAlign w:val="center"/>
                </w:tcPr>
                <w:p w14:paraId="3011A6F1">
                  <w:pPr>
                    <w:autoSpaceDE w:val="0"/>
                    <w:autoSpaceDN w:val="0"/>
                    <w:jc w:val="center"/>
                    <w:rPr>
                      <w:rFonts w:cs="宋体"/>
                      <w:b w:val="0"/>
                      <w:color w:val="000000"/>
                      <w:kern w:val="0"/>
                      <w:highlight w:val="none"/>
                    </w:rPr>
                  </w:pPr>
                  <w:r>
                    <w:rPr>
                      <w:rFonts w:hint="eastAsia"/>
                      <w:b w:val="0"/>
                      <w:color w:val="000000"/>
                      <w:kern w:val="0"/>
                      <w:highlight w:val="none"/>
                    </w:rPr>
                    <w:t>60</w:t>
                  </w:r>
                </w:p>
              </w:tc>
            </w:tr>
            <w:tr w14:paraId="4B0E1C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3C64F5BA">
                  <w:pPr>
                    <w:autoSpaceDE w:val="0"/>
                    <w:autoSpaceDN w:val="0"/>
                    <w:jc w:val="center"/>
                    <w:rPr>
                      <w:b w:val="0"/>
                      <w:color w:val="000000"/>
                      <w:kern w:val="0"/>
                      <w:highlight w:val="none"/>
                    </w:rPr>
                  </w:pPr>
                  <w:r>
                    <w:rPr>
                      <w:b w:val="0"/>
                      <w:color w:val="000000"/>
                      <w:kern w:val="0"/>
                      <w:highlight w:val="none"/>
                    </w:rPr>
                    <w:t>4</w:t>
                  </w:r>
                </w:p>
              </w:tc>
              <w:tc>
                <w:tcPr>
                  <w:tcW w:w="667" w:type="pct"/>
                  <w:tcBorders>
                    <w:tl2br w:val="nil"/>
                    <w:tr2bl w:val="nil"/>
                  </w:tcBorders>
                  <w:shd w:val="clear" w:color="auto" w:fill="FFFFFF"/>
                  <w:noWrap w:val="0"/>
                  <w:vAlign w:val="center"/>
                </w:tcPr>
                <w:p w14:paraId="41199BA3">
                  <w:pPr>
                    <w:autoSpaceDE w:val="0"/>
                    <w:autoSpaceDN w:val="0"/>
                    <w:jc w:val="center"/>
                    <w:rPr>
                      <w:rFonts w:cs="宋体"/>
                      <w:b w:val="0"/>
                      <w:color w:val="000000"/>
                      <w:kern w:val="0"/>
                      <w:highlight w:val="none"/>
                    </w:rPr>
                  </w:pPr>
                  <w:r>
                    <w:rPr>
                      <w:rFonts w:hint="eastAsia"/>
                      <w:b w:val="0"/>
                      <w:color w:val="000000"/>
                      <w:kern w:val="0"/>
                      <w:highlight w:val="none"/>
                    </w:rPr>
                    <w:t>铅</w:t>
                  </w:r>
                </w:p>
              </w:tc>
              <w:tc>
                <w:tcPr>
                  <w:tcW w:w="391" w:type="pct"/>
                  <w:tcBorders>
                    <w:tl2br w:val="nil"/>
                    <w:tr2bl w:val="nil"/>
                  </w:tcBorders>
                  <w:shd w:val="clear" w:color="auto" w:fill="FFFFFF"/>
                  <w:noWrap w:val="0"/>
                  <w:vAlign w:val="center"/>
                </w:tcPr>
                <w:p w14:paraId="2EFF2CB6">
                  <w:pPr>
                    <w:autoSpaceDE w:val="0"/>
                    <w:autoSpaceDN w:val="0"/>
                    <w:jc w:val="center"/>
                    <w:rPr>
                      <w:b w:val="0"/>
                      <w:color w:val="000000"/>
                      <w:kern w:val="0"/>
                      <w:highlight w:val="none"/>
                    </w:rPr>
                  </w:pPr>
                  <w:r>
                    <w:rPr>
                      <w:b w:val="0"/>
                      <w:color w:val="000000"/>
                      <w:kern w:val="0"/>
                      <w:highlight w:val="none"/>
                    </w:rPr>
                    <w:t>mg/kg</w:t>
                  </w:r>
                </w:p>
              </w:tc>
              <w:tc>
                <w:tcPr>
                  <w:tcW w:w="508" w:type="pct"/>
                  <w:tcBorders>
                    <w:tl2br w:val="nil"/>
                    <w:tr2bl w:val="nil"/>
                  </w:tcBorders>
                  <w:shd w:val="clear" w:color="auto" w:fill="FFFFFF"/>
                  <w:noWrap w:val="0"/>
                  <w:vAlign w:val="center"/>
                </w:tcPr>
                <w:p w14:paraId="13EF1348">
                  <w:pPr>
                    <w:autoSpaceDE w:val="0"/>
                    <w:autoSpaceDN w:val="0"/>
                    <w:jc w:val="center"/>
                    <w:rPr>
                      <w:b w:val="0"/>
                      <w:color w:val="000000"/>
                      <w:kern w:val="0"/>
                      <w:highlight w:val="none"/>
                    </w:rPr>
                  </w:pPr>
                  <w:r>
                    <w:rPr>
                      <w:b w:val="0"/>
                      <w:color w:val="000000"/>
                      <w:kern w:val="0"/>
                      <w:highlight w:val="none"/>
                    </w:rPr>
                    <w:t>7.4</w:t>
                  </w:r>
                </w:p>
              </w:tc>
              <w:tc>
                <w:tcPr>
                  <w:tcW w:w="508" w:type="pct"/>
                  <w:tcBorders>
                    <w:tl2br w:val="nil"/>
                    <w:tr2bl w:val="nil"/>
                  </w:tcBorders>
                  <w:shd w:val="clear" w:color="auto" w:fill="FFFFFF"/>
                  <w:noWrap w:val="0"/>
                  <w:vAlign w:val="center"/>
                </w:tcPr>
                <w:p w14:paraId="13F8EB26">
                  <w:pPr>
                    <w:autoSpaceDE w:val="0"/>
                    <w:autoSpaceDN w:val="0"/>
                    <w:jc w:val="center"/>
                    <w:rPr>
                      <w:b w:val="0"/>
                      <w:color w:val="000000"/>
                      <w:kern w:val="0"/>
                      <w:highlight w:val="none"/>
                    </w:rPr>
                  </w:pPr>
                  <w:r>
                    <w:rPr>
                      <w:b w:val="0"/>
                      <w:color w:val="000000"/>
                      <w:kern w:val="0"/>
                      <w:highlight w:val="none"/>
                    </w:rPr>
                    <w:t>7.2</w:t>
                  </w:r>
                </w:p>
              </w:tc>
              <w:tc>
                <w:tcPr>
                  <w:tcW w:w="509" w:type="pct"/>
                  <w:tcBorders>
                    <w:tl2br w:val="nil"/>
                    <w:tr2bl w:val="nil"/>
                  </w:tcBorders>
                  <w:shd w:val="clear" w:color="auto" w:fill="FFFFFF"/>
                  <w:noWrap w:val="0"/>
                  <w:vAlign w:val="center"/>
                </w:tcPr>
                <w:p w14:paraId="60B65C3C">
                  <w:pPr>
                    <w:autoSpaceDE w:val="0"/>
                    <w:autoSpaceDN w:val="0"/>
                    <w:jc w:val="center"/>
                    <w:rPr>
                      <w:b w:val="0"/>
                      <w:color w:val="000000"/>
                      <w:kern w:val="0"/>
                      <w:highlight w:val="none"/>
                    </w:rPr>
                  </w:pPr>
                  <w:r>
                    <w:rPr>
                      <w:b w:val="0"/>
                      <w:color w:val="000000"/>
                      <w:kern w:val="0"/>
                      <w:highlight w:val="none"/>
                    </w:rPr>
                    <w:t>7.1</w:t>
                  </w:r>
                </w:p>
              </w:tc>
              <w:tc>
                <w:tcPr>
                  <w:tcW w:w="508" w:type="pct"/>
                  <w:tcBorders>
                    <w:tl2br w:val="nil"/>
                    <w:tr2bl w:val="nil"/>
                  </w:tcBorders>
                  <w:shd w:val="clear" w:color="auto" w:fill="FFFFFF"/>
                  <w:noWrap w:val="0"/>
                  <w:vAlign w:val="center"/>
                </w:tcPr>
                <w:p w14:paraId="08E4B1DC">
                  <w:pPr>
                    <w:autoSpaceDE w:val="0"/>
                    <w:autoSpaceDN w:val="0"/>
                    <w:jc w:val="center"/>
                    <w:rPr>
                      <w:b w:val="0"/>
                      <w:color w:val="000000"/>
                      <w:kern w:val="0"/>
                      <w:highlight w:val="none"/>
                    </w:rPr>
                  </w:pPr>
                  <w:r>
                    <w:rPr>
                      <w:b w:val="0"/>
                      <w:color w:val="000000"/>
                      <w:kern w:val="0"/>
                      <w:highlight w:val="none"/>
                    </w:rPr>
                    <w:t>7</w:t>
                  </w:r>
                </w:p>
              </w:tc>
              <w:tc>
                <w:tcPr>
                  <w:tcW w:w="508" w:type="pct"/>
                  <w:tcBorders>
                    <w:tl2br w:val="nil"/>
                    <w:tr2bl w:val="nil"/>
                  </w:tcBorders>
                  <w:shd w:val="clear" w:color="auto" w:fill="FFFFFF"/>
                  <w:noWrap w:val="0"/>
                  <w:vAlign w:val="center"/>
                </w:tcPr>
                <w:p w14:paraId="25AA145F">
                  <w:pPr>
                    <w:autoSpaceDE w:val="0"/>
                    <w:autoSpaceDN w:val="0"/>
                    <w:jc w:val="center"/>
                    <w:rPr>
                      <w:b w:val="0"/>
                      <w:color w:val="000000"/>
                      <w:kern w:val="0"/>
                      <w:highlight w:val="none"/>
                    </w:rPr>
                  </w:pPr>
                  <w:r>
                    <w:rPr>
                      <w:b w:val="0"/>
                      <w:color w:val="000000"/>
                      <w:kern w:val="0"/>
                      <w:highlight w:val="none"/>
                    </w:rPr>
                    <w:t>7.4</w:t>
                  </w:r>
                </w:p>
              </w:tc>
              <w:tc>
                <w:tcPr>
                  <w:tcW w:w="510" w:type="pct"/>
                  <w:tcBorders>
                    <w:tl2br w:val="nil"/>
                    <w:tr2bl w:val="nil"/>
                  </w:tcBorders>
                  <w:shd w:val="clear" w:color="auto" w:fill="FFFFFF"/>
                  <w:noWrap w:val="0"/>
                  <w:vAlign w:val="center"/>
                </w:tcPr>
                <w:p w14:paraId="0F4D6D36">
                  <w:pPr>
                    <w:autoSpaceDE w:val="0"/>
                    <w:autoSpaceDN w:val="0"/>
                    <w:jc w:val="center"/>
                    <w:rPr>
                      <w:b w:val="0"/>
                      <w:color w:val="000000"/>
                      <w:kern w:val="0"/>
                      <w:highlight w:val="none"/>
                    </w:rPr>
                  </w:pPr>
                  <w:r>
                    <w:rPr>
                      <w:b w:val="0"/>
                      <w:color w:val="000000"/>
                      <w:kern w:val="0"/>
                      <w:highlight w:val="none"/>
                    </w:rPr>
                    <w:t>6.8</w:t>
                  </w:r>
                </w:p>
              </w:tc>
              <w:tc>
                <w:tcPr>
                  <w:tcW w:w="616" w:type="pct"/>
                  <w:tcBorders>
                    <w:right w:val="single" w:color="000000" w:sz="4" w:space="0"/>
                    <w:tl2br w:val="nil"/>
                    <w:tr2bl w:val="nil"/>
                  </w:tcBorders>
                  <w:shd w:val="clear" w:color="auto" w:fill="FFFFFF"/>
                  <w:noWrap w:val="0"/>
                  <w:vAlign w:val="center"/>
                </w:tcPr>
                <w:p w14:paraId="5748D299">
                  <w:pPr>
                    <w:autoSpaceDE w:val="0"/>
                    <w:autoSpaceDN w:val="0"/>
                    <w:jc w:val="center"/>
                    <w:rPr>
                      <w:rFonts w:cs="宋体"/>
                      <w:b w:val="0"/>
                      <w:color w:val="000000"/>
                      <w:kern w:val="0"/>
                      <w:highlight w:val="none"/>
                    </w:rPr>
                  </w:pPr>
                  <w:r>
                    <w:rPr>
                      <w:rFonts w:hint="eastAsia"/>
                      <w:b w:val="0"/>
                      <w:color w:val="000000"/>
                      <w:kern w:val="0"/>
                      <w:highlight w:val="none"/>
                    </w:rPr>
                    <w:t>800</w:t>
                  </w:r>
                </w:p>
              </w:tc>
            </w:tr>
            <w:tr w14:paraId="1B33F2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5A46AA10">
                  <w:pPr>
                    <w:autoSpaceDE w:val="0"/>
                    <w:autoSpaceDN w:val="0"/>
                    <w:jc w:val="center"/>
                    <w:rPr>
                      <w:b w:val="0"/>
                      <w:color w:val="000000"/>
                      <w:kern w:val="0"/>
                      <w:highlight w:val="none"/>
                    </w:rPr>
                  </w:pPr>
                  <w:r>
                    <w:rPr>
                      <w:b w:val="0"/>
                      <w:color w:val="000000"/>
                      <w:kern w:val="0"/>
                      <w:highlight w:val="none"/>
                    </w:rPr>
                    <w:t>5</w:t>
                  </w:r>
                </w:p>
              </w:tc>
              <w:tc>
                <w:tcPr>
                  <w:tcW w:w="667" w:type="pct"/>
                  <w:tcBorders>
                    <w:tl2br w:val="nil"/>
                    <w:tr2bl w:val="nil"/>
                  </w:tcBorders>
                  <w:shd w:val="clear" w:color="auto" w:fill="FFFFFF"/>
                  <w:noWrap w:val="0"/>
                  <w:vAlign w:val="center"/>
                </w:tcPr>
                <w:p w14:paraId="4D4B4AEB">
                  <w:pPr>
                    <w:autoSpaceDE w:val="0"/>
                    <w:autoSpaceDN w:val="0"/>
                    <w:jc w:val="center"/>
                    <w:rPr>
                      <w:rFonts w:cs="宋体"/>
                      <w:b w:val="0"/>
                      <w:color w:val="000000"/>
                      <w:kern w:val="0"/>
                      <w:highlight w:val="none"/>
                    </w:rPr>
                  </w:pPr>
                  <w:r>
                    <w:rPr>
                      <w:rFonts w:hint="eastAsia"/>
                      <w:b w:val="0"/>
                      <w:color w:val="000000"/>
                      <w:kern w:val="0"/>
                      <w:highlight w:val="none"/>
                    </w:rPr>
                    <w:t>镉</w:t>
                  </w:r>
                </w:p>
              </w:tc>
              <w:tc>
                <w:tcPr>
                  <w:tcW w:w="391" w:type="pct"/>
                  <w:tcBorders>
                    <w:tl2br w:val="nil"/>
                    <w:tr2bl w:val="nil"/>
                  </w:tcBorders>
                  <w:shd w:val="clear" w:color="auto" w:fill="FFFFFF"/>
                  <w:noWrap w:val="0"/>
                  <w:vAlign w:val="center"/>
                </w:tcPr>
                <w:p w14:paraId="27EEE5B0">
                  <w:pPr>
                    <w:autoSpaceDE w:val="0"/>
                    <w:autoSpaceDN w:val="0"/>
                    <w:jc w:val="center"/>
                    <w:rPr>
                      <w:b w:val="0"/>
                      <w:color w:val="000000"/>
                      <w:kern w:val="0"/>
                      <w:highlight w:val="none"/>
                    </w:rPr>
                  </w:pPr>
                  <w:r>
                    <w:rPr>
                      <w:b w:val="0"/>
                      <w:color w:val="000000"/>
                      <w:kern w:val="0"/>
                      <w:highlight w:val="none"/>
                    </w:rPr>
                    <w:t>mg/kg</w:t>
                  </w:r>
                </w:p>
              </w:tc>
              <w:tc>
                <w:tcPr>
                  <w:tcW w:w="508" w:type="pct"/>
                  <w:tcBorders>
                    <w:tl2br w:val="nil"/>
                    <w:tr2bl w:val="nil"/>
                  </w:tcBorders>
                  <w:shd w:val="clear" w:color="auto" w:fill="FFFFFF"/>
                  <w:noWrap w:val="0"/>
                  <w:vAlign w:val="center"/>
                </w:tcPr>
                <w:p w14:paraId="33800A78">
                  <w:pPr>
                    <w:autoSpaceDE w:val="0"/>
                    <w:autoSpaceDN w:val="0"/>
                    <w:jc w:val="center"/>
                    <w:rPr>
                      <w:b w:val="0"/>
                      <w:color w:val="000000"/>
                      <w:kern w:val="0"/>
                      <w:highlight w:val="none"/>
                    </w:rPr>
                  </w:pPr>
                  <w:r>
                    <w:rPr>
                      <w:b w:val="0"/>
                      <w:color w:val="000000"/>
                      <w:kern w:val="0"/>
                      <w:highlight w:val="none"/>
                    </w:rPr>
                    <w:t>0.05</w:t>
                  </w:r>
                </w:p>
              </w:tc>
              <w:tc>
                <w:tcPr>
                  <w:tcW w:w="508" w:type="pct"/>
                  <w:tcBorders>
                    <w:tl2br w:val="nil"/>
                    <w:tr2bl w:val="nil"/>
                  </w:tcBorders>
                  <w:shd w:val="clear" w:color="auto" w:fill="FFFFFF"/>
                  <w:noWrap w:val="0"/>
                  <w:vAlign w:val="center"/>
                </w:tcPr>
                <w:p w14:paraId="135EE3D0">
                  <w:pPr>
                    <w:autoSpaceDE w:val="0"/>
                    <w:autoSpaceDN w:val="0"/>
                    <w:jc w:val="center"/>
                    <w:rPr>
                      <w:b w:val="0"/>
                      <w:color w:val="000000"/>
                      <w:kern w:val="0"/>
                      <w:highlight w:val="none"/>
                    </w:rPr>
                  </w:pPr>
                  <w:r>
                    <w:rPr>
                      <w:b w:val="0"/>
                      <w:color w:val="000000"/>
                      <w:kern w:val="0"/>
                      <w:highlight w:val="none"/>
                    </w:rPr>
                    <w:t>0.06</w:t>
                  </w:r>
                </w:p>
              </w:tc>
              <w:tc>
                <w:tcPr>
                  <w:tcW w:w="509" w:type="pct"/>
                  <w:tcBorders>
                    <w:tl2br w:val="nil"/>
                    <w:tr2bl w:val="nil"/>
                  </w:tcBorders>
                  <w:shd w:val="clear" w:color="auto" w:fill="FFFFFF"/>
                  <w:noWrap w:val="0"/>
                  <w:vAlign w:val="center"/>
                </w:tcPr>
                <w:p w14:paraId="1D23F0FC">
                  <w:pPr>
                    <w:autoSpaceDE w:val="0"/>
                    <w:autoSpaceDN w:val="0"/>
                    <w:jc w:val="center"/>
                    <w:rPr>
                      <w:b w:val="0"/>
                      <w:color w:val="000000"/>
                      <w:kern w:val="0"/>
                      <w:highlight w:val="none"/>
                    </w:rPr>
                  </w:pPr>
                  <w:r>
                    <w:rPr>
                      <w:b w:val="0"/>
                      <w:color w:val="000000"/>
                      <w:kern w:val="0"/>
                      <w:highlight w:val="none"/>
                    </w:rPr>
                    <w:t>0.06</w:t>
                  </w:r>
                </w:p>
              </w:tc>
              <w:tc>
                <w:tcPr>
                  <w:tcW w:w="508" w:type="pct"/>
                  <w:tcBorders>
                    <w:tl2br w:val="nil"/>
                    <w:tr2bl w:val="nil"/>
                  </w:tcBorders>
                  <w:shd w:val="clear" w:color="auto" w:fill="FFFFFF"/>
                  <w:noWrap w:val="0"/>
                  <w:vAlign w:val="center"/>
                </w:tcPr>
                <w:p w14:paraId="0B47C537">
                  <w:pPr>
                    <w:autoSpaceDE w:val="0"/>
                    <w:autoSpaceDN w:val="0"/>
                    <w:jc w:val="center"/>
                    <w:rPr>
                      <w:b w:val="0"/>
                      <w:color w:val="000000"/>
                      <w:kern w:val="0"/>
                      <w:highlight w:val="none"/>
                    </w:rPr>
                  </w:pPr>
                  <w:r>
                    <w:rPr>
                      <w:b w:val="0"/>
                      <w:color w:val="000000"/>
                      <w:kern w:val="0"/>
                      <w:highlight w:val="none"/>
                    </w:rPr>
                    <w:t>0.06</w:t>
                  </w:r>
                </w:p>
              </w:tc>
              <w:tc>
                <w:tcPr>
                  <w:tcW w:w="508" w:type="pct"/>
                  <w:tcBorders>
                    <w:tl2br w:val="nil"/>
                    <w:tr2bl w:val="nil"/>
                  </w:tcBorders>
                  <w:shd w:val="clear" w:color="auto" w:fill="FFFFFF"/>
                  <w:noWrap w:val="0"/>
                  <w:vAlign w:val="center"/>
                </w:tcPr>
                <w:p w14:paraId="0BD633B0">
                  <w:pPr>
                    <w:autoSpaceDE w:val="0"/>
                    <w:autoSpaceDN w:val="0"/>
                    <w:jc w:val="center"/>
                    <w:rPr>
                      <w:b w:val="0"/>
                      <w:color w:val="000000"/>
                      <w:kern w:val="0"/>
                      <w:highlight w:val="none"/>
                    </w:rPr>
                  </w:pPr>
                  <w:r>
                    <w:rPr>
                      <w:b w:val="0"/>
                      <w:color w:val="000000"/>
                      <w:kern w:val="0"/>
                      <w:highlight w:val="none"/>
                    </w:rPr>
                    <w:t>0.06</w:t>
                  </w:r>
                </w:p>
              </w:tc>
              <w:tc>
                <w:tcPr>
                  <w:tcW w:w="510" w:type="pct"/>
                  <w:tcBorders>
                    <w:tl2br w:val="nil"/>
                    <w:tr2bl w:val="nil"/>
                  </w:tcBorders>
                  <w:shd w:val="clear" w:color="auto" w:fill="FFFFFF"/>
                  <w:noWrap w:val="0"/>
                  <w:vAlign w:val="center"/>
                </w:tcPr>
                <w:p w14:paraId="38969EF2">
                  <w:pPr>
                    <w:autoSpaceDE w:val="0"/>
                    <w:autoSpaceDN w:val="0"/>
                    <w:jc w:val="center"/>
                    <w:rPr>
                      <w:b w:val="0"/>
                      <w:color w:val="000000"/>
                      <w:kern w:val="0"/>
                      <w:highlight w:val="none"/>
                    </w:rPr>
                  </w:pPr>
                  <w:r>
                    <w:rPr>
                      <w:b w:val="0"/>
                      <w:color w:val="000000"/>
                      <w:kern w:val="0"/>
                      <w:highlight w:val="none"/>
                    </w:rPr>
                    <w:t>0.06</w:t>
                  </w:r>
                </w:p>
              </w:tc>
              <w:tc>
                <w:tcPr>
                  <w:tcW w:w="616" w:type="pct"/>
                  <w:tcBorders>
                    <w:right w:val="single" w:color="000000" w:sz="4" w:space="0"/>
                    <w:tl2br w:val="nil"/>
                    <w:tr2bl w:val="nil"/>
                  </w:tcBorders>
                  <w:shd w:val="clear" w:color="auto" w:fill="FFFFFF"/>
                  <w:noWrap w:val="0"/>
                  <w:vAlign w:val="center"/>
                </w:tcPr>
                <w:p w14:paraId="2AC5FDB9">
                  <w:pPr>
                    <w:autoSpaceDE w:val="0"/>
                    <w:autoSpaceDN w:val="0"/>
                    <w:jc w:val="center"/>
                    <w:rPr>
                      <w:rFonts w:cs="宋体"/>
                      <w:b w:val="0"/>
                      <w:color w:val="000000"/>
                      <w:kern w:val="0"/>
                      <w:highlight w:val="none"/>
                    </w:rPr>
                  </w:pPr>
                  <w:r>
                    <w:rPr>
                      <w:rFonts w:hint="eastAsia"/>
                      <w:b w:val="0"/>
                      <w:color w:val="000000"/>
                      <w:kern w:val="0"/>
                      <w:highlight w:val="none"/>
                    </w:rPr>
                    <w:t>65</w:t>
                  </w:r>
                </w:p>
              </w:tc>
            </w:tr>
            <w:tr w14:paraId="6398DF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08ACC8AC">
                  <w:pPr>
                    <w:autoSpaceDE w:val="0"/>
                    <w:autoSpaceDN w:val="0"/>
                    <w:jc w:val="center"/>
                    <w:rPr>
                      <w:b w:val="0"/>
                      <w:color w:val="000000"/>
                      <w:kern w:val="0"/>
                      <w:highlight w:val="none"/>
                    </w:rPr>
                  </w:pPr>
                  <w:r>
                    <w:rPr>
                      <w:b w:val="0"/>
                      <w:color w:val="000000"/>
                      <w:kern w:val="0"/>
                      <w:highlight w:val="none"/>
                    </w:rPr>
                    <w:t>6</w:t>
                  </w:r>
                </w:p>
              </w:tc>
              <w:tc>
                <w:tcPr>
                  <w:tcW w:w="667" w:type="pct"/>
                  <w:tcBorders>
                    <w:tl2br w:val="nil"/>
                    <w:tr2bl w:val="nil"/>
                  </w:tcBorders>
                  <w:shd w:val="clear" w:color="auto" w:fill="FFFFFF"/>
                  <w:noWrap w:val="0"/>
                  <w:vAlign w:val="center"/>
                </w:tcPr>
                <w:p w14:paraId="3B5128BF">
                  <w:pPr>
                    <w:autoSpaceDE w:val="0"/>
                    <w:autoSpaceDN w:val="0"/>
                    <w:jc w:val="center"/>
                    <w:rPr>
                      <w:rFonts w:cs="宋体"/>
                      <w:b w:val="0"/>
                      <w:color w:val="000000"/>
                      <w:kern w:val="0"/>
                      <w:highlight w:val="none"/>
                    </w:rPr>
                  </w:pPr>
                  <w:r>
                    <w:rPr>
                      <w:rFonts w:hint="eastAsia"/>
                      <w:b w:val="0"/>
                      <w:color w:val="000000"/>
                      <w:kern w:val="0"/>
                      <w:highlight w:val="none"/>
                    </w:rPr>
                    <w:t>铜</w:t>
                  </w:r>
                </w:p>
              </w:tc>
              <w:tc>
                <w:tcPr>
                  <w:tcW w:w="391" w:type="pct"/>
                  <w:tcBorders>
                    <w:tl2br w:val="nil"/>
                    <w:tr2bl w:val="nil"/>
                  </w:tcBorders>
                  <w:shd w:val="clear" w:color="auto" w:fill="FFFFFF"/>
                  <w:noWrap w:val="0"/>
                  <w:vAlign w:val="center"/>
                </w:tcPr>
                <w:p w14:paraId="586AA7D6">
                  <w:pPr>
                    <w:autoSpaceDE w:val="0"/>
                    <w:autoSpaceDN w:val="0"/>
                    <w:jc w:val="center"/>
                    <w:rPr>
                      <w:b w:val="0"/>
                      <w:color w:val="000000"/>
                      <w:kern w:val="0"/>
                      <w:highlight w:val="none"/>
                    </w:rPr>
                  </w:pPr>
                  <w:r>
                    <w:rPr>
                      <w:b w:val="0"/>
                      <w:color w:val="000000"/>
                      <w:kern w:val="0"/>
                      <w:highlight w:val="none"/>
                    </w:rPr>
                    <w:t>mg/kg</w:t>
                  </w:r>
                </w:p>
              </w:tc>
              <w:tc>
                <w:tcPr>
                  <w:tcW w:w="508" w:type="pct"/>
                  <w:tcBorders>
                    <w:tl2br w:val="nil"/>
                    <w:tr2bl w:val="nil"/>
                  </w:tcBorders>
                  <w:shd w:val="clear" w:color="auto" w:fill="FFFFFF"/>
                  <w:noWrap w:val="0"/>
                  <w:vAlign w:val="center"/>
                </w:tcPr>
                <w:p w14:paraId="2CFDA5BB">
                  <w:pPr>
                    <w:autoSpaceDE w:val="0"/>
                    <w:autoSpaceDN w:val="0"/>
                    <w:jc w:val="center"/>
                    <w:rPr>
                      <w:b w:val="0"/>
                      <w:color w:val="000000"/>
                      <w:kern w:val="0"/>
                      <w:highlight w:val="none"/>
                    </w:rPr>
                  </w:pPr>
                  <w:r>
                    <w:rPr>
                      <w:b w:val="0"/>
                      <w:color w:val="000000"/>
                      <w:kern w:val="0"/>
                      <w:highlight w:val="none"/>
                    </w:rPr>
                    <w:t>11</w:t>
                  </w:r>
                </w:p>
              </w:tc>
              <w:tc>
                <w:tcPr>
                  <w:tcW w:w="508" w:type="pct"/>
                  <w:tcBorders>
                    <w:tl2br w:val="nil"/>
                    <w:tr2bl w:val="nil"/>
                  </w:tcBorders>
                  <w:shd w:val="clear" w:color="auto" w:fill="FFFFFF"/>
                  <w:noWrap w:val="0"/>
                  <w:vAlign w:val="center"/>
                </w:tcPr>
                <w:p w14:paraId="171B594A">
                  <w:pPr>
                    <w:autoSpaceDE w:val="0"/>
                    <w:autoSpaceDN w:val="0"/>
                    <w:jc w:val="center"/>
                    <w:rPr>
                      <w:b w:val="0"/>
                      <w:color w:val="000000"/>
                      <w:kern w:val="0"/>
                      <w:highlight w:val="none"/>
                    </w:rPr>
                  </w:pPr>
                  <w:r>
                    <w:rPr>
                      <w:b w:val="0"/>
                      <w:color w:val="000000"/>
                      <w:kern w:val="0"/>
                      <w:highlight w:val="none"/>
                    </w:rPr>
                    <w:t>12</w:t>
                  </w:r>
                </w:p>
              </w:tc>
              <w:tc>
                <w:tcPr>
                  <w:tcW w:w="509" w:type="pct"/>
                  <w:tcBorders>
                    <w:tl2br w:val="nil"/>
                    <w:tr2bl w:val="nil"/>
                  </w:tcBorders>
                  <w:shd w:val="clear" w:color="auto" w:fill="FFFFFF"/>
                  <w:noWrap w:val="0"/>
                  <w:vAlign w:val="center"/>
                </w:tcPr>
                <w:p w14:paraId="3728591D">
                  <w:pPr>
                    <w:autoSpaceDE w:val="0"/>
                    <w:autoSpaceDN w:val="0"/>
                    <w:jc w:val="center"/>
                    <w:rPr>
                      <w:b w:val="0"/>
                      <w:color w:val="000000"/>
                      <w:kern w:val="0"/>
                      <w:highlight w:val="none"/>
                    </w:rPr>
                  </w:pPr>
                  <w:r>
                    <w:rPr>
                      <w:b w:val="0"/>
                      <w:color w:val="000000"/>
                      <w:kern w:val="0"/>
                      <w:highlight w:val="none"/>
                    </w:rPr>
                    <w:t>15</w:t>
                  </w:r>
                </w:p>
              </w:tc>
              <w:tc>
                <w:tcPr>
                  <w:tcW w:w="508" w:type="pct"/>
                  <w:tcBorders>
                    <w:tl2br w:val="nil"/>
                    <w:tr2bl w:val="nil"/>
                  </w:tcBorders>
                  <w:shd w:val="clear" w:color="auto" w:fill="FFFFFF"/>
                  <w:noWrap w:val="0"/>
                  <w:vAlign w:val="center"/>
                </w:tcPr>
                <w:p w14:paraId="56A07479">
                  <w:pPr>
                    <w:autoSpaceDE w:val="0"/>
                    <w:autoSpaceDN w:val="0"/>
                    <w:jc w:val="center"/>
                    <w:rPr>
                      <w:b w:val="0"/>
                      <w:color w:val="000000"/>
                      <w:kern w:val="0"/>
                      <w:highlight w:val="none"/>
                    </w:rPr>
                  </w:pPr>
                  <w:r>
                    <w:rPr>
                      <w:b w:val="0"/>
                      <w:color w:val="000000"/>
                      <w:kern w:val="0"/>
                      <w:highlight w:val="none"/>
                    </w:rPr>
                    <w:t>9</w:t>
                  </w:r>
                </w:p>
              </w:tc>
              <w:tc>
                <w:tcPr>
                  <w:tcW w:w="508" w:type="pct"/>
                  <w:tcBorders>
                    <w:tl2br w:val="nil"/>
                    <w:tr2bl w:val="nil"/>
                  </w:tcBorders>
                  <w:shd w:val="clear" w:color="auto" w:fill="FFFFFF"/>
                  <w:noWrap w:val="0"/>
                  <w:vAlign w:val="center"/>
                </w:tcPr>
                <w:p w14:paraId="5BE46028">
                  <w:pPr>
                    <w:autoSpaceDE w:val="0"/>
                    <w:autoSpaceDN w:val="0"/>
                    <w:jc w:val="center"/>
                    <w:rPr>
                      <w:b w:val="0"/>
                      <w:color w:val="000000"/>
                      <w:kern w:val="0"/>
                      <w:highlight w:val="none"/>
                    </w:rPr>
                  </w:pPr>
                  <w:r>
                    <w:rPr>
                      <w:b w:val="0"/>
                      <w:color w:val="000000"/>
                      <w:kern w:val="0"/>
                      <w:highlight w:val="none"/>
                    </w:rPr>
                    <w:t>9</w:t>
                  </w:r>
                </w:p>
              </w:tc>
              <w:tc>
                <w:tcPr>
                  <w:tcW w:w="510" w:type="pct"/>
                  <w:tcBorders>
                    <w:tl2br w:val="nil"/>
                    <w:tr2bl w:val="nil"/>
                  </w:tcBorders>
                  <w:shd w:val="clear" w:color="auto" w:fill="FFFFFF"/>
                  <w:noWrap w:val="0"/>
                  <w:vAlign w:val="center"/>
                </w:tcPr>
                <w:p w14:paraId="7F5EBE28">
                  <w:pPr>
                    <w:autoSpaceDE w:val="0"/>
                    <w:autoSpaceDN w:val="0"/>
                    <w:jc w:val="center"/>
                    <w:rPr>
                      <w:b w:val="0"/>
                      <w:color w:val="000000"/>
                      <w:kern w:val="0"/>
                      <w:highlight w:val="none"/>
                    </w:rPr>
                  </w:pPr>
                  <w:r>
                    <w:rPr>
                      <w:b w:val="0"/>
                      <w:color w:val="000000"/>
                      <w:kern w:val="0"/>
                      <w:highlight w:val="none"/>
                    </w:rPr>
                    <w:t>12</w:t>
                  </w:r>
                </w:p>
              </w:tc>
              <w:tc>
                <w:tcPr>
                  <w:tcW w:w="616" w:type="pct"/>
                  <w:tcBorders>
                    <w:right w:val="single" w:color="000000" w:sz="4" w:space="0"/>
                    <w:tl2br w:val="nil"/>
                    <w:tr2bl w:val="nil"/>
                  </w:tcBorders>
                  <w:shd w:val="clear" w:color="auto" w:fill="FFFFFF"/>
                  <w:noWrap w:val="0"/>
                  <w:vAlign w:val="center"/>
                </w:tcPr>
                <w:p w14:paraId="7A6AD259">
                  <w:pPr>
                    <w:autoSpaceDE w:val="0"/>
                    <w:autoSpaceDN w:val="0"/>
                    <w:jc w:val="center"/>
                    <w:rPr>
                      <w:rFonts w:cs="宋体"/>
                      <w:b w:val="0"/>
                      <w:color w:val="000000"/>
                      <w:kern w:val="0"/>
                      <w:highlight w:val="none"/>
                    </w:rPr>
                  </w:pPr>
                  <w:r>
                    <w:rPr>
                      <w:rFonts w:hint="eastAsia"/>
                      <w:b w:val="0"/>
                      <w:color w:val="000000"/>
                      <w:kern w:val="0"/>
                      <w:highlight w:val="none"/>
                    </w:rPr>
                    <w:t>18000</w:t>
                  </w:r>
                </w:p>
              </w:tc>
            </w:tr>
            <w:tr w14:paraId="3DC7F5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5A99A4F1">
                  <w:pPr>
                    <w:autoSpaceDE w:val="0"/>
                    <w:autoSpaceDN w:val="0"/>
                    <w:jc w:val="center"/>
                    <w:rPr>
                      <w:b w:val="0"/>
                      <w:color w:val="000000"/>
                      <w:kern w:val="0"/>
                      <w:highlight w:val="none"/>
                    </w:rPr>
                  </w:pPr>
                  <w:r>
                    <w:rPr>
                      <w:b w:val="0"/>
                      <w:color w:val="000000"/>
                      <w:kern w:val="0"/>
                      <w:highlight w:val="none"/>
                    </w:rPr>
                    <w:t>7</w:t>
                  </w:r>
                </w:p>
              </w:tc>
              <w:tc>
                <w:tcPr>
                  <w:tcW w:w="667" w:type="pct"/>
                  <w:tcBorders>
                    <w:tl2br w:val="nil"/>
                    <w:tr2bl w:val="nil"/>
                  </w:tcBorders>
                  <w:shd w:val="clear" w:color="auto" w:fill="FFFFFF"/>
                  <w:noWrap w:val="0"/>
                  <w:vAlign w:val="center"/>
                </w:tcPr>
                <w:p w14:paraId="2FED076E">
                  <w:pPr>
                    <w:autoSpaceDE w:val="0"/>
                    <w:autoSpaceDN w:val="0"/>
                    <w:jc w:val="center"/>
                    <w:rPr>
                      <w:rFonts w:cs="宋体"/>
                      <w:b w:val="0"/>
                      <w:color w:val="000000"/>
                      <w:kern w:val="0"/>
                      <w:highlight w:val="none"/>
                    </w:rPr>
                  </w:pPr>
                  <w:r>
                    <w:rPr>
                      <w:rFonts w:hint="eastAsia"/>
                      <w:b w:val="0"/>
                      <w:color w:val="000000"/>
                      <w:kern w:val="0"/>
                      <w:highlight w:val="none"/>
                    </w:rPr>
                    <w:t>镍</w:t>
                  </w:r>
                </w:p>
              </w:tc>
              <w:tc>
                <w:tcPr>
                  <w:tcW w:w="391" w:type="pct"/>
                  <w:tcBorders>
                    <w:tl2br w:val="nil"/>
                    <w:tr2bl w:val="nil"/>
                  </w:tcBorders>
                  <w:shd w:val="clear" w:color="auto" w:fill="FFFFFF"/>
                  <w:noWrap w:val="0"/>
                  <w:vAlign w:val="center"/>
                </w:tcPr>
                <w:p w14:paraId="60C66897">
                  <w:pPr>
                    <w:autoSpaceDE w:val="0"/>
                    <w:autoSpaceDN w:val="0"/>
                    <w:jc w:val="center"/>
                    <w:rPr>
                      <w:b w:val="0"/>
                      <w:color w:val="000000"/>
                      <w:kern w:val="0"/>
                      <w:highlight w:val="none"/>
                    </w:rPr>
                  </w:pPr>
                  <w:r>
                    <w:rPr>
                      <w:b w:val="0"/>
                      <w:color w:val="000000"/>
                      <w:kern w:val="0"/>
                      <w:highlight w:val="none"/>
                    </w:rPr>
                    <w:t>mg/kg</w:t>
                  </w:r>
                </w:p>
              </w:tc>
              <w:tc>
                <w:tcPr>
                  <w:tcW w:w="508" w:type="pct"/>
                  <w:tcBorders>
                    <w:tl2br w:val="nil"/>
                    <w:tr2bl w:val="nil"/>
                  </w:tcBorders>
                  <w:shd w:val="clear" w:color="auto" w:fill="FFFFFF"/>
                  <w:noWrap w:val="0"/>
                  <w:vAlign w:val="center"/>
                </w:tcPr>
                <w:p w14:paraId="7548701D">
                  <w:pPr>
                    <w:autoSpaceDE w:val="0"/>
                    <w:autoSpaceDN w:val="0"/>
                    <w:jc w:val="center"/>
                    <w:rPr>
                      <w:b w:val="0"/>
                      <w:color w:val="000000"/>
                      <w:kern w:val="0"/>
                      <w:highlight w:val="none"/>
                    </w:rPr>
                  </w:pPr>
                  <w:r>
                    <w:rPr>
                      <w:b w:val="0"/>
                      <w:color w:val="000000"/>
                      <w:kern w:val="0"/>
                      <w:highlight w:val="none"/>
                    </w:rPr>
                    <w:t>25</w:t>
                  </w:r>
                </w:p>
              </w:tc>
              <w:tc>
                <w:tcPr>
                  <w:tcW w:w="508" w:type="pct"/>
                  <w:tcBorders>
                    <w:tl2br w:val="nil"/>
                    <w:tr2bl w:val="nil"/>
                  </w:tcBorders>
                  <w:shd w:val="clear" w:color="auto" w:fill="FFFFFF"/>
                  <w:noWrap w:val="0"/>
                  <w:vAlign w:val="center"/>
                </w:tcPr>
                <w:p w14:paraId="2E684FC6">
                  <w:pPr>
                    <w:autoSpaceDE w:val="0"/>
                    <w:autoSpaceDN w:val="0"/>
                    <w:jc w:val="center"/>
                    <w:rPr>
                      <w:b w:val="0"/>
                      <w:color w:val="000000"/>
                      <w:kern w:val="0"/>
                      <w:highlight w:val="none"/>
                    </w:rPr>
                  </w:pPr>
                  <w:r>
                    <w:rPr>
                      <w:b w:val="0"/>
                      <w:color w:val="000000"/>
                      <w:kern w:val="0"/>
                      <w:highlight w:val="none"/>
                    </w:rPr>
                    <w:t>26</w:t>
                  </w:r>
                </w:p>
              </w:tc>
              <w:tc>
                <w:tcPr>
                  <w:tcW w:w="509" w:type="pct"/>
                  <w:tcBorders>
                    <w:tl2br w:val="nil"/>
                    <w:tr2bl w:val="nil"/>
                  </w:tcBorders>
                  <w:shd w:val="clear" w:color="auto" w:fill="FFFFFF"/>
                  <w:noWrap w:val="0"/>
                  <w:vAlign w:val="center"/>
                </w:tcPr>
                <w:p w14:paraId="2E579C0E">
                  <w:pPr>
                    <w:autoSpaceDE w:val="0"/>
                    <w:autoSpaceDN w:val="0"/>
                    <w:jc w:val="center"/>
                    <w:rPr>
                      <w:b w:val="0"/>
                      <w:color w:val="000000"/>
                      <w:kern w:val="0"/>
                      <w:highlight w:val="none"/>
                    </w:rPr>
                  </w:pPr>
                  <w:r>
                    <w:rPr>
                      <w:b w:val="0"/>
                      <w:color w:val="000000"/>
                      <w:kern w:val="0"/>
                      <w:highlight w:val="none"/>
                    </w:rPr>
                    <w:t>30</w:t>
                  </w:r>
                </w:p>
              </w:tc>
              <w:tc>
                <w:tcPr>
                  <w:tcW w:w="508" w:type="pct"/>
                  <w:tcBorders>
                    <w:tl2br w:val="nil"/>
                    <w:tr2bl w:val="nil"/>
                  </w:tcBorders>
                  <w:shd w:val="clear" w:color="auto" w:fill="FFFFFF"/>
                  <w:noWrap w:val="0"/>
                  <w:vAlign w:val="center"/>
                </w:tcPr>
                <w:p w14:paraId="5BC4054B">
                  <w:pPr>
                    <w:autoSpaceDE w:val="0"/>
                    <w:autoSpaceDN w:val="0"/>
                    <w:jc w:val="center"/>
                    <w:rPr>
                      <w:b w:val="0"/>
                      <w:color w:val="000000"/>
                      <w:kern w:val="0"/>
                      <w:highlight w:val="none"/>
                    </w:rPr>
                  </w:pPr>
                  <w:r>
                    <w:rPr>
                      <w:b w:val="0"/>
                      <w:color w:val="000000"/>
                      <w:kern w:val="0"/>
                      <w:highlight w:val="none"/>
                    </w:rPr>
                    <w:t>24</w:t>
                  </w:r>
                </w:p>
              </w:tc>
              <w:tc>
                <w:tcPr>
                  <w:tcW w:w="508" w:type="pct"/>
                  <w:tcBorders>
                    <w:tl2br w:val="nil"/>
                    <w:tr2bl w:val="nil"/>
                  </w:tcBorders>
                  <w:shd w:val="clear" w:color="auto" w:fill="FFFFFF"/>
                  <w:noWrap w:val="0"/>
                  <w:vAlign w:val="center"/>
                </w:tcPr>
                <w:p w14:paraId="24B8A030">
                  <w:pPr>
                    <w:autoSpaceDE w:val="0"/>
                    <w:autoSpaceDN w:val="0"/>
                    <w:jc w:val="center"/>
                    <w:rPr>
                      <w:b w:val="0"/>
                      <w:color w:val="000000"/>
                      <w:kern w:val="0"/>
                      <w:highlight w:val="none"/>
                    </w:rPr>
                  </w:pPr>
                  <w:r>
                    <w:rPr>
                      <w:b w:val="0"/>
                      <w:color w:val="000000"/>
                      <w:kern w:val="0"/>
                      <w:highlight w:val="none"/>
                    </w:rPr>
                    <w:t>26</w:t>
                  </w:r>
                </w:p>
              </w:tc>
              <w:tc>
                <w:tcPr>
                  <w:tcW w:w="510" w:type="pct"/>
                  <w:tcBorders>
                    <w:tl2br w:val="nil"/>
                    <w:tr2bl w:val="nil"/>
                  </w:tcBorders>
                  <w:shd w:val="clear" w:color="auto" w:fill="FFFFFF"/>
                  <w:noWrap w:val="0"/>
                  <w:vAlign w:val="center"/>
                </w:tcPr>
                <w:p w14:paraId="2FABED30">
                  <w:pPr>
                    <w:autoSpaceDE w:val="0"/>
                    <w:autoSpaceDN w:val="0"/>
                    <w:jc w:val="center"/>
                    <w:rPr>
                      <w:b w:val="0"/>
                      <w:color w:val="000000"/>
                      <w:kern w:val="0"/>
                      <w:highlight w:val="none"/>
                    </w:rPr>
                  </w:pPr>
                  <w:r>
                    <w:rPr>
                      <w:b w:val="0"/>
                      <w:color w:val="000000"/>
                      <w:kern w:val="0"/>
                      <w:highlight w:val="none"/>
                    </w:rPr>
                    <w:t>35</w:t>
                  </w:r>
                </w:p>
              </w:tc>
              <w:tc>
                <w:tcPr>
                  <w:tcW w:w="616" w:type="pct"/>
                  <w:tcBorders>
                    <w:right w:val="single" w:color="000000" w:sz="4" w:space="0"/>
                    <w:tl2br w:val="nil"/>
                    <w:tr2bl w:val="nil"/>
                  </w:tcBorders>
                  <w:shd w:val="clear" w:color="auto" w:fill="FFFFFF"/>
                  <w:noWrap w:val="0"/>
                  <w:vAlign w:val="center"/>
                </w:tcPr>
                <w:p w14:paraId="77500180">
                  <w:pPr>
                    <w:autoSpaceDE w:val="0"/>
                    <w:autoSpaceDN w:val="0"/>
                    <w:jc w:val="center"/>
                    <w:rPr>
                      <w:rFonts w:cs="宋体"/>
                      <w:b w:val="0"/>
                      <w:color w:val="000000"/>
                      <w:kern w:val="0"/>
                      <w:highlight w:val="none"/>
                    </w:rPr>
                  </w:pPr>
                  <w:r>
                    <w:rPr>
                      <w:rFonts w:hint="eastAsia"/>
                      <w:b w:val="0"/>
                      <w:color w:val="000000"/>
                      <w:kern w:val="0"/>
                      <w:highlight w:val="none"/>
                    </w:rPr>
                    <w:t>900</w:t>
                  </w:r>
                </w:p>
              </w:tc>
            </w:tr>
            <w:tr w14:paraId="3B330E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tl2br w:val="nil"/>
                    <w:tr2bl w:val="nil"/>
                  </w:tcBorders>
                  <w:shd w:val="clear" w:color="auto" w:fill="FFFFFF"/>
                  <w:noWrap w:val="0"/>
                  <w:vAlign w:val="center"/>
                </w:tcPr>
                <w:p w14:paraId="11DEE00F">
                  <w:pPr>
                    <w:autoSpaceDE w:val="0"/>
                    <w:autoSpaceDN w:val="0"/>
                    <w:jc w:val="center"/>
                    <w:rPr>
                      <w:b w:val="0"/>
                      <w:color w:val="000000"/>
                      <w:kern w:val="0"/>
                      <w:highlight w:val="none"/>
                    </w:rPr>
                  </w:pPr>
                  <w:r>
                    <w:rPr>
                      <w:b w:val="0"/>
                      <w:color w:val="000000"/>
                      <w:kern w:val="0"/>
                      <w:highlight w:val="none"/>
                    </w:rPr>
                    <w:t>8</w:t>
                  </w:r>
                </w:p>
              </w:tc>
              <w:tc>
                <w:tcPr>
                  <w:tcW w:w="667" w:type="pct"/>
                  <w:tcBorders>
                    <w:tl2br w:val="nil"/>
                    <w:tr2bl w:val="nil"/>
                  </w:tcBorders>
                  <w:shd w:val="clear" w:color="auto" w:fill="FFFFFF"/>
                  <w:noWrap w:val="0"/>
                  <w:vAlign w:val="center"/>
                </w:tcPr>
                <w:p w14:paraId="33981DF8">
                  <w:pPr>
                    <w:autoSpaceDE w:val="0"/>
                    <w:autoSpaceDN w:val="0"/>
                    <w:jc w:val="center"/>
                    <w:rPr>
                      <w:rFonts w:cs="宋体"/>
                      <w:b w:val="0"/>
                      <w:color w:val="000000"/>
                      <w:kern w:val="0"/>
                      <w:highlight w:val="none"/>
                    </w:rPr>
                  </w:pPr>
                  <w:r>
                    <w:rPr>
                      <w:rFonts w:hint="eastAsia"/>
                      <w:b w:val="0"/>
                      <w:color w:val="000000"/>
                      <w:kern w:val="0"/>
                      <w:highlight w:val="none"/>
                    </w:rPr>
                    <w:t>六价铬</w:t>
                  </w:r>
                </w:p>
              </w:tc>
              <w:tc>
                <w:tcPr>
                  <w:tcW w:w="391" w:type="pct"/>
                  <w:tcBorders>
                    <w:tl2br w:val="nil"/>
                    <w:tr2bl w:val="nil"/>
                  </w:tcBorders>
                  <w:shd w:val="clear" w:color="auto" w:fill="FFFFFF"/>
                  <w:noWrap w:val="0"/>
                  <w:vAlign w:val="center"/>
                </w:tcPr>
                <w:p w14:paraId="1C1F5CD1">
                  <w:pPr>
                    <w:autoSpaceDE w:val="0"/>
                    <w:autoSpaceDN w:val="0"/>
                    <w:jc w:val="center"/>
                    <w:rPr>
                      <w:b w:val="0"/>
                      <w:color w:val="000000"/>
                      <w:kern w:val="0"/>
                      <w:highlight w:val="none"/>
                    </w:rPr>
                  </w:pPr>
                  <w:r>
                    <w:rPr>
                      <w:b w:val="0"/>
                      <w:color w:val="000000"/>
                      <w:kern w:val="0"/>
                      <w:highlight w:val="none"/>
                    </w:rPr>
                    <w:t>mg/kg</w:t>
                  </w:r>
                </w:p>
              </w:tc>
              <w:tc>
                <w:tcPr>
                  <w:tcW w:w="508" w:type="pct"/>
                  <w:tcBorders>
                    <w:tl2br w:val="nil"/>
                    <w:tr2bl w:val="nil"/>
                  </w:tcBorders>
                  <w:shd w:val="clear" w:color="auto" w:fill="FFFFFF"/>
                  <w:noWrap w:val="0"/>
                  <w:vAlign w:val="center"/>
                </w:tcPr>
                <w:p w14:paraId="38EBAC6C">
                  <w:pPr>
                    <w:autoSpaceDE w:val="0"/>
                    <w:autoSpaceDN w:val="0"/>
                    <w:jc w:val="center"/>
                    <w:rPr>
                      <w:b w:val="0"/>
                      <w:color w:val="000000"/>
                      <w:kern w:val="0"/>
                      <w:highlight w:val="none"/>
                    </w:rPr>
                  </w:pPr>
                  <w:r>
                    <w:rPr>
                      <w:b w:val="0"/>
                      <w:color w:val="000000"/>
                      <w:kern w:val="0"/>
                      <w:highlight w:val="none"/>
                    </w:rPr>
                    <w:t>0.5L</w:t>
                  </w:r>
                </w:p>
              </w:tc>
              <w:tc>
                <w:tcPr>
                  <w:tcW w:w="508" w:type="pct"/>
                  <w:tcBorders>
                    <w:tl2br w:val="nil"/>
                    <w:tr2bl w:val="nil"/>
                  </w:tcBorders>
                  <w:shd w:val="clear" w:color="auto" w:fill="FFFFFF"/>
                  <w:noWrap w:val="0"/>
                  <w:vAlign w:val="center"/>
                </w:tcPr>
                <w:p w14:paraId="7BE7D782">
                  <w:pPr>
                    <w:autoSpaceDE w:val="0"/>
                    <w:autoSpaceDN w:val="0"/>
                    <w:jc w:val="center"/>
                    <w:rPr>
                      <w:b w:val="0"/>
                      <w:color w:val="000000"/>
                      <w:kern w:val="0"/>
                      <w:highlight w:val="none"/>
                    </w:rPr>
                  </w:pPr>
                  <w:r>
                    <w:rPr>
                      <w:b w:val="0"/>
                      <w:color w:val="000000"/>
                      <w:kern w:val="0"/>
                      <w:highlight w:val="none"/>
                    </w:rPr>
                    <w:t>0.5L</w:t>
                  </w:r>
                </w:p>
              </w:tc>
              <w:tc>
                <w:tcPr>
                  <w:tcW w:w="509" w:type="pct"/>
                  <w:tcBorders>
                    <w:tl2br w:val="nil"/>
                    <w:tr2bl w:val="nil"/>
                  </w:tcBorders>
                  <w:shd w:val="clear" w:color="auto" w:fill="FFFFFF"/>
                  <w:noWrap w:val="0"/>
                  <w:vAlign w:val="center"/>
                </w:tcPr>
                <w:p w14:paraId="049D3A9C">
                  <w:pPr>
                    <w:autoSpaceDE w:val="0"/>
                    <w:autoSpaceDN w:val="0"/>
                    <w:jc w:val="center"/>
                    <w:rPr>
                      <w:b w:val="0"/>
                      <w:color w:val="000000"/>
                      <w:kern w:val="0"/>
                      <w:highlight w:val="none"/>
                    </w:rPr>
                  </w:pPr>
                  <w:r>
                    <w:rPr>
                      <w:b w:val="0"/>
                      <w:color w:val="000000"/>
                      <w:kern w:val="0"/>
                      <w:highlight w:val="none"/>
                    </w:rPr>
                    <w:t>0.5L</w:t>
                  </w:r>
                </w:p>
              </w:tc>
              <w:tc>
                <w:tcPr>
                  <w:tcW w:w="508" w:type="pct"/>
                  <w:tcBorders>
                    <w:tl2br w:val="nil"/>
                    <w:tr2bl w:val="nil"/>
                  </w:tcBorders>
                  <w:shd w:val="clear" w:color="auto" w:fill="FFFFFF"/>
                  <w:noWrap w:val="0"/>
                  <w:vAlign w:val="center"/>
                </w:tcPr>
                <w:p w14:paraId="58FB68F5">
                  <w:pPr>
                    <w:autoSpaceDE w:val="0"/>
                    <w:autoSpaceDN w:val="0"/>
                    <w:jc w:val="center"/>
                    <w:rPr>
                      <w:b w:val="0"/>
                      <w:color w:val="000000"/>
                      <w:kern w:val="0"/>
                      <w:highlight w:val="none"/>
                    </w:rPr>
                  </w:pPr>
                  <w:r>
                    <w:rPr>
                      <w:b w:val="0"/>
                      <w:color w:val="000000"/>
                      <w:kern w:val="0"/>
                      <w:highlight w:val="none"/>
                    </w:rPr>
                    <w:t>0.5L</w:t>
                  </w:r>
                </w:p>
              </w:tc>
              <w:tc>
                <w:tcPr>
                  <w:tcW w:w="508" w:type="pct"/>
                  <w:tcBorders>
                    <w:tl2br w:val="nil"/>
                    <w:tr2bl w:val="nil"/>
                  </w:tcBorders>
                  <w:shd w:val="clear" w:color="auto" w:fill="FFFFFF"/>
                  <w:noWrap w:val="0"/>
                  <w:vAlign w:val="center"/>
                </w:tcPr>
                <w:p w14:paraId="01B2F87A">
                  <w:pPr>
                    <w:autoSpaceDE w:val="0"/>
                    <w:autoSpaceDN w:val="0"/>
                    <w:jc w:val="center"/>
                    <w:rPr>
                      <w:b w:val="0"/>
                      <w:color w:val="000000"/>
                      <w:kern w:val="0"/>
                      <w:highlight w:val="none"/>
                    </w:rPr>
                  </w:pPr>
                  <w:r>
                    <w:rPr>
                      <w:b w:val="0"/>
                      <w:color w:val="000000"/>
                      <w:kern w:val="0"/>
                      <w:highlight w:val="none"/>
                    </w:rPr>
                    <w:t>0.5L</w:t>
                  </w:r>
                </w:p>
              </w:tc>
              <w:tc>
                <w:tcPr>
                  <w:tcW w:w="510" w:type="pct"/>
                  <w:tcBorders>
                    <w:tl2br w:val="nil"/>
                    <w:tr2bl w:val="nil"/>
                  </w:tcBorders>
                  <w:shd w:val="clear" w:color="auto" w:fill="FFFFFF"/>
                  <w:noWrap w:val="0"/>
                  <w:vAlign w:val="center"/>
                </w:tcPr>
                <w:p w14:paraId="691BB98A">
                  <w:pPr>
                    <w:autoSpaceDE w:val="0"/>
                    <w:autoSpaceDN w:val="0"/>
                    <w:jc w:val="center"/>
                    <w:rPr>
                      <w:b w:val="0"/>
                      <w:color w:val="000000"/>
                      <w:kern w:val="0"/>
                      <w:highlight w:val="none"/>
                    </w:rPr>
                  </w:pPr>
                  <w:r>
                    <w:rPr>
                      <w:b w:val="0"/>
                      <w:color w:val="000000"/>
                      <w:kern w:val="0"/>
                      <w:highlight w:val="none"/>
                    </w:rPr>
                    <w:t>0.5L</w:t>
                  </w:r>
                </w:p>
              </w:tc>
              <w:tc>
                <w:tcPr>
                  <w:tcW w:w="616" w:type="pct"/>
                  <w:tcBorders>
                    <w:right w:val="single" w:color="000000" w:sz="4" w:space="0"/>
                    <w:tl2br w:val="nil"/>
                    <w:tr2bl w:val="nil"/>
                  </w:tcBorders>
                  <w:shd w:val="clear" w:color="auto" w:fill="FFFFFF"/>
                  <w:noWrap w:val="0"/>
                  <w:vAlign w:val="center"/>
                </w:tcPr>
                <w:p w14:paraId="360BE483">
                  <w:pPr>
                    <w:autoSpaceDE w:val="0"/>
                    <w:autoSpaceDN w:val="0"/>
                    <w:jc w:val="center"/>
                    <w:rPr>
                      <w:rFonts w:cs="宋体"/>
                      <w:b w:val="0"/>
                      <w:color w:val="000000"/>
                      <w:kern w:val="0"/>
                      <w:highlight w:val="none"/>
                    </w:rPr>
                  </w:pPr>
                  <w:r>
                    <w:rPr>
                      <w:rFonts w:hint="eastAsia"/>
                      <w:b w:val="0"/>
                      <w:color w:val="000000"/>
                      <w:kern w:val="0"/>
                      <w:highlight w:val="none"/>
                    </w:rPr>
                    <w:t>5.7</w:t>
                  </w:r>
                </w:p>
              </w:tc>
            </w:tr>
            <w:tr w14:paraId="2F457B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70" w:type="pct"/>
                  <w:tcBorders>
                    <w:left w:val="single" w:color="000000" w:sz="4" w:space="0"/>
                    <w:bottom w:val="single" w:color="000000" w:sz="4" w:space="0"/>
                    <w:tl2br w:val="nil"/>
                    <w:tr2bl w:val="nil"/>
                  </w:tcBorders>
                  <w:shd w:val="clear" w:color="auto" w:fill="FFFFFF"/>
                  <w:noWrap w:val="0"/>
                  <w:vAlign w:val="center"/>
                </w:tcPr>
                <w:p w14:paraId="4388F231">
                  <w:pPr>
                    <w:autoSpaceDE w:val="0"/>
                    <w:autoSpaceDN w:val="0"/>
                    <w:jc w:val="center"/>
                    <w:rPr>
                      <w:b w:val="0"/>
                      <w:color w:val="000000"/>
                      <w:kern w:val="0"/>
                      <w:highlight w:val="none"/>
                    </w:rPr>
                  </w:pPr>
                  <w:r>
                    <w:rPr>
                      <w:b w:val="0"/>
                      <w:color w:val="000000"/>
                      <w:kern w:val="0"/>
                      <w:highlight w:val="none"/>
                    </w:rPr>
                    <w:t>9</w:t>
                  </w:r>
                </w:p>
              </w:tc>
              <w:tc>
                <w:tcPr>
                  <w:tcW w:w="667" w:type="pct"/>
                  <w:tcBorders>
                    <w:bottom w:val="single" w:color="000000" w:sz="4" w:space="0"/>
                    <w:tl2br w:val="nil"/>
                    <w:tr2bl w:val="nil"/>
                  </w:tcBorders>
                  <w:shd w:val="clear" w:color="auto" w:fill="FFFFFF"/>
                  <w:noWrap w:val="0"/>
                  <w:vAlign w:val="center"/>
                </w:tcPr>
                <w:p w14:paraId="2FFD87AD">
                  <w:pPr>
                    <w:autoSpaceDE w:val="0"/>
                    <w:autoSpaceDN w:val="0"/>
                    <w:jc w:val="center"/>
                    <w:rPr>
                      <w:rFonts w:cs="宋体"/>
                      <w:b w:val="0"/>
                      <w:color w:val="000000"/>
                      <w:kern w:val="0"/>
                      <w:highlight w:val="none"/>
                    </w:rPr>
                  </w:pPr>
                  <w:r>
                    <w:rPr>
                      <w:rFonts w:hint="eastAsia"/>
                      <w:b w:val="0"/>
                      <w:color w:val="000000"/>
                      <w:kern w:val="0"/>
                      <w:highlight w:val="none"/>
                    </w:rPr>
                    <w:t>石油烃（</w:t>
                  </w:r>
                  <w:r>
                    <w:rPr>
                      <w:b w:val="0"/>
                      <w:color w:val="000000"/>
                      <w:kern w:val="0"/>
                      <w:highlight w:val="none"/>
                    </w:rPr>
                    <w:t>C</w:t>
                  </w:r>
                  <w:r>
                    <w:rPr>
                      <w:b w:val="0"/>
                      <w:bCs/>
                      <w:color w:val="000000"/>
                      <w:kern w:val="0"/>
                      <w:highlight w:val="none"/>
                      <w:vertAlign w:val="subscript"/>
                    </w:rPr>
                    <w:t>10</w:t>
                  </w:r>
                  <w:r>
                    <w:rPr>
                      <w:b w:val="0"/>
                      <w:color w:val="000000"/>
                      <w:kern w:val="0"/>
                      <w:highlight w:val="none"/>
                    </w:rPr>
                    <w:t>~C</w:t>
                  </w:r>
                  <w:r>
                    <w:rPr>
                      <w:b w:val="0"/>
                      <w:bCs/>
                      <w:color w:val="000000"/>
                      <w:kern w:val="0"/>
                      <w:highlight w:val="none"/>
                      <w:vertAlign w:val="subscript"/>
                    </w:rPr>
                    <w:t>40</w:t>
                  </w:r>
                  <w:r>
                    <w:rPr>
                      <w:rFonts w:hint="eastAsia"/>
                      <w:b w:val="0"/>
                      <w:color w:val="000000"/>
                      <w:kern w:val="0"/>
                      <w:highlight w:val="none"/>
                    </w:rPr>
                    <w:t>）</w:t>
                  </w:r>
                </w:p>
              </w:tc>
              <w:tc>
                <w:tcPr>
                  <w:tcW w:w="391" w:type="pct"/>
                  <w:tcBorders>
                    <w:bottom w:val="single" w:color="000000" w:sz="4" w:space="0"/>
                    <w:tl2br w:val="nil"/>
                    <w:tr2bl w:val="nil"/>
                  </w:tcBorders>
                  <w:shd w:val="clear" w:color="auto" w:fill="FFFFFF"/>
                  <w:noWrap w:val="0"/>
                  <w:vAlign w:val="center"/>
                </w:tcPr>
                <w:p w14:paraId="0A85F820">
                  <w:pPr>
                    <w:autoSpaceDE w:val="0"/>
                    <w:autoSpaceDN w:val="0"/>
                    <w:jc w:val="center"/>
                    <w:rPr>
                      <w:b w:val="0"/>
                      <w:color w:val="000000"/>
                      <w:kern w:val="0"/>
                      <w:highlight w:val="none"/>
                    </w:rPr>
                  </w:pPr>
                  <w:r>
                    <w:rPr>
                      <w:b w:val="0"/>
                      <w:color w:val="000000"/>
                      <w:kern w:val="0"/>
                      <w:highlight w:val="none"/>
                    </w:rPr>
                    <w:t>mg/kg</w:t>
                  </w:r>
                </w:p>
              </w:tc>
              <w:tc>
                <w:tcPr>
                  <w:tcW w:w="508" w:type="pct"/>
                  <w:tcBorders>
                    <w:bottom w:val="single" w:color="000000" w:sz="4" w:space="0"/>
                    <w:tl2br w:val="nil"/>
                    <w:tr2bl w:val="nil"/>
                  </w:tcBorders>
                  <w:shd w:val="clear" w:color="auto" w:fill="FFFFFF"/>
                  <w:noWrap w:val="0"/>
                  <w:vAlign w:val="center"/>
                </w:tcPr>
                <w:p w14:paraId="6AF84FF3">
                  <w:pPr>
                    <w:autoSpaceDE w:val="0"/>
                    <w:autoSpaceDN w:val="0"/>
                    <w:jc w:val="center"/>
                    <w:rPr>
                      <w:b w:val="0"/>
                      <w:color w:val="000000"/>
                      <w:kern w:val="0"/>
                      <w:highlight w:val="none"/>
                    </w:rPr>
                  </w:pPr>
                  <w:r>
                    <w:rPr>
                      <w:b w:val="0"/>
                      <w:color w:val="000000"/>
                      <w:kern w:val="0"/>
                      <w:highlight w:val="none"/>
                    </w:rPr>
                    <w:t>6L</w:t>
                  </w:r>
                </w:p>
              </w:tc>
              <w:tc>
                <w:tcPr>
                  <w:tcW w:w="508" w:type="pct"/>
                  <w:tcBorders>
                    <w:bottom w:val="single" w:color="000000" w:sz="4" w:space="0"/>
                    <w:tl2br w:val="nil"/>
                    <w:tr2bl w:val="nil"/>
                  </w:tcBorders>
                  <w:shd w:val="clear" w:color="auto" w:fill="FFFFFF"/>
                  <w:noWrap w:val="0"/>
                  <w:vAlign w:val="center"/>
                </w:tcPr>
                <w:p w14:paraId="4C0D9CB0">
                  <w:pPr>
                    <w:autoSpaceDE w:val="0"/>
                    <w:autoSpaceDN w:val="0"/>
                    <w:jc w:val="center"/>
                    <w:rPr>
                      <w:b w:val="0"/>
                      <w:color w:val="000000"/>
                      <w:kern w:val="0"/>
                      <w:highlight w:val="none"/>
                    </w:rPr>
                  </w:pPr>
                  <w:r>
                    <w:rPr>
                      <w:b w:val="0"/>
                      <w:color w:val="000000"/>
                      <w:kern w:val="0"/>
                      <w:highlight w:val="none"/>
                    </w:rPr>
                    <w:t>6L</w:t>
                  </w:r>
                </w:p>
              </w:tc>
              <w:tc>
                <w:tcPr>
                  <w:tcW w:w="509" w:type="pct"/>
                  <w:tcBorders>
                    <w:bottom w:val="single" w:color="000000" w:sz="4" w:space="0"/>
                    <w:tl2br w:val="nil"/>
                    <w:tr2bl w:val="nil"/>
                  </w:tcBorders>
                  <w:shd w:val="clear" w:color="auto" w:fill="FFFFFF"/>
                  <w:noWrap w:val="0"/>
                  <w:vAlign w:val="center"/>
                </w:tcPr>
                <w:p w14:paraId="70022B44">
                  <w:pPr>
                    <w:autoSpaceDE w:val="0"/>
                    <w:autoSpaceDN w:val="0"/>
                    <w:jc w:val="center"/>
                    <w:rPr>
                      <w:b w:val="0"/>
                      <w:color w:val="000000"/>
                      <w:kern w:val="0"/>
                      <w:highlight w:val="none"/>
                    </w:rPr>
                  </w:pPr>
                  <w:r>
                    <w:rPr>
                      <w:b w:val="0"/>
                      <w:color w:val="000000"/>
                      <w:kern w:val="0"/>
                      <w:highlight w:val="none"/>
                    </w:rPr>
                    <w:t>6L</w:t>
                  </w:r>
                </w:p>
              </w:tc>
              <w:tc>
                <w:tcPr>
                  <w:tcW w:w="508" w:type="pct"/>
                  <w:tcBorders>
                    <w:bottom w:val="single" w:color="000000" w:sz="4" w:space="0"/>
                    <w:tl2br w:val="nil"/>
                    <w:tr2bl w:val="nil"/>
                  </w:tcBorders>
                  <w:shd w:val="clear" w:color="auto" w:fill="FFFFFF"/>
                  <w:noWrap w:val="0"/>
                  <w:vAlign w:val="center"/>
                </w:tcPr>
                <w:p w14:paraId="524337F0">
                  <w:pPr>
                    <w:autoSpaceDE w:val="0"/>
                    <w:autoSpaceDN w:val="0"/>
                    <w:jc w:val="center"/>
                    <w:rPr>
                      <w:b w:val="0"/>
                      <w:color w:val="000000"/>
                      <w:kern w:val="0"/>
                      <w:highlight w:val="none"/>
                    </w:rPr>
                  </w:pPr>
                  <w:r>
                    <w:rPr>
                      <w:b w:val="0"/>
                      <w:color w:val="000000"/>
                      <w:kern w:val="0"/>
                      <w:highlight w:val="none"/>
                    </w:rPr>
                    <w:t>6L</w:t>
                  </w:r>
                </w:p>
              </w:tc>
              <w:tc>
                <w:tcPr>
                  <w:tcW w:w="508" w:type="pct"/>
                  <w:tcBorders>
                    <w:bottom w:val="single" w:color="000000" w:sz="4" w:space="0"/>
                    <w:tl2br w:val="nil"/>
                    <w:tr2bl w:val="nil"/>
                  </w:tcBorders>
                  <w:shd w:val="clear" w:color="auto" w:fill="FFFFFF"/>
                  <w:noWrap w:val="0"/>
                  <w:vAlign w:val="center"/>
                </w:tcPr>
                <w:p w14:paraId="7AD59078">
                  <w:pPr>
                    <w:autoSpaceDE w:val="0"/>
                    <w:autoSpaceDN w:val="0"/>
                    <w:jc w:val="center"/>
                    <w:rPr>
                      <w:b w:val="0"/>
                      <w:color w:val="000000"/>
                      <w:kern w:val="0"/>
                      <w:highlight w:val="none"/>
                    </w:rPr>
                  </w:pPr>
                  <w:r>
                    <w:rPr>
                      <w:b w:val="0"/>
                      <w:color w:val="000000"/>
                      <w:kern w:val="0"/>
                      <w:highlight w:val="none"/>
                    </w:rPr>
                    <w:t>6L</w:t>
                  </w:r>
                </w:p>
              </w:tc>
              <w:tc>
                <w:tcPr>
                  <w:tcW w:w="510" w:type="pct"/>
                  <w:tcBorders>
                    <w:bottom w:val="single" w:color="000000" w:sz="4" w:space="0"/>
                    <w:tl2br w:val="nil"/>
                    <w:tr2bl w:val="nil"/>
                  </w:tcBorders>
                  <w:shd w:val="clear" w:color="auto" w:fill="FFFFFF"/>
                  <w:noWrap w:val="0"/>
                  <w:vAlign w:val="center"/>
                </w:tcPr>
                <w:p w14:paraId="6A9B8313">
                  <w:pPr>
                    <w:autoSpaceDE w:val="0"/>
                    <w:autoSpaceDN w:val="0"/>
                    <w:jc w:val="center"/>
                    <w:rPr>
                      <w:b w:val="0"/>
                      <w:color w:val="000000"/>
                      <w:kern w:val="0"/>
                      <w:highlight w:val="none"/>
                    </w:rPr>
                  </w:pPr>
                  <w:r>
                    <w:rPr>
                      <w:b w:val="0"/>
                      <w:color w:val="000000"/>
                      <w:kern w:val="0"/>
                      <w:highlight w:val="none"/>
                    </w:rPr>
                    <w:t>6L</w:t>
                  </w:r>
                </w:p>
              </w:tc>
              <w:tc>
                <w:tcPr>
                  <w:tcW w:w="616" w:type="pct"/>
                  <w:tcBorders>
                    <w:bottom w:val="single" w:color="000000" w:sz="4" w:space="0"/>
                    <w:right w:val="single" w:color="000000" w:sz="4" w:space="0"/>
                    <w:tl2br w:val="nil"/>
                    <w:tr2bl w:val="nil"/>
                  </w:tcBorders>
                  <w:shd w:val="clear" w:color="auto" w:fill="FFFFFF"/>
                  <w:noWrap w:val="0"/>
                  <w:vAlign w:val="center"/>
                </w:tcPr>
                <w:p w14:paraId="3B6E49B9">
                  <w:pPr>
                    <w:autoSpaceDE w:val="0"/>
                    <w:autoSpaceDN w:val="0"/>
                    <w:jc w:val="center"/>
                    <w:rPr>
                      <w:rFonts w:cs="宋体"/>
                      <w:b w:val="0"/>
                      <w:color w:val="000000"/>
                      <w:kern w:val="0"/>
                      <w:highlight w:val="none"/>
                    </w:rPr>
                  </w:pPr>
                  <w:r>
                    <w:rPr>
                      <w:rFonts w:hint="eastAsia"/>
                      <w:b w:val="0"/>
                      <w:color w:val="000000"/>
                      <w:kern w:val="0"/>
                      <w:highlight w:val="none"/>
                    </w:rPr>
                    <w:t>4500</w:t>
                  </w:r>
                </w:p>
              </w:tc>
            </w:tr>
          </w:tbl>
          <w:p w14:paraId="384AC367">
            <w:pPr>
              <w:spacing w:line="91" w:lineRule="exact"/>
              <w:rPr>
                <w:color w:val="000000"/>
                <w:highlight w:val="none"/>
              </w:rPr>
            </w:pPr>
          </w:p>
          <w:p w14:paraId="65217145">
            <w:pPr>
              <w:pStyle w:val="23"/>
              <w:bidi w:val="0"/>
              <w:rPr>
                <w:rFonts w:hint="eastAsia"/>
                <w:lang w:eastAsia="zh-CN"/>
              </w:rPr>
            </w:pPr>
            <w:r>
              <w:t>表</w:t>
            </w:r>
            <w:r>
              <w:fldChar w:fldCharType="begin"/>
            </w:r>
            <w:r>
              <w:instrText xml:space="preserve"> STYLEREF 1 \s \* ARABIC </w:instrText>
            </w:r>
            <w:r>
              <w:fldChar w:fldCharType="separate"/>
            </w:r>
            <w:r>
              <w:t>3</w:t>
            </w:r>
            <w:r>
              <w:fldChar w:fldCharType="end"/>
            </w:r>
            <w:r>
              <w:rPr>
                <w:rFonts w:hint="eastAsia"/>
                <w:lang w:val="en-US" w:eastAsia="zh-CN"/>
              </w:rPr>
              <w:t xml:space="preserve">-8 </w:t>
            </w:r>
            <w:r>
              <w:rPr>
                <w:rFonts w:hint="eastAsia"/>
                <w:lang w:eastAsia="zh-CN"/>
              </w:rPr>
              <w:t>土壤监测结果及评价结果一览表（</w:t>
            </w:r>
            <w:r>
              <w:rPr>
                <w:rFonts w:hint="eastAsia"/>
                <w:lang w:val="en-US" w:eastAsia="zh-CN"/>
              </w:rPr>
              <w:t>11</w:t>
            </w:r>
            <w:r>
              <w:rPr>
                <w:rFonts w:hint="eastAsia"/>
                <w:lang w:eastAsia="zh-CN"/>
              </w:rPr>
              <w:t>#）</w:t>
            </w:r>
          </w:p>
          <w:tbl>
            <w:tblPr>
              <w:tblStyle w:val="15"/>
              <w:tblW w:w="850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75"/>
              <w:gridCol w:w="1431"/>
              <w:gridCol w:w="1179"/>
              <w:gridCol w:w="1181"/>
              <w:gridCol w:w="1180"/>
              <w:gridCol w:w="1180"/>
              <w:gridCol w:w="1179"/>
            </w:tblGrid>
            <w:tr w14:paraId="500D42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69"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F1E8335">
                  <w:pPr>
                    <w:jc w:val="center"/>
                    <w:rPr>
                      <w:rFonts w:ascii="宋体" w:hAnsi="宋体" w:cs="宋体"/>
                      <w:b w:val="0"/>
                      <w:color w:val="000000"/>
                      <w:kern w:val="0"/>
                      <w:highlight w:val="none"/>
                    </w:rPr>
                  </w:pPr>
                  <w:r>
                    <w:rPr>
                      <w:rFonts w:hint="eastAsia" w:ascii="宋体" w:hAnsi="宋体" w:cs="宋体"/>
                      <w:b w:val="0"/>
                      <w:color w:val="000000"/>
                      <w:kern w:val="0"/>
                      <w:highlight w:val="none"/>
                    </w:rPr>
                    <w:t>序号</w:t>
                  </w:r>
                </w:p>
              </w:tc>
              <w:tc>
                <w:tcPr>
                  <w:tcW w:w="1122"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B1E1E45">
                  <w:pPr>
                    <w:jc w:val="center"/>
                    <w:rPr>
                      <w:rFonts w:ascii="宋体" w:hAnsi="宋体" w:cs="宋体"/>
                      <w:b w:val="0"/>
                      <w:color w:val="000000"/>
                      <w:kern w:val="0"/>
                      <w:highlight w:val="none"/>
                    </w:rPr>
                  </w:pPr>
                  <w:r>
                    <w:rPr>
                      <w:rFonts w:hint="eastAsia" w:ascii="宋体" w:hAnsi="宋体" w:cs="宋体"/>
                      <w:b w:val="0"/>
                      <w:color w:val="000000"/>
                      <w:kern w:val="0"/>
                      <w:highlight w:val="none"/>
                    </w:rPr>
                    <w:t>污染物项目</w:t>
                  </w:r>
                </w:p>
              </w:tc>
              <w:tc>
                <w:tcPr>
                  <w:tcW w:w="1073"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0E74875">
                  <w:pPr>
                    <w:jc w:val="center"/>
                    <w:rPr>
                      <w:rFonts w:ascii="宋体" w:hAnsi="宋体" w:cs="宋体"/>
                      <w:b w:val="0"/>
                      <w:color w:val="000000"/>
                      <w:kern w:val="0"/>
                      <w:highlight w:val="none"/>
                    </w:rPr>
                  </w:pPr>
                  <w:r>
                    <w:rPr>
                      <w:rFonts w:hint="eastAsia" w:ascii="宋体" w:hAnsi="宋体" w:cs="宋体"/>
                      <w:b w:val="0"/>
                      <w:color w:val="000000"/>
                      <w:kern w:val="0"/>
                      <w:highlight w:val="none"/>
                    </w:rPr>
                    <w:t>单位</w:t>
                  </w:r>
                </w:p>
              </w:tc>
              <w:tc>
                <w:tcPr>
                  <w:tcW w:w="3223" w:type="dxa"/>
                  <w:gridSpan w:val="3"/>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2514FA1">
                  <w:pPr>
                    <w:jc w:val="center"/>
                    <w:rPr>
                      <w:rFonts w:ascii="宋体" w:hAnsi="宋体" w:cs="宋体"/>
                      <w:b w:val="0"/>
                      <w:color w:val="000000"/>
                      <w:kern w:val="0"/>
                      <w:highlight w:val="none"/>
                    </w:rPr>
                  </w:pPr>
                  <w:r>
                    <w:rPr>
                      <w:rFonts w:hint="eastAsia" w:ascii="宋体" w:hAnsi="宋体" w:cs="宋体"/>
                      <w:b w:val="0"/>
                      <w:color w:val="000000"/>
                      <w:kern w:val="0"/>
                      <w:highlight w:val="none"/>
                    </w:rPr>
                    <w:t>监测值</w:t>
                  </w:r>
                </w:p>
              </w:tc>
              <w:tc>
                <w:tcPr>
                  <w:tcW w:w="1073"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94A1EA0">
                  <w:pPr>
                    <w:jc w:val="center"/>
                    <w:rPr>
                      <w:rFonts w:ascii="宋体" w:hAnsi="宋体" w:cs="宋体"/>
                      <w:b w:val="0"/>
                      <w:color w:val="000000"/>
                      <w:kern w:val="0"/>
                      <w:highlight w:val="none"/>
                    </w:rPr>
                  </w:pPr>
                  <w:r>
                    <w:rPr>
                      <w:rFonts w:hint="eastAsia" w:ascii="宋体" w:hAnsi="宋体" w:cs="宋体"/>
                      <w:b w:val="0"/>
                      <w:color w:val="000000"/>
                      <w:kern w:val="0"/>
                      <w:highlight w:val="none"/>
                    </w:rPr>
                    <w:t>第二类用地筛选值</w:t>
                  </w:r>
                </w:p>
              </w:tc>
            </w:tr>
            <w:tr w14:paraId="560C13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69"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905FC15">
                  <w:pPr>
                    <w:jc w:val="center"/>
                    <w:rPr>
                      <w:rFonts w:ascii="宋体" w:hAnsi="宋体" w:cs="宋体"/>
                      <w:b w:val="0"/>
                      <w:color w:val="000000"/>
                      <w:kern w:val="0"/>
                      <w:highlight w:val="none"/>
                    </w:rPr>
                  </w:pPr>
                </w:p>
              </w:tc>
              <w:tc>
                <w:tcPr>
                  <w:tcW w:w="1122"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674A312">
                  <w:pPr>
                    <w:jc w:val="center"/>
                    <w:rPr>
                      <w:rFonts w:ascii="宋体" w:hAnsi="宋体" w:cs="宋体"/>
                      <w:b w:val="0"/>
                      <w:color w:val="000000"/>
                      <w:kern w:val="0"/>
                      <w:highlight w:val="none"/>
                    </w:rPr>
                  </w:pPr>
                </w:p>
              </w:tc>
              <w:tc>
                <w:tcPr>
                  <w:tcW w:w="10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339A15D">
                  <w:pPr>
                    <w:jc w:val="center"/>
                    <w:rPr>
                      <w:rFonts w:ascii="宋体" w:hAnsi="宋体" w:cs="宋体"/>
                      <w:b w:val="0"/>
                      <w:color w:val="000000"/>
                      <w:kern w:val="0"/>
                      <w:highlight w:val="none"/>
                    </w:rPr>
                  </w:pPr>
                </w:p>
              </w:tc>
              <w:tc>
                <w:tcPr>
                  <w:tcW w:w="3223" w:type="dxa"/>
                  <w:gridSpan w:val="3"/>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21A1E78">
                  <w:pPr>
                    <w:jc w:val="center"/>
                    <w:rPr>
                      <w:b w:val="0"/>
                      <w:color w:val="000000"/>
                      <w:kern w:val="0"/>
                      <w:highlight w:val="none"/>
                    </w:rPr>
                  </w:pPr>
                  <w:r>
                    <w:rPr>
                      <w:b w:val="0"/>
                      <w:color w:val="000000"/>
                      <w:kern w:val="0"/>
                      <w:highlight w:val="none"/>
                    </w:rPr>
                    <w:t>1</w:t>
                  </w:r>
                  <w:r>
                    <w:rPr>
                      <w:rFonts w:hint="eastAsia"/>
                      <w:b w:val="0"/>
                      <w:color w:val="000000"/>
                      <w:kern w:val="0"/>
                      <w:highlight w:val="none"/>
                      <w:lang w:val="en-US" w:eastAsia="zh-CN"/>
                    </w:rPr>
                    <w:t>1</w:t>
                  </w:r>
                  <w:r>
                    <w:rPr>
                      <w:b w:val="0"/>
                      <w:color w:val="000000"/>
                      <w:kern w:val="0"/>
                      <w:highlight w:val="none"/>
                    </w:rPr>
                    <w:t>#</w:t>
                  </w:r>
                </w:p>
              </w:tc>
              <w:tc>
                <w:tcPr>
                  <w:tcW w:w="10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AB9F8F4">
                  <w:pPr>
                    <w:jc w:val="center"/>
                    <w:rPr>
                      <w:rFonts w:ascii="宋体" w:hAnsi="宋体" w:cs="宋体"/>
                      <w:b w:val="0"/>
                      <w:color w:val="000000"/>
                      <w:kern w:val="0"/>
                      <w:highlight w:val="none"/>
                    </w:rPr>
                  </w:pPr>
                </w:p>
              </w:tc>
            </w:tr>
            <w:tr w14:paraId="41A8F4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69"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7CFC41B">
                  <w:pPr>
                    <w:jc w:val="center"/>
                    <w:rPr>
                      <w:rFonts w:ascii="宋体" w:hAnsi="宋体" w:cs="宋体"/>
                      <w:b w:val="0"/>
                      <w:color w:val="000000"/>
                      <w:kern w:val="0"/>
                      <w:highlight w:val="none"/>
                    </w:rPr>
                  </w:pPr>
                </w:p>
              </w:tc>
              <w:tc>
                <w:tcPr>
                  <w:tcW w:w="1122"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529D69C">
                  <w:pPr>
                    <w:jc w:val="center"/>
                    <w:rPr>
                      <w:rFonts w:ascii="宋体" w:hAnsi="宋体" w:cs="宋体"/>
                      <w:b w:val="0"/>
                      <w:color w:val="000000"/>
                      <w:kern w:val="0"/>
                      <w:highlight w:val="none"/>
                    </w:rPr>
                  </w:pP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5CF2238">
                  <w:pPr>
                    <w:jc w:val="center"/>
                    <w:rPr>
                      <w:rFonts w:ascii="宋体" w:hAnsi="宋体" w:cs="宋体"/>
                      <w:b w:val="0"/>
                      <w:color w:val="000000"/>
                      <w:kern w:val="0"/>
                      <w:highlight w:val="none"/>
                    </w:rPr>
                  </w:pPr>
                  <w:r>
                    <w:rPr>
                      <w:rFonts w:hint="eastAsia" w:ascii="宋体" w:hAnsi="宋体" w:cs="宋体"/>
                      <w:b w:val="0"/>
                      <w:color w:val="000000"/>
                      <w:kern w:val="0"/>
                      <w:highlight w:val="none"/>
                    </w:rPr>
                    <w:t>层位</w:t>
                  </w:r>
                </w:p>
              </w:tc>
              <w:tc>
                <w:tcPr>
                  <w:tcW w:w="1075"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46472A0">
                  <w:pPr>
                    <w:jc w:val="center"/>
                    <w:rPr>
                      <w:b w:val="0"/>
                      <w:color w:val="000000"/>
                      <w:kern w:val="0"/>
                      <w:highlight w:val="none"/>
                    </w:rPr>
                  </w:pPr>
                  <w:r>
                    <w:rPr>
                      <w:b w:val="0"/>
                      <w:color w:val="000000"/>
                      <w:kern w:val="0"/>
                      <w:highlight w:val="none"/>
                    </w:rPr>
                    <w:t>0~0.5m</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DE6F731">
                  <w:pPr>
                    <w:jc w:val="center"/>
                    <w:rPr>
                      <w:b w:val="0"/>
                      <w:color w:val="000000"/>
                      <w:kern w:val="0"/>
                      <w:highlight w:val="none"/>
                    </w:rPr>
                  </w:pPr>
                  <w:r>
                    <w:rPr>
                      <w:b w:val="0"/>
                      <w:color w:val="000000"/>
                      <w:kern w:val="0"/>
                      <w:highlight w:val="none"/>
                    </w:rPr>
                    <w:t>0.5~ 1.5m</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F308CC4">
                  <w:pPr>
                    <w:jc w:val="center"/>
                    <w:rPr>
                      <w:b w:val="0"/>
                      <w:color w:val="000000"/>
                      <w:kern w:val="0"/>
                      <w:highlight w:val="none"/>
                    </w:rPr>
                  </w:pPr>
                  <w:r>
                    <w:rPr>
                      <w:b w:val="0"/>
                      <w:color w:val="000000"/>
                      <w:kern w:val="0"/>
                      <w:highlight w:val="none"/>
                    </w:rPr>
                    <w:t>1.5</w:t>
                  </w:r>
                  <w:r>
                    <w:rPr>
                      <w:rFonts w:hint="eastAsia" w:ascii="宋体" w:hAnsi="宋体"/>
                      <w:b w:val="0"/>
                      <w:color w:val="000000"/>
                      <w:kern w:val="0"/>
                      <w:highlight w:val="none"/>
                    </w:rPr>
                    <w:t>～</w:t>
                  </w:r>
                  <w:r>
                    <w:rPr>
                      <w:b w:val="0"/>
                      <w:color w:val="000000"/>
                      <w:kern w:val="0"/>
                      <w:highlight w:val="none"/>
                    </w:rPr>
                    <w:t>3m</w:t>
                  </w:r>
                </w:p>
              </w:tc>
              <w:tc>
                <w:tcPr>
                  <w:tcW w:w="1073"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2B8DFE7">
                  <w:pPr>
                    <w:jc w:val="center"/>
                    <w:rPr>
                      <w:rFonts w:ascii="宋体" w:hAnsi="宋体" w:cs="宋体"/>
                      <w:b w:val="0"/>
                      <w:color w:val="000000"/>
                      <w:kern w:val="0"/>
                      <w:highlight w:val="none"/>
                    </w:rPr>
                  </w:pPr>
                </w:p>
              </w:tc>
            </w:tr>
            <w:tr w14:paraId="30598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69"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BBAC3F7">
                  <w:pPr>
                    <w:jc w:val="center"/>
                    <w:rPr>
                      <w:b w:val="0"/>
                      <w:color w:val="000000"/>
                      <w:kern w:val="0"/>
                      <w:highlight w:val="none"/>
                    </w:rPr>
                  </w:pPr>
                  <w:r>
                    <w:rPr>
                      <w:b w:val="0"/>
                      <w:color w:val="000000"/>
                      <w:kern w:val="0"/>
                      <w:highlight w:val="none"/>
                    </w:rPr>
                    <w:t>1</w:t>
                  </w:r>
                </w:p>
              </w:tc>
              <w:tc>
                <w:tcPr>
                  <w:tcW w:w="112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D3FDC26">
                  <w:pPr>
                    <w:jc w:val="center"/>
                    <w:rPr>
                      <w:b w:val="0"/>
                      <w:color w:val="000000"/>
                      <w:kern w:val="0"/>
                      <w:highlight w:val="none"/>
                    </w:rPr>
                  </w:pPr>
                  <w:r>
                    <w:rPr>
                      <w:b w:val="0"/>
                      <w:color w:val="000000"/>
                      <w:kern w:val="0"/>
                      <w:highlight w:val="none"/>
                    </w:rPr>
                    <w:t>pH</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61037AB">
                  <w:pPr>
                    <w:jc w:val="center"/>
                    <w:rPr>
                      <w:rFonts w:ascii="宋体" w:hAnsi="宋体" w:cs="宋体"/>
                      <w:b w:val="0"/>
                      <w:color w:val="000000"/>
                      <w:kern w:val="0"/>
                      <w:highlight w:val="none"/>
                    </w:rPr>
                  </w:pPr>
                  <w:r>
                    <w:rPr>
                      <w:rFonts w:hint="eastAsia" w:ascii="宋体" w:hAnsi="宋体" w:cs="宋体"/>
                      <w:b w:val="0"/>
                      <w:color w:val="000000"/>
                      <w:kern w:val="0"/>
                      <w:highlight w:val="none"/>
                    </w:rPr>
                    <w:t>无量纲</w:t>
                  </w:r>
                </w:p>
              </w:tc>
              <w:tc>
                <w:tcPr>
                  <w:tcW w:w="1075"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6944D2D">
                  <w:pPr>
                    <w:jc w:val="center"/>
                    <w:rPr>
                      <w:b w:val="0"/>
                      <w:color w:val="000000"/>
                      <w:kern w:val="0"/>
                      <w:highlight w:val="none"/>
                    </w:rPr>
                  </w:pPr>
                  <w:r>
                    <w:rPr>
                      <w:b w:val="0"/>
                      <w:color w:val="000000"/>
                      <w:kern w:val="0"/>
                      <w:highlight w:val="none"/>
                    </w:rPr>
                    <w:t>7.9</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ACBF01A">
                  <w:pPr>
                    <w:jc w:val="center"/>
                    <w:rPr>
                      <w:b w:val="0"/>
                      <w:color w:val="000000"/>
                      <w:kern w:val="0"/>
                      <w:highlight w:val="none"/>
                    </w:rPr>
                  </w:pPr>
                  <w:r>
                    <w:rPr>
                      <w:b w:val="0"/>
                      <w:color w:val="000000"/>
                      <w:kern w:val="0"/>
                      <w:highlight w:val="none"/>
                    </w:rPr>
                    <w:t>8.3</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696B429">
                  <w:pPr>
                    <w:jc w:val="center"/>
                    <w:rPr>
                      <w:b w:val="0"/>
                      <w:color w:val="000000"/>
                      <w:kern w:val="0"/>
                      <w:highlight w:val="none"/>
                    </w:rPr>
                  </w:pPr>
                  <w:r>
                    <w:rPr>
                      <w:b w:val="0"/>
                      <w:color w:val="000000"/>
                      <w:kern w:val="0"/>
                      <w:highlight w:val="none"/>
                    </w:rPr>
                    <w:t>8.4</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838F0F4">
                  <w:pPr>
                    <w:jc w:val="center"/>
                    <w:rPr>
                      <w:b w:val="0"/>
                      <w:color w:val="000000"/>
                      <w:kern w:val="0"/>
                      <w:highlight w:val="none"/>
                    </w:rPr>
                  </w:pPr>
                  <w:r>
                    <w:rPr>
                      <w:b w:val="0"/>
                      <w:color w:val="000000"/>
                      <w:kern w:val="0"/>
                      <w:highlight w:val="none"/>
                    </w:rPr>
                    <w:t>/</w:t>
                  </w:r>
                </w:p>
              </w:tc>
            </w:tr>
            <w:tr w14:paraId="175C08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69"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21E10C7">
                  <w:pPr>
                    <w:jc w:val="center"/>
                    <w:rPr>
                      <w:b w:val="0"/>
                      <w:color w:val="000000"/>
                      <w:kern w:val="0"/>
                      <w:highlight w:val="none"/>
                    </w:rPr>
                  </w:pPr>
                  <w:r>
                    <w:rPr>
                      <w:b w:val="0"/>
                      <w:color w:val="000000"/>
                      <w:kern w:val="0"/>
                      <w:highlight w:val="none"/>
                    </w:rPr>
                    <w:t>2</w:t>
                  </w:r>
                </w:p>
              </w:tc>
              <w:tc>
                <w:tcPr>
                  <w:tcW w:w="112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8B4CC4A">
                  <w:pPr>
                    <w:jc w:val="center"/>
                    <w:rPr>
                      <w:rFonts w:ascii="宋体" w:hAnsi="宋体" w:cs="宋体"/>
                      <w:b w:val="0"/>
                      <w:color w:val="000000"/>
                      <w:kern w:val="0"/>
                      <w:highlight w:val="none"/>
                    </w:rPr>
                  </w:pPr>
                  <w:r>
                    <w:rPr>
                      <w:rFonts w:hint="eastAsia" w:ascii="宋体" w:hAnsi="宋体" w:cs="宋体"/>
                      <w:b w:val="0"/>
                      <w:color w:val="000000"/>
                      <w:kern w:val="0"/>
                      <w:highlight w:val="none"/>
                    </w:rPr>
                    <w:t>汞</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CBB625D">
                  <w:pPr>
                    <w:jc w:val="center"/>
                    <w:rPr>
                      <w:b w:val="0"/>
                      <w:color w:val="000000"/>
                      <w:kern w:val="0"/>
                      <w:highlight w:val="none"/>
                    </w:rPr>
                  </w:pPr>
                  <w:r>
                    <w:rPr>
                      <w:b w:val="0"/>
                      <w:color w:val="000000"/>
                      <w:kern w:val="0"/>
                      <w:highlight w:val="none"/>
                    </w:rPr>
                    <w:t>mg/kg</w:t>
                  </w:r>
                </w:p>
              </w:tc>
              <w:tc>
                <w:tcPr>
                  <w:tcW w:w="1075"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7C22E5A">
                  <w:pPr>
                    <w:jc w:val="center"/>
                    <w:rPr>
                      <w:b w:val="0"/>
                      <w:color w:val="000000"/>
                      <w:kern w:val="0"/>
                      <w:highlight w:val="none"/>
                    </w:rPr>
                  </w:pPr>
                  <w:r>
                    <w:rPr>
                      <w:b w:val="0"/>
                      <w:color w:val="000000"/>
                      <w:kern w:val="0"/>
                      <w:highlight w:val="none"/>
                    </w:rPr>
                    <w:t>0.137</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4F0D88F">
                  <w:pPr>
                    <w:jc w:val="center"/>
                    <w:rPr>
                      <w:b w:val="0"/>
                      <w:color w:val="000000"/>
                      <w:kern w:val="0"/>
                      <w:highlight w:val="none"/>
                    </w:rPr>
                  </w:pPr>
                  <w:r>
                    <w:rPr>
                      <w:b w:val="0"/>
                      <w:color w:val="000000"/>
                      <w:kern w:val="0"/>
                      <w:highlight w:val="none"/>
                    </w:rPr>
                    <w:t>0.002L</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B128A1F">
                  <w:pPr>
                    <w:jc w:val="center"/>
                    <w:rPr>
                      <w:b w:val="0"/>
                      <w:color w:val="000000"/>
                      <w:kern w:val="0"/>
                      <w:highlight w:val="none"/>
                    </w:rPr>
                  </w:pPr>
                  <w:r>
                    <w:rPr>
                      <w:b w:val="0"/>
                      <w:color w:val="000000"/>
                      <w:kern w:val="0"/>
                      <w:highlight w:val="none"/>
                    </w:rPr>
                    <w:t>0.002L</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65CF020">
                  <w:pPr>
                    <w:jc w:val="center"/>
                    <w:rPr>
                      <w:b w:val="0"/>
                      <w:color w:val="000000"/>
                      <w:kern w:val="0"/>
                      <w:highlight w:val="none"/>
                    </w:rPr>
                  </w:pPr>
                  <w:r>
                    <w:rPr>
                      <w:b w:val="0"/>
                      <w:color w:val="000000"/>
                      <w:kern w:val="0"/>
                      <w:highlight w:val="none"/>
                    </w:rPr>
                    <w:t>38</w:t>
                  </w:r>
                </w:p>
              </w:tc>
            </w:tr>
            <w:tr w14:paraId="02C8E5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69"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572C1AB">
                  <w:pPr>
                    <w:jc w:val="center"/>
                    <w:rPr>
                      <w:b w:val="0"/>
                      <w:color w:val="000000"/>
                      <w:kern w:val="0"/>
                      <w:highlight w:val="none"/>
                    </w:rPr>
                  </w:pPr>
                  <w:r>
                    <w:rPr>
                      <w:b w:val="0"/>
                      <w:color w:val="000000"/>
                      <w:kern w:val="0"/>
                      <w:highlight w:val="none"/>
                    </w:rPr>
                    <w:t>3</w:t>
                  </w:r>
                </w:p>
              </w:tc>
              <w:tc>
                <w:tcPr>
                  <w:tcW w:w="112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8E309FC">
                  <w:pPr>
                    <w:jc w:val="center"/>
                    <w:rPr>
                      <w:rFonts w:ascii="宋体" w:hAnsi="宋体" w:cs="宋体"/>
                      <w:b w:val="0"/>
                      <w:color w:val="000000"/>
                      <w:kern w:val="0"/>
                      <w:highlight w:val="none"/>
                    </w:rPr>
                  </w:pPr>
                  <w:r>
                    <w:rPr>
                      <w:rFonts w:hint="eastAsia" w:ascii="宋体" w:hAnsi="宋体" w:cs="宋体"/>
                      <w:b w:val="0"/>
                      <w:color w:val="000000"/>
                      <w:kern w:val="0"/>
                      <w:highlight w:val="none"/>
                    </w:rPr>
                    <w:t>砷</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E21C92C">
                  <w:pPr>
                    <w:jc w:val="center"/>
                    <w:rPr>
                      <w:b w:val="0"/>
                      <w:color w:val="000000"/>
                      <w:kern w:val="0"/>
                      <w:highlight w:val="none"/>
                    </w:rPr>
                  </w:pPr>
                  <w:r>
                    <w:rPr>
                      <w:b w:val="0"/>
                      <w:color w:val="000000"/>
                      <w:kern w:val="0"/>
                      <w:highlight w:val="none"/>
                    </w:rPr>
                    <w:t>mg/kg</w:t>
                  </w:r>
                </w:p>
              </w:tc>
              <w:tc>
                <w:tcPr>
                  <w:tcW w:w="1075"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8E4E6A7">
                  <w:pPr>
                    <w:jc w:val="center"/>
                    <w:rPr>
                      <w:b w:val="0"/>
                      <w:color w:val="000000"/>
                      <w:kern w:val="0"/>
                      <w:highlight w:val="none"/>
                    </w:rPr>
                  </w:pPr>
                  <w:r>
                    <w:rPr>
                      <w:b w:val="0"/>
                      <w:color w:val="000000"/>
                      <w:kern w:val="0"/>
                      <w:highlight w:val="none"/>
                    </w:rPr>
                    <w:t>13.9</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A59B16A">
                  <w:pPr>
                    <w:jc w:val="center"/>
                    <w:rPr>
                      <w:b w:val="0"/>
                      <w:color w:val="000000"/>
                      <w:kern w:val="0"/>
                      <w:highlight w:val="none"/>
                    </w:rPr>
                  </w:pPr>
                  <w:r>
                    <w:rPr>
                      <w:b w:val="0"/>
                      <w:color w:val="000000"/>
                      <w:kern w:val="0"/>
                      <w:highlight w:val="none"/>
                    </w:rPr>
                    <w:t>7.59</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44B3FE6">
                  <w:pPr>
                    <w:jc w:val="center"/>
                    <w:rPr>
                      <w:b w:val="0"/>
                      <w:color w:val="000000"/>
                      <w:kern w:val="0"/>
                      <w:highlight w:val="none"/>
                    </w:rPr>
                  </w:pPr>
                  <w:r>
                    <w:rPr>
                      <w:b w:val="0"/>
                      <w:color w:val="000000"/>
                      <w:kern w:val="0"/>
                      <w:highlight w:val="none"/>
                    </w:rPr>
                    <w:t>9.44</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7ACB3F7">
                  <w:pPr>
                    <w:jc w:val="center"/>
                    <w:rPr>
                      <w:b w:val="0"/>
                      <w:color w:val="000000"/>
                      <w:kern w:val="0"/>
                      <w:highlight w:val="none"/>
                    </w:rPr>
                  </w:pPr>
                  <w:r>
                    <w:rPr>
                      <w:b w:val="0"/>
                      <w:color w:val="000000"/>
                      <w:kern w:val="0"/>
                      <w:highlight w:val="none"/>
                    </w:rPr>
                    <w:t>60</w:t>
                  </w:r>
                </w:p>
              </w:tc>
            </w:tr>
            <w:tr w14:paraId="57181C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69"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371D2E2">
                  <w:pPr>
                    <w:jc w:val="center"/>
                    <w:rPr>
                      <w:b w:val="0"/>
                      <w:color w:val="000000"/>
                      <w:kern w:val="0"/>
                      <w:highlight w:val="none"/>
                    </w:rPr>
                  </w:pPr>
                  <w:r>
                    <w:rPr>
                      <w:b w:val="0"/>
                      <w:color w:val="000000"/>
                      <w:kern w:val="0"/>
                      <w:highlight w:val="none"/>
                    </w:rPr>
                    <w:t>4</w:t>
                  </w:r>
                </w:p>
              </w:tc>
              <w:tc>
                <w:tcPr>
                  <w:tcW w:w="112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E139D71">
                  <w:pPr>
                    <w:jc w:val="center"/>
                    <w:rPr>
                      <w:rFonts w:ascii="宋体" w:hAnsi="宋体" w:cs="宋体"/>
                      <w:b w:val="0"/>
                      <w:color w:val="000000"/>
                      <w:kern w:val="0"/>
                      <w:highlight w:val="none"/>
                    </w:rPr>
                  </w:pPr>
                  <w:r>
                    <w:rPr>
                      <w:rFonts w:hint="eastAsia" w:ascii="宋体" w:hAnsi="宋体" w:cs="宋体"/>
                      <w:b w:val="0"/>
                      <w:color w:val="000000"/>
                      <w:kern w:val="0"/>
                      <w:highlight w:val="none"/>
                    </w:rPr>
                    <w:t>铅</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EAB5161">
                  <w:pPr>
                    <w:jc w:val="center"/>
                    <w:rPr>
                      <w:b w:val="0"/>
                      <w:color w:val="000000"/>
                      <w:kern w:val="0"/>
                      <w:highlight w:val="none"/>
                    </w:rPr>
                  </w:pPr>
                  <w:r>
                    <w:rPr>
                      <w:b w:val="0"/>
                      <w:color w:val="000000"/>
                      <w:kern w:val="0"/>
                      <w:highlight w:val="none"/>
                    </w:rPr>
                    <w:t>mg/kg</w:t>
                  </w:r>
                </w:p>
              </w:tc>
              <w:tc>
                <w:tcPr>
                  <w:tcW w:w="1075"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40278E4">
                  <w:pPr>
                    <w:jc w:val="center"/>
                    <w:rPr>
                      <w:b w:val="0"/>
                      <w:color w:val="000000"/>
                      <w:kern w:val="0"/>
                      <w:highlight w:val="none"/>
                    </w:rPr>
                  </w:pPr>
                  <w:r>
                    <w:rPr>
                      <w:b w:val="0"/>
                      <w:color w:val="000000"/>
                      <w:kern w:val="0"/>
                      <w:highlight w:val="none"/>
                    </w:rPr>
                    <w:t>5</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71D13D3">
                  <w:pPr>
                    <w:jc w:val="center"/>
                    <w:rPr>
                      <w:b w:val="0"/>
                      <w:color w:val="000000"/>
                      <w:kern w:val="0"/>
                      <w:highlight w:val="none"/>
                    </w:rPr>
                  </w:pPr>
                  <w:r>
                    <w:rPr>
                      <w:b w:val="0"/>
                      <w:color w:val="000000"/>
                      <w:kern w:val="0"/>
                      <w:highlight w:val="none"/>
                    </w:rPr>
                    <w:t>7.8</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F53DB2E">
                  <w:pPr>
                    <w:jc w:val="center"/>
                    <w:rPr>
                      <w:b w:val="0"/>
                      <w:color w:val="000000"/>
                      <w:kern w:val="0"/>
                      <w:highlight w:val="none"/>
                    </w:rPr>
                  </w:pPr>
                  <w:r>
                    <w:rPr>
                      <w:b w:val="0"/>
                      <w:color w:val="000000"/>
                      <w:kern w:val="0"/>
                      <w:highlight w:val="none"/>
                    </w:rPr>
                    <w:t>6.2</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195CFE7">
                  <w:pPr>
                    <w:jc w:val="center"/>
                    <w:rPr>
                      <w:b w:val="0"/>
                      <w:color w:val="000000"/>
                      <w:kern w:val="0"/>
                      <w:highlight w:val="none"/>
                    </w:rPr>
                  </w:pPr>
                  <w:r>
                    <w:rPr>
                      <w:b w:val="0"/>
                      <w:color w:val="000000"/>
                      <w:kern w:val="0"/>
                      <w:highlight w:val="none"/>
                    </w:rPr>
                    <w:t>800</w:t>
                  </w:r>
                </w:p>
              </w:tc>
            </w:tr>
            <w:tr w14:paraId="58BF6A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69"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4246B38">
                  <w:pPr>
                    <w:jc w:val="center"/>
                    <w:rPr>
                      <w:b w:val="0"/>
                      <w:color w:val="000000"/>
                      <w:kern w:val="0"/>
                      <w:highlight w:val="none"/>
                    </w:rPr>
                  </w:pPr>
                  <w:r>
                    <w:rPr>
                      <w:b w:val="0"/>
                      <w:color w:val="000000"/>
                      <w:kern w:val="0"/>
                      <w:highlight w:val="none"/>
                    </w:rPr>
                    <w:t>5</w:t>
                  </w:r>
                </w:p>
              </w:tc>
              <w:tc>
                <w:tcPr>
                  <w:tcW w:w="112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0CE5076">
                  <w:pPr>
                    <w:jc w:val="center"/>
                    <w:rPr>
                      <w:rFonts w:ascii="宋体" w:hAnsi="宋体" w:cs="宋体"/>
                      <w:b w:val="0"/>
                      <w:color w:val="000000"/>
                      <w:kern w:val="0"/>
                      <w:highlight w:val="none"/>
                    </w:rPr>
                  </w:pPr>
                  <w:r>
                    <w:rPr>
                      <w:rFonts w:hint="eastAsia" w:ascii="宋体" w:hAnsi="宋体" w:cs="宋体"/>
                      <w:b w:val="0"/>
                      <w:color w:val="000000"/>
                      <w:kern w:val="0"/>
                      <w:highlight w:val="none"/>
                    </w:rPr>
                    <w:t>镉</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892402A">
                  <w:pPr>
                    <w:jc w:val="center"/>
                    <w:rPr>
                      <w:b w:val="0"/>
                      <w:color w:val="000000"/>
                      <w:kern w:val="0"/>
                      <w:highlight w:val="none"/>
                    </w:rPr>
                  </w:pPr>
                  <w:r>
                    <w:rPr>
                      <w:b w:val="0"/>
                      <w:color w:val="000000"/>
                      <w:kern w:val="0"/>
                      <w:highlight w:val="none"/>
                    </w:rPr>
                    <w:t>mg/kg</w:t>
                  </w:r>
                </w:p>
              </w:tc>
              <w:tc>
                <w:tcPr>
                  <w:tcW w:w="1075"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EB98033">
                  <w:pPr>
                    <w:jc w:val="center"/>
                    <w:rPr>
                      <w:b w:val="0"/>
                      <w:color w:val="000000"/>
                      <w:kern w:val="0"/>
                      <w:highlight w:val="none"/>
                    </w:rPr>
                  </w:pPr>
                  <w:r>
                    <w:rPr>
                      <w:b w:val="0"/>
                      <w:color w:val="000000"/>
                      <w:kern w:val="0"/>
                      <w:highlight w:val="none"/>
                    </w:rPr>
                    <w:t>0.01</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BA4A9D5">
                  <w:pPr>
                    <w:jc w:val="center"/>
                    <w:rPr>
                      <w:b w:val="0"/>
                      <w:color w:val="000000"/>
                      <w:kern w:val="0"/>
                      <w:highlight w:val="none"/>
                    </w:rPr>
                  </w:pPr>
                  <w:r>
                    <w:rPr>
                      <w:b w:val="0"/>
                      <w:color w:val="000000"/>
                      <w:kern w:val="0"/>
                      <w:highlight w:val="none"/>
                    </w:rPr>
                    <w:t>0.06</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909D1CB">
                  <w:pPr>
                    <w:jc w:val="center"/>
                    <w:rPr>
                      <w:b w:val="0"/>
                      <w:color w:val="000000"/>
                      <w:kern w:val="0"/>
                      <w:highlight w:val="none"/>
                    </w:rPr>
                  </w:pPr>
                  <w:r>
                    <w:rPr>
                      <w:b w:val="0"/>
                      <w:color w:val="000000"/>
                      <w:kern w:val="0"/>
                      <w:highlight w:val="none"/>
                    </w:rPr>
                    <w:t>0.05</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B6BE540">
                  <w:pPr>
                    <w:jc w:val="center"/>
                    <w:rPr>
                      <w:b w:val="0"/>
                      <w:color w:val="000000"/>
                      <w:kern w:val="0"/>
                      <w:highlight w:val="none"/>
                    </w:rPr>
                  </w:pPr>
                  <w:r>
                    <w:rPr>
                      <w:b w:val="0"/>
                      <w:color w:val="000000"/>
                      <w:kern w:val="0"/>
                      <w:highlight w:val="none"/>
                    </w:rPr>
                    <w:t>65</w:t>
                  </w:r>
                </w:p>
              </w:tc>
            </w:tr>
            <w:tr w14:paraId="4F79B6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69"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22B0B39">
                  <w:pPr>
                    <w:jc w:val="center"/>
                    <w:rPr>
                      <w:b w:val="0"/>
                      <w:color w:val="000000"/>
                      <w:kern w:val="0"/>
                      <w:highlight w:val="none"/>
                    </w:rPr>
                  </w:pPr>
                  <w:r>
                    <w:rPr>
                      <w:b w:val="0"/>
                      <w:color w:val="000000"/>
                      <w:kern w:val="0"/>
                      <w:highlight w:val="none"/>
                    </w:rPr>
                    <w:t>6</w:t>
                  </w:r>
                </w:p>
              </w:tc>
              <w:tc>
                <w:tcPr>
                  <w:tcW w:w="112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26E8E02">
                  <w:pPr>
                    <w:jc w:val="center"/>
                    <w:rPr>
                      <w:rFonts w:ascii="宋体" w:hAnsi="宋体" w:cs="宋体"/>
                      <w:b w:val="0"/>
                      <w:color w:val="000000"/>
                      <w:kern w:val="0"/>
                      <w:highlight w:val="none"/>
                    </w:rPr>
                  </w:pPr>
                  <w:r>
                    <w:rPr>
                      <w:rFonts w:hint="eastAsia" w:ascii="宋体" w:hAnsi="宋体" w:cs="宋体"/>
                      <w:b w:val="0"/>
                      <w:color w:val="000000"/>
                      <w:kern w:val="0"/>
                      <w:highlight w:val="none"/>
                    </w:rPr>
                    <w:t>铜</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3B2DE41">
                  <w:pPr>
                    <w:jc w:val="center"/>
                    <w:rPr>
                      <w:b w:val="0"/>
                      <w:color w:val="000000"/>
                      <w:kern w:val="0"/>
                      <w:highlight w:val="none"/>
                    </w:rPr>
                  </w:pPr>
                  <w:r>
                    <w:rPr>
                      <w:b w:val="0"/>
                      <w:color w:val="000000"/>
                      <w:kern w:val="0"/>
                      <w:highlight w:val="none"/>
                    </w:rPr>
                    <w:t>mg/kg</w:t>
                  </w:r>
                </w:p>
              </w:tc>
              <w:tc>
                <w:tcPr>
                  <w:tcW w:w="1075"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97A6F7E">
                  <w:pPr>
                    <w:jc w:val="center"/>
                    <w:rPr>
                      <w:b w:val="0"/>
                      <w:color w:val="000000"/>
                      <w:kern w:val="0"/>
                      <w:highlight w:val="none"/>
                    </w:rPr>
                  </w:pPr>
                  <w:r>
                    <w:rPr>
                      <w:b w:val="0"/>
                      <w:color w:val="000000"/>
                      <w:kern w:val="0"/>
                      <w:highlight w:val="none"/>
                    </w:rPr>
                    <w:t>16</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0226CF9">
                  <w:pPr>
                    <w:jc w:val="center"/>
                    <w:rPr>
                      <w:b w:val="0"/>
                      <w:color w:val="000000"/>
                      <w:kern w:val="0"/>
                      <w:highlight w:val="none"/>
                    </w:rPr>
                  </w:pPr>
                  <w:r>
                    <w:rPr>
                      <w:b w:val="0"/>
                      <w:color w:val="000000"/>
                      <w:kern w:val="0"/>
                      <w:highlight w:val="none"/>
                    </w:rPr>
                    <w:t>14</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EE1A6CA">
                  <w:pPr>
                    <w:jc w:val="center"/>
                    <w:rPr>
                      <w:b w:val="0"/>
                      <w:color w:val="000000"/>
                      <w:kern w:val="0"/>
                      <w:highlight w:val="none"/>
                    </w:rPr>
                  </w:pPr>
                  <w:r>
                    <w:rPr>
                      <w:b w:val="0"/>
                      <w:color w:val="000000"/>
                      <w:kern w:val="0"/>
                      <w:highlight w:val="none"/>
                    </w:rPr>
                    <w:t>12</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9F226C6">
                  <w:pPr>
                    <w:jc w:val="center"/>
                    <w:rPr>
                      <w:b w:val="0"/>
                      <w:color w:val="000000"/>
                      <w:kern w:val="0"/>
                      <w:highlight w:val="none"/>
                    </w:rPr>
                  </w:pPr>
                  <w:r>
                    <w:rPr>
                      <w:b w:val="0"/>
                      <w:color w:val="000000"/>
                      <w:kern w:val="0"/>
                      <w:highlight w:val="none"/>
                    </w:rPr>
                    <w:t>18000</w:t>
                  </w:r>
                </w:p>
              </w:tc>
            </w:tr>
            <w:tr w14:paraId="6BB506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69"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E238DAA">
                  <w:pPr>
                    <w:jc w:val="center"/>
                    <w:rPr>
                      <w:b w:val="0"/>
                      <w:color w:val="000000"/>
                      <w:kern w:val="0"/>
                      <w:highlight w:val="none"/>
                    </w:rPr>
                  </w:pPr>
                  <w:r>
                    <w:rPr>
                      <w:b w:val="0"/>
                      <w:color w:val="000000"/>
                      <w:kern w:val="0"/>
                      <w:highlight w:val="none"/>
                    </w:rPr>
                    <w:t>7</w:t>
                  </w:r>
                </w:p>
              </w:tc>
              <w:tc>
                <w:tcPr>
                  <w:tcW w:w="112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3985EF1">
                  <w:pPr>
                    <w:jc w:val="center"/>
                    <w:rPr>
                      <w:rFonts w:ascii="宋体" w:hAnsi="宋体" w:cs="宋体"/>
                      <w:b w:val="0"/>
                      <w:color w:val="000000"/>
                      <w:kern w:val="0"/>
                      <w:highlight w:val="none"/>
                    </w:rPr>
                  </w:pPr>
                  <w:r>
                    <w:rPr>
                      <w:rFonts w:hint="eastAsia" w:ascii="宋体" w:hAnsi="宋体" w:cs="宋体"/>
                      <w:b w:val="0"/>
                      <w:color w:val="000000"/>
                      <w:kern w:val="0"/>
                      <w:highlight w:val="none"/>
                    </w:rPr>
                    <w:t>镍</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3ECDBA2">
                  <w:pPr>
                    <w:jc w:val="center"/>
                    <w:rPr>
                      <w:b w:val="0"/>
                      <w:color w:val="000000"/>
                      <w:kern w:val="0"/>
                      <w:highlight w:val="none"/>
                    </w:rPr>
                  </w:pPr>
                  <w:r>
                    <w:rPr>
                      <w:b w:val="0"/>
                      <w:color w:val="000000"/>
                      <w:kern w:val="0"/>
                      <w:highlight w:val="none"/>
                    </w:rPr>
                    <w:t>mg/kg</w:t>
                  </w:r>
                </w:p>
              </w:tc>
              <w:tc>
                <w:tcPr>
                  <w:tcW w:w="1075"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8F0F70F">
                  <w:pPr>
                    <w:jc w:val="center"/>
                    <w:rPr>
                      <w:b w:val="0"/>
                      <w:color w:val="000000"/>
                      <w:kern w:val="0"/>
                      <w:highlight w:val="none"/>
                    </w:rPr>
                  </w:pPr>
                  <w:r>
                    <w:rPr>
                      <w:b w:val="0"/>
                      <w:color w:val="000000"/>
                      <w:kern w:val="0"/>
                      <w:highlight w:val="none"/>
                    </w:rPr>
                    <w:t>37</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1F1497C">
                  <w:pPr>
                    <w:jc w:val="center"/>
                    <w:rPr>
                      <w:b w:val="0"/>
                      <w:color w:val="000000"/>
                      <w:kern w:val="0"/>
                      <w:highlight w:val="none"/>
                    </w:rPr>
                  </w:pPr>
                  <w:r>
                    <w:rPr>
                      <w:b w:val="0"/>
                      <w:color w:val="000000"/>
                      <w:kern w:val="0"/>
                      <w:highlight w:val="none"/>
                    </w:rPr>
                    <w:t>31</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5183FAC">
                  <w:pPr>
                    <w:jc w:val="center"/>
                    <w:rPr>
                      <w:b w:val="0"/>
                      <w:color w:val="000000"/>
                      <w:kern w:val="0"/>
                      <w:highlight w:val="none"/>
                    </w:rPr>
                  </w:pPr>
                  <w:r>
                    <w:rPr>
                      <w:b w:val="0"/>
                      <w:color w:val="000000"/>
                      <w:kern w:val="0"/>
                      <w:highlight w:val="none"/>
                    </w:rPr>
                    <w:t>32</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070393F">
                  <w:pPr>
                    <w:jc w:val="center"/>
                    <w:rPr>
                      <w:b w:val="0"/>
                      <w:color w:val="000000"/>
                      <w:kern w:val="0"/>
                      <w:highlight w:val="none"/>
                    </w:rPr>
                  </w:pPr>
                  <w:r>
                    <w:rPr>
                      <w:b w:val="0"/>
                      <w:color w:val="000000"/>
                      <w:kern w:val="0"/>
                      <w:highlight w:val="none"/>
                    </w:rPr>
                    <w:t>900</w:t>
                  </w:r>
                </w:p>
              </w:tc>
            </w:tr>
            <w:tr w14:paraId="584811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69"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BE71D78">
                  <w:pPr>
                    <w:jc w:val="center"/>
                    <w:rPr>
                      <w:b w:val="0"/>
                      <w:color w:val="000000"/>
                      <w:kern w:val="0"/>
                      <w:highlight w:val="none"/>
                    </w:rPr>
                  </w:pPr>
                  <w:r>
                    <w:rPr>
                      <w:b w:val="0"/>
                      <w:color w:val="000000"/>
                      <w:kern w:val="0"/>
                      <w:highlight w:val="none"/>
                    </w:rPr>
                    <w:t>8</w:t>
                  </w:r>
                </w:p>
              </w:tc>
              <w:tc>
                <w:tcPr>
                  <w:tcW w:w="112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613C76E">
                  <w:pPr>
                    <w:jc w:val="center"/>
                    <w:rPr>
                      <w:rFonts w:ascii="宋体" w:hAnsi="宋体" w:cs="宋体"/>
                      <w:b w:val="0"/>
                      <w:color w:val="000000"/>
                      <w:kern w:val="0"/>
                      <w:highlight w:val="none"/>
                    </w:rPr>
                  </w:pPr>
                  <w:r>
                    <w:rPr>
                      <w:rFonts w:hint="eastAsia" w:ascii="宋体" w:hAnsi="宋体" w:cs="宋体"/>
                      <w:b w:val="0"/>
                      <w:color w:val="000000"/>
                      <w:kern w:val="0"/>
                      <w:highlight w:val="none"/>
                    </w:rPr>
                    <w:t>六价铬</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772B445">
                  <w:pPr>
                    <w:jc w:val="center"/>
                    <w:rPr>
                      <w:b w:val="0"/>
                      <w:color w:val="000000"/>
                      <w:kern w:val="0"/>
                      <w:highlight w:val="none"/>
                    </w:rPr>
                  </w:pPr>
                  <w:r>
                    <w:rPr>
                      <w:b w:val="0"/>
                      <w:color w:val="000000"/>
                      <w:kern w:val="0"/>
                      <w:highlight w:val="none"/>
                    </w:rPr>
                    <w:t>mg/kg</w:t>
                  </w:r>
                </w:p>
              </w:tc>
              <w:tc>
                <w:tcPr>
                  <w:tcW w:w="1075"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18D27E2">
                  <w:pPr>
                    <w:jc w:val="center"/>
                    <w:rPr>
                      <w:b w:val="0"/>
                      <w:color w:val="000000"/>
                      <w:kern w:val="0"/>
                      <w:highlight w:val="none"/>
                    </w:rPr>
                  </w:pPr>
                  <w:r>
                    <w:rPr>
                      <w:b w:val="0"/>
                      <w:color w:val="000000"/>
                      <w:kern w:val="0"/>
                      <w:highlight w:val="none"/>
                    </w:rPr>
                    <w:t>0.5L</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8ACA8C1">
                  <w:pPr>
                    <w:jc w:val="center"/>
                    <w:rPr>
                      <w:b w:val="0"/>
                      <w:color w:val="000000"/>
                      <w:kern w:val="0"/>
                      <w:highlight w:val="none"/>
                    </w:rPr>
                  </w:pPr>
                  <w:r>
                    <w:rPr>
                      <w:b w:val="0"/>
                      <w:color w:val="000000"/>
                      <w:kern w:val="0"/>
                      <w:highlight w:val="none"/>
                    </w:rPr>
                    <w:t>0.5L</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6350DE1">
                  <w:pPr>
                    <w:jc w:val="center"/>
                    <w:rPr>
                      <w:b w:val="0"/>
                      <w:color w:val="000000"/>
                      <w:kern w:val="0"/>
                      <w:highlight w:val="none"/>
                    </w:rPr>
                  </w:pPr>
                  <w:r>
                    <w:rPr>
                      <w:b w:val="0"/>
                      <w:color w:val="000000"/>
                      <w:kern w:val="0"/>
                      <w:highlight w:val="none"/>
                    </w:rPr>
                    <w:t>0.5L</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BBEB06F">
                  <w:pPr>
                    <w:jc w:val="center"/>
                    <w:rPr>
                      <w:b w:val="0"/>
                      <w:color w:val="000000"/>
                      <w:kern w:val="0"/>
                      <w:highlight w:val="none"/>
                    </w:rPr>
                  </w:pPr>
                  <w:r>
                    <w:rPr>
                      <w:b w:val="0"/>
                      <w:color w:val="000000"/>
                      <w:kern w:val="0"/>
                      <w:highlight w:val="none"/>
                    </w:rPr>
                    <w:t>5.7</w:t>
                  </w:r>
                </w:p>
              </w:tc>
            </w:tr>
            <w:tr w14:paraId="3A6D9F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69"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E08D86B">
                  <w:pPr>
                    <w:jc w:val="center"/>
                    <w:rPr>
                      <w:b w:val="0"/>
                      <w:color w:val="000000"/>
                      <w:kern w:val="0"/>
                      <w:highlight w:val="none"/>
                    </w:rPr>
                  </w:pPr>
                  <w:r>
                    <w:rPr>
                      <w:b w:val="0"/>
                      <w:color w:val="000000"/>
                      <w:kern w:val="0"/>
                      <w:highlight w:val="none"/>
                    </w:rPr>
                    <w:t>9</w:t>
                  </w:r>
                </w:p>
              </w:tc>
              <w:tc>
                <w:tcPr>
                  <w:tcW w:w="1122"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507FFD9">
                  <w:pPr>
                    <w:jc w:val="center"/>
                    <w:rPr>
                      <w:rFonts w:ascii="宋体" w:hAnsi="宋体" w:cs="宋体"/>
                      <w:b w:val="0"/>
                      <w:color w:val="000000"/>
                      <w:kern w:val="0"/>
                      <w:highlight w:val="none"/>
                    </w:rPr>
                  </w:pPr>
                  <w:r>
                    <w:rPr>
                      <w:rFonts w:hint="eastAsia" w:ascii="宋体" w:hAnsi="宋体" w:cs="宋体"/>
                      <w:b w:val="0"/>
                      <w:color w:val="000000"/>
                      <w:kern w:val="0"/>
                      <w:highlight w:val="none"/>
                    </w:rPr>
                    <w:t>石油烃（</w:t>
                  </w:r>
                  <w:r>
                    <w:rPr>
                      <w:b w:val="0"/>
                      <w:color w:val="000000"/>
                      <w:kern w:val="0"/>
                      <w:highlight w:val="none"/>
                    </w:rPr>
                    <w:t>C</w:t>
                  </w:r>
                  <w:r>
                    <w:rPr>
                      <w:b w:val="0"/>
                      <w:bCs/>
                      <w:color w:val="000000"/>
                      <w:kern w:val="0"/>
                      <w:highlight w:val="none"/>
                      <w:vertAlign w:val="subscript"/>
                    </w:rPr>
                    <w:t>10</w:t>
                  </w:r>
                  <w:r>
                    <w:rPr>
                      <w:b w:val="0"/>
                      <w:color w:val="000000"/>
                      <w:kern w:val="0"/>
                      <w:highlight w:val="none"/>
                    </w:rPr>
                    <w:t>~C</w:t>
                  </w:r>
                  <w:r>
                    <w:rPr>
                      <w:b w:val="0"/>
                      <w:bCs/>
                      <w:color w:val="000000"/>
                      <w:kern w:val="0"/>
                      <w:highlight w:val="none"/>
                      <w:vertAlign w:val="subscript"/>
                    </w:rPr>
                    <w:t>40</w:t>
                  </w:r>
                  <w:r>
                    <w:rPr>
                      <w:rFonts w:hint="eastAsia" w:ascii="宋体" w:hAnsi="宋体" w:cs="宋体"/>
                      <w:b w:val="0"/>
                      <w:color w:val="000000"/>
                      <w:kern w:val="0"/>
                      <w:highlight w:val="none"/>
                    </w:rPr>
                    <w:t>）</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8D86039">
                  <w:pPr>
                    <w:jc w:val="center"/>
                    <w:rPr>
                      <w:b w:val="0"/>
                      <w:color w:val="000000"/>
                      <w:kern w:val="0"/>
                      <w:highlight w:val="none"/>
                    </w:rPr>
                  </w:pPr>
                  <w:r>
                    <w:rPr>
                      <w:b w:val="0"/>
                      <w:color w:val="000000"/>
                      <w:kern w:val="0"/>
                      <w:highlight w:val="none"/>
                    </w:rPr>
                    <w:t>mg/kg</w:t>
                  </w:r>
                </w:p>
              </w:tc>
              <w:tc>
                <w:tcPr>
                  <w:tcW w:w="1075"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CBFFB35">
                  <w:pPr>
                    <w:jc w:val="center"/>
                    <w:rPr>
                      <w:b w:val="0"/>
                      <w:color w:val="000000"/>
                      <w:kern w:val="0"/>
                      <w:highlight w:val="none"/>
                    </w:rPr>
                  </w:pPr>
                  <w:r>
                    <w:rPr>
                      <w:b w:val="0"/>
                      <w:color w:val="000000"/>
                      <w:kern w:val="0"/>
                      <w:highlight w:val="none"/>
                    </w:rPr>
                    <w:t>17</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CE36ECA">
                  <w:pPr>
                    <w:jc w:val="center"/>
                    <w:rPr>
                      <w:b w:val="0"/>
                      <w:color w:val="000000"/>
                      <w:kern w:val="0"/>
                      <w:highlight w:val="none"/>
                    </w:rPr>
                  </w:pPr>
                  <w:r>
                    <w:rPr>
                      <w:b w:val="0"/>
                      <w:color w:val="000000"/>
                      <w:kern w:val="0"/>
                      <w:highlight w:val="none"/>
                    </w:rPr>
                    <w:t>6L</w:t>
                  </w:r>
                </w:p>
              </w:tc>
              <w:tc>
                <w:tcPr>
                  <w:tcW w:w="1074"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193995D">
                  <w:pPr>
                    <w:jc w:val="center"/>
                    <w:rPr>
                      <w:b w:val="0"/>
                      <w:color w:val="000000"/>
                      <w:kern w:val="0"/>
                      <w:highlight w:val="none"/>
                    </w:rPr>
                  </w:pPr>
                  <w:r>
                    <w:rPr>
                      <w:b w:val="0"/>
                      <w:color w:val="000000"/>
                      <w:kern w:val="0"/>
                      <w:highlight w:val="none"/>
                    </w:rPr>
                    <w:t>96</w:t>
                  </w:r>
                </w:p>
              </w:tc>
              <w:tc>
                <w:tcPr>
                  <w:tcW w:w="1073"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836A14A">
                  <w:pPr>
                    <w:jc w:val="center"/>
                    <w:rPr>
                      <w:b w:val="0"/>
                      <w:color w:val="000000"/>
                      <w:kern w:val="0"/>
                      <w:highlight w:val="none"/>
                    </w:rPr>
                  </w:pPr>
                  <w:r>
                    <w:rPr>
                      <w:b w:val="0"/>
                      <w:color w:val="000000"/>
                      <w:kern w:val="0"/>
                      <w:highlight w:val="none"/>
                    </w:rPr>
                    <w:t>4500</w:t>
                  </w:r>
                </w:p>
              </w:tc>
            </w:tr>
          </w:tbl>
          <w:p w14:paraId="6556D656">
            <w:pPr>
              <w:keepNext w:val="0"/>
              <w:keepLines w:val="0"/>
              <w:pageBreakBefore w:val="0"/>
              <w:widowControl w:val="0"/>
              <w:tabs>
                <w:tab w:val="left" w:pos="1155"/>
              </w:tabs>
              <w:kinsoku/>
              <w:wordWrap/>
              <w:overflowPunct/>
              <w:topLinePunct w:val="0"/>
              <w:autoSpaceDE/>
              <w:autoSpaceDN/>
              <w:bidi w:val="0"/>
              <w:adjustRightInd/>
              <w:snapToGrid/>
              <w:spacing w:before="157" w:beforeLines="50" w:line="360" w:lineRule="auto"/>
              <w:ind w:firstLine="480" w:firstLineChars="200"/>
              <w:textAlignment w:val="auto"/>
              <w:rPr>
                <w:rFonts w:hint="eastAsia" w:cs="Times New Roman"/>
                <w:b/>
                <w:bCs/>
                <w:color w:val="000000"/>
                <w:kern w:val="2"/>
                <w:sz w:val="24"/>
                <w:szCs w:val="32"/>
                <w:highlight w:val="none"/>
                <w:lang w:val="en-US" w:eastAsia="zh-CN" w:bidi="ar-SA"/>
              </w:rPr>
            </w:pPr>
            <w:r>
              <w:rPr>
                <w:color w:val="000000"/>
                <w:sz w:val="24"/>
                <w:highlight w:val="none"/>
              </w:rPr>
              <w:t>根据监测结果可知，</w:t>
            </w:r>
            <w:r>
              <w:rPr>
                <w:rFonts w:eastAsia="宋体"/>
                <w:color w:val="000000"/>
                <w:sz w:val="24"/>
                <w:szCs w:val="24"/>
                <w:highlight w:val="none"/>
              </w:rPr>
              <w:t>规划区</w:t>
            </w:r>
            <w:r>
              <w:rPr>
                <w:rFonts w:hint="eastAsia" w:eastAsia="宋体"/>
                <w:color w:val="000000"/>
                <w:sz w:val="24"/>
                <w:szCs w:val="24"/>
                <w:highlight w:val="none"/>
              </w:rPr>
              <w:t>及</w:t>
            </w:r>
            <w:r>
              <w:rPr>
                <w:rFonts w:eastAsia="宋体"/>
                <w:color w:val="000000"/>
                <w:sz w:val="24"/>
                <w:szCs w:val="24"/>
                <w:highlight w:val="none"/>
              </w:rPr>
              <w:t>周边土壤环境质量</w:t>
            </w:r>
            <w:r>
              <w:rPr>
                <w:rFonts w:hint="eastAsia" w:eastAsia="宋体"/>
                <w:color w:val="000000"/>
                <w:sz w:val="24"/>
                <w:szCs w:val="24"/>
                <w:highlight w:val="none"/>
                <w:lang w:val="en-US" w:eastAsia="zh-CN"/>
              </w:rPr>
              <w:t>满足</w:t>
            </w:r>
            <w:r>
              <w:rPr>
                <w:rFonts w:eastAsia="宋体"/>
                <w:color w:val="000000"/>
                <w:sz w:val="24"/>
                <w:szCs w:val="24"/>
                <w:highlight w:val="none"/>
              </w:rPr>
              <w:t>《土壤环境质量建设用地土壤污染风险管控标准（试行）》（GB36600-2018）</w:t>
            </w:r>
            <w:r>
              <w:rPr>
                <w:rFonts w:hint="eastAsia" w:eastAsia="宋体"/>
                <w:color w:val="000000"/>
                <w:sz w:val="24"/>
                <w:szCs w:val="24"/>
                <w:highlight w:val="none"/>
              </w:rPr>
              <w:t>筛选值</w:t>
            </w:r>
            <w:r>
              <w:rPr>
                <w:rFonts w:eastAsia="宋体"/>
                <w:color w:val="000000"/>
                <w:sz w:val="24"/>
                <w:szCs w:val="24"/>
                <w:highlight w:val="none"/>
              </w:rPr>
              <w:t>要求</w:t>
            </w:r>
            <w:r>
              <w:rPr>
                <w:color w:val="000000"/>
                <w:spacing w:val="2"/>
                <w:sz w:val="24"/>
                <w:szCs w:val="24"/>
                <w:highlight w:val="none"/>
              </w:rPr>
              <w:t>。周边耕地</w:t>
            </w:r>
            <w:r>
              <w:rPr>
                <w:rFonts w:hint="eastAsia"/>
                <w:color w:val="000000"/>
                <w:spacing w:val="2"/>
                <w:sz w:val="24"/>
                <w:szCs w:val="24"/>
                <w:highlight w:val="none"/>
                <w:lang w:val="en-US" w:eastAsia="zh-CN"/>
              </w:rPr>
              <w:t>满足</w:t>
            </w:r>
            <w:r>
              <w:rPr>
                <w:color w:val="000000"/>
                <w:spacing w:val="2"/>
                <w:sz w:val="24"/>
                <w:szCs w:val="24"/>
                <w:highlight w:val="none"/>
              </w:rPr>
              <w:t>《土壤环境质量农用地土壤污染风险管控标准</w:t>
            </w:r>
            <w:r>
              <w:rPr>
                <w:rFonts w:hint="eastAsia"/>
                <w:color w:val="000000"/>
                <w:spacing w:val="2"/>
                <w:sz w:val="24"/>
                <w:szCs w:val="24"/>
                <w:highlight w:val="none"/>
              </w:rPr>
              <w:t>（</w:t>
            </w:r>
            <w:r>
              <w:rPr>
                <w:color w:val="000000"/>
                <w:spacing w:val="2"/>
                <w:sz w:val="24"/>
                <w:szCs w:val="24"/>
                <w:highlight w:val="none"/>
              </w:rPr>
              <w:t>试行</w:t>
            </w:r>
            <w:r>
              <w:rPr>
                <w:rFonts w:hint="eastAsia"/>
                <w:color w:val="000000"/>
                <w:spacing w:val="2"/>
                <w:sz w:val="24"/>
                <w:szCs w:val="24"/>
                <w:highlight w:val="none"/>
              </w:rPr>
              <w:t>）</w:t>
            </w:r>
            <w:r>
              <w:rPr>
                <w:color w:val="000000"/>
                <w:spacing w:val="2"/>
                <w:sz w:val="24"/>
                <w:szCs w:val="24"/>
                <w:highlight w:val="none"/>
              </w:rPr>
              <w:t>》</w:t>
            </w:r>
            <w:r>
              <w:rPr>
                <w:rFonts w:hint="eastAsia"/>
                <w:color w:val="000000"/>
                <w:spacing w:val="2"/>
                <w:sz w:val="24"/>
                <w:szCs w:val="24"/>
                <w:highlight w:val="none"/>
              </w:rPr>
              <w:t>（</w:t>
            </w:r>
            <w:r>
              <w:rPr>
                <w:color w:val="000000"/>
                <w:spacing w:val="2"/>
                <w:sz w:val="24"/>
                <w:szCs w:val="24"/>
                <w:highlight w:val="none"/>
              </w:rPr>
              <w:t>GB15618-201</w:t>
            </w:r>
            <w:r>
              <w:rPr>
                <w:rFonts w:hint="eastAsia"/>
                <w:color w:val="000000"/>
                <w:spacing w:val="2"/>
                <w:sz w:val="24"/>
                <w:szCs w:val="24"/>
                <w:highlight w:val="none"/>
              </w:rPr>
              <w:t>8）要求</w:t>
            </w:r>
            <w:r>
              <w:rPr>
                <w:color w:val="000000"/>
                <w:sz w:val="24"/>
                <w:highlight w:val="none"/>
              </w:rPr>
              <w:t>。</w:t>
            </w:r>
          </w:p>
          <w:p w14:paraId="421EDEBC">
            <w:pPr>
              <w:pStyle w:val="29"/>
              <w:keepNext w:val="0"/>
              <w:keepLines w:val="0"/>
              <w:pageBreakBefore w:val="0"/>
              <w:widowControl/>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bCs/>
                <w:color w:val="000000"/>
                <w:kern w:val="0"/>
                <w:sz w:val="24"/>
                <w:szCs w:val="24"/>
                <w:highlight w:val="none"/>
                <w:lang w:val="en-US" w:eastAsia="zh-CN" w:bidi="ar"/>
              </w:rPr>
            </w:pPr>
            <w:r>
              <w:rPr>
                <w:rFonts w:hint="eastAsia" w:cs="Times New Roman"/>
                <w:b/>
                <w:bCs/>
                <w:color w:val="000000"/>
                <w:kern w:val="2"/>
                <w:sz w:val="24"/>
                <w:szCs w:val="32"/>
                <w:highlight w:val="none"/>
                <w:lang w:val="en-US" w:eastAsia="zh-CN" w:bidi="ar-SA"/>
              </w:rPr>
              <w:t>3.6</w:t>
            </w:r>
            <w:r>
              <w:rPr>
                <w:rFonts w:hint="eastAsia" w:ascii="Times New Roman" w:hAnsi="Times New Roman" w:eastAsia="宋体" w:cs="Times New Roman"/>
                <w:b/>
                <w:bCs/>
                <w:color w:val="000000"/>
                <w:kern w:val="0"/>
                <w:sz w:val="24"/>
                <w:szCs w:val="24"/>
                <w:highlight w:val="none"/>
                <w:lang w:val="en-US" w:eastAsia="zh-CN" w:bidi="ar"/>
              </w:rPr>
              <w:t>生态环境</w:t>
            </w:r>
            <w:r>
              <w:rPr>
                <w:rFonts w:hint="default" w:ascii="Times New Roman" w:hAnsi="Times New Roman" w:eastAsia="宋体" w:cs="Times New Roman"/>
                <w:b/>
                <w:bCs/>
                <w:color w:val="000000"/>
                <w:kern w:val="0"/>
                <w:sz w:val="24"/>
                <w:szCs w:val="24"/>
                <w:highlight w:val="none"/>
                <w:lang w:val="en-US" w:eastAsia="zh-CN" w:bidi="ar"/>
              </w:rPr>
              <w:t>质量现状</w:t>
            </w:r>
          </w:p>
          <w:p w14:paraId="7188EE6D">
            <w:pPr>
              <w:tabs>
                <w:tab w:val="left" w:pos="1155"/>
              </w:tabs>
              <w:spacing w:line="360" w:lineRule="auto"/>
              <w:ind w:firstLine="480" w:firstLineChars="200"/>
              <w:rPr>
                <w:rFonts w:hint="default"/>
                <w:color w:val="000000"/>
                <w:sz w:val="24"/>
                <w:highlight w:val="none"/>
                <w:lang w:val="en-US" w:eastAsia="zh-CN"/>
              </w:rPr>
            </w:pPr>
            <w:r>
              <w:rPr>
                <w:rFonts w:hint="eastAsia" w:ascii="Times New Roman" w:hAnsi="Times New Roman" w:eastAsia="宋体" w:cs="Times New Roman"/>
                <w:color w:val="000000"/>
                <w:kern w:val="2"/>
                <w:sz w:val="24"/>
                <w:szCs w:val="32"/>
                <w:highlight w:val="none"/>
                <w:lang w:val="en-US" w:eastAsia="zh-CN" w:bidi="ar-SA"/>
              </w:rPr>
              <w:t>本项目位于已批复的产业园区内，且在现有厂区内建设，不新增用地。根据规划环评结论，区域生态系统类型以荒漠生态系统为主，植被覆盖度低，土壤侵蚀以风力侵蚀为主，生态环境较为脆弱，但无重点保护野生动植物分布，且用地范围内无生态环境保护目标。因此，无需进行生态环境现状调查。</w:t>
            </w:r>
          </w:p>
        </w:tc>
      </w:tr>
      <w:tr w14:paraId="037379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0" w:hRule="atLeast"/>
          <w:jc w:val="center"/>
        </w:trPr>
        <w:tc>
          <w:tcPr>
            <w:tcW w:w="423" w:type="dxa"/>
            <w:noWrap w:val="0"/>
            <w:vAlign w:val="center"/>
          </w:tcPr>
          <w:p w14:paraId="221B1955">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环境</w:t>
            </w:r>
          </w:p>
          <w:p w14:paraId="50D19B2A">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保护</w:t>
            </w:r>
          </w:p>
          <w:p w14:paraId="0490FDBB">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目标</w:t>
            </w:r>
          </w:p>
        </w:tc>
        <w:tc>
          <w:tcPr>
            <w:tcW w:w="8638" w:type="dxa"/>
            <w:noWrap w:val="0"/>
            <w:vAlign w:val="center"/>
          </w:tcPr>
          <w:p w14:paraId="3631DA57">
            <w:pPr>
              <w:keepNext w:val="0"/>
              <w:keepLines w:val="0"/>
              <w:pageBreakBefore w:val="0"/>
              <w:widowControl w:val="0"/>
              <w:numPr>
                <w:ilvl w:val="0"/>
                <w:numId w:val="0"/>
              </w:numPr>
              <w:kinsoku/>
              <w:wordWrap/>
              <w:overflowPunct/>
              <w:topLinePunct w:val="0"/>
              <w:autoSpaceDE/>
              <w:autoSpaceDN/>
              <w:bidi w:val="0"/>
              <w:adjustRightInd w:val="0"/>
              <w:snapToGrid/>
              <w:spacing w:before="157" w:beforeLines="50" w:line="360" w:lineRule="auto"/>
              <w:textAlignment w:val="auto"/>
              <w:rPr>
                <w:rFonts w:hint="default" w:ascii="Times New Roman" w:hAnsi="Times New Roman" w:eastAsia="宋体" w:cs="Times New Roman"/>
                <w:b/>
                <w:bCs/>
                <w:color w:val="000000"/>
                <w:sz w:val="24"/>
                <w:highlight w:val="none"/>
                <w:lang w:val="en-US" w:eastAsia="zh-CN"/>
              </w:rPr>
            </w:pPr>
            <w:r>
              <w:rPr>
                <w:rFonts w:hint="eastAsia" w:cs="Times New Roman"/>
                <w:b/>
                <w:bCs/>
                <w:color w:val="000000"/>
                <w:kern w:val="2"/>
                <w:sz w:val="24"/>
                <w:szCs w:val="32"/>
                <w:highlight w:val="none"/>
                <w:lang w:val="en-US" w:eastAsia="zh-CN" w:bidi="ar-SA"/>
              </w:rPr>
              <w:t>3.7</w:t>
            </w:r>
            <w:r>
              <w:rPr>
                <w:rFonts w:hint="eastAsia" w:ascii="Times New Roman" w:hAnsi="Times New Roman" w:eastAsia="宋体" w:cs="Times New Roman"/>
                <w:b/>
                <w:bCs/>
                <w:color w:val="000000"/>
                <w:sz w:val="24"/>
                <w:highlight w:val="none"/>
                <w:lang w:val="en-US" w:eastAsia="zh-CN"/>
              </w:rPr>
              <w:t>环境保护目标</w:t>
            </w:r>
          </w:p>
          <w:p w14:paraId="64D7FE6D">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000000"/>
                <w:sz w:val="24"/>
                <w:highlight w:val="none"/>
              </w:rPr>
            </w:pPr>
            <w:r>
              <w:rPr>
                <w:rFonts w:hint="eastAsia" w:cs="Times New Roman"/>
                <w:color w:val="000000"/>
                <w:kern w:val="2"/>
                <w:sz w:val="24"/>
                <w:szCs w:val="24"/>
                <w:highlight w:val="none"/>
                <w:lang w:val="en-US" w:eastAsia="zh-CN" w:bidi="ar-SA"/>
              </w:rPr>
              <w:t>1、</w:t>
            </w:r>
            <w:r>
              <w:rPr>
                <w:rFonts w:hint="default" w:ascii="Times New Roman" w:hAnsi="Times New Roman" w:eastAsia="宋体" w:cs="Times New Roman"/>
                <w:color w:val="000000"/>
                <w:sz w:val="24"/>
                <w:highlight w:val="none"/>
              </w:rPr>
              <w:t>大气环境：项目区厂界500m范围内</w:t>
            </w:r>
            <w:r>
              <w:rPr>
                <w:rFonts w:hint="eastAsia" w:ascii="Times New Roman" w:hAnsi="Times New Roman" w:eastAsia="宋体" w:cs="Times New Roman"/>
                <w:color w:val="000000"/>
                <w:sz w:val="24"/>
                <w:highlight w:val="none"/>
                <w:lang w:val="en-US" w:eastAsia="zh-CN"/>
              </w:rPr>
              <w:t>无自然保护区、</w:t>
            </w:r>
            <w:r>
              <w:rPr>
                <w:rFonts w:hint="default" w:ascii="Times New Roman" w:hAnsi="Times New Roman" w:eastAsia="宋体" w:cs="Times New Roman"/>
                <w:color w:val="000000"/>
                <w:sz w:val="24"/>
                <w:highlight w:val="none"/>
              </w:rPr>
              <w:t>风景名胜区</w:t>
            </w:r>
            <w:r>
              <w:rPr>
                <w:rFonts w:hint="eastAsia" w:ascii="Times New Roman" w:hAnsi="Times New Roman" w:eastAsia="宋体" w:cs="Times New Roman"/>
                <w:color w:val="000000"/>
                <w:sz w:val="24"/>
                <w:highlight w:val="none"/>
                <w:lang w:eastAsia="zh-CN"/>
              </w:rPr>
              <w:t>、</w:t>
            </w:r>
            <w:r>
              <w:rPr>
                <w:rFonts w:hint="eastAsia" w:ascii="Times New Roman" w:hAnsi="Times New Roman" w:eastAsia="宋体" w:cs="Times New Roman"/>
                <w:color w:val="000000"/>
                <w:sz w:val="24"/>
                <w:highlight w:val="none"/>
                <w:lang w:val="en-US" w:eastAsia="zh-CN"/>
              </w:rPr>
              <w:t>居住区、文化区和农村地区中人群较集中的区域等保护目标。</w:t>
            </w:r>
          </w:p>
          <w:p w14:paraId="2F901D03">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000000"/>
                <w:sz w:val="24"/>
                <w:highlight w:val="none"/>
                <w:lang w:val="zh-CN"/>
              </w:rPr>
            </w:pPr>
            <w:r>
              <w:rPr>
                <w:rFonts w:hint="eastAsia" w:cs="Times New Roman"/>
                <w:color w:val="000000"/>
                <w:sz w:val="24"/>
                <w:highlight w:val="none"/>
                <w:lang w:val="en-US" w:eastAsia="zh-CN"/>
              </w:rPr>
              <w:t>2、</w:t>
            </w:r>
            <w:r>
              <w:rPr>
                <w:rFonts w:hint="default" w:ascii="Times New Roman" w:hAnsi="Times New Roman" w:eastAsia="宋体" w:cs="Times New Roman"/>
                <w:color w:val="000000"/>
                <w:sz w:val="24"/>
                <w:highlight w:val="none"/>
                <w:lang w:val="zh-CN"/>
              </w:rPr>
              <w:t>声环境：项目区厂界</w:t>
            </w:r>
            <w:r>
              <w:rPr>
                <w:rFonts w:hint="default" w:ascii="Times New Roman" w:hAnsi="Times New Roman" w:eastAsia="宋体" w:cs="Times New Roman"/>
                <w:color w:val="000000"/>
                <w:sz w:val="24"/>
                <w:highlight w:val="none"/>
              </w:rPr>
              <w:t>50m范围内</w:t>
            </w:r>
            <w:r>
              <w:rPr>
                <w:rFonts w:hint="eastAsia" w:ascii="Times New Roman" w:hAnsi="Times New Roman" w:eastAsia="宋体" w:cs="Times New Roman"/>
                <w:color w:val="000000"/>
                <w:sz w:val="24"/>
                <w:highlight w:val="none"/>
                <w:lang w:val="en-US" w:eastAsia="zh-CN"/>
              </w:rPr>
              <w:t>无声环境保护目标</w:t>
            </w:r>
            <w:r>
              <w:rPr>
                <w:rFonts w:hint="default" w:ascii="Times New Roman" w:hAnsi="Times New Roman" w:eastAsia="宋体" w:cs="Times New Roman"/>
                <w:color w:val="000000"/>
                <w:sz w:val="24"/>
                <w:highlight w:val="none"/>
                <w:lang w:val="zh-CN"/>
              </w:rPr>
              <w:t>。</w:t>
            </w:r>
          </w:p>
          <w:p w14:paraId="6468A8E9">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000000"/>
                <w:sz w:val="24"/>
                <w:highlight w:val="none"/>
                <w:lang w:val="zh-CN"/>
              </w:rPr>
            </w:pPr>
            <w:r>
              <w:rPr>
                <w:rFonts w:hint="eastAsia" w:cs="Times New Roman"/>
                <w:color w:val="000000"/>
                <w:sz w:val="24"/>
                <w:highlight w:val="none"/>
                <w:lang w:val="en-US" w:eastAsia="zh-CN"/>
              </w:rPr>
              <w:t>3、</w:t>
            </w:r>
            <w:r>
              <w:rPr>
                <w:rFonts w:hint="default" w:ascii="Times New Roman" w:hAnsi="Times New Roman" w:eastAsia="宋体" w:cs="Times New Roman"/>
                <w:color w:val="000000"/>
                <w:sz w:val="24"/>
                <w:highlight w:val="none"/>
                <w:lang w:val="zh-CN"/>
              </w:rPr>
              <w:t>地下水环境：</w:t>
            </w:r>
            <w:r>
              <w:rPr>
                <w:rFonts w:hint="eastAsia" w:ascii="Times New Roman" w:hAnsi="Times New Roman" w:eastAsia="宋体" w:cs="Times New Roman"/>
                <w:color w:val="000000"/>
                <w:sz w:val="24"/>
                <w:highlight w:val="none"/>
                <w:lang w:val="en-US" w:eastAsia="zh-CN"/>
              </w:rPr>
              <w:t>本</w:t>
            </w:r>
            <w:r>
              <w:rPr>
                <w:rFonts w:hint="default" w:ascii="Times New Roman" w:hAnsi="Times New Roman" w:eastAsia="宋体" w:cs="Times New Roman"/>
                <w:color w:val="000000"/>
                <w:sz w:val="24"/>
                <w:highlight w:val="none"/>
                <w:lang w:val="zh-CN"/>
              </w:rPr>
              <w:t>项目区厂界</w:t>
            </w:r>
            <w:r>
              <w:rPr>
                <w:rFonts w:hint="eastAsia" w:ascii="Times New Roman" w:hAnsi="Times New Roman" w:eastAsia="宋体" w:cs="Times New Roman"/>
                <w:color w:val="000000"/>
                <w:sz w:val="24"/>
                <w:highlight w:val="none"/>
                <w:lang w:val="en-US" w:eastAsia="zh-CN"/>
              </w:rPr>
              <w:t>外</w:t>
            </w:r>
            <w:r>
              <w:rPr>
                <w:rFonts w:hint="default" w:ascii="Times New Roman" w:hAnsi="Times New Roman" w:eastAsia="宋体" w:cs="Times New Roman"/>
                <w:color w:val="000000"/>
                <w:sz w:val="24"/>
                <w:highlight w:val="none"/>
              </w:rPr>
              <w:t>500m范围内无地下水集中式饮用水水源和热水、矿泉水、温泉等特殊地下水资源</w:t>
            </w:r>
            <w:r>
              <w:rPr>
                <w:rFonts w:hint="default" w:ascii="Times New Roman" w:hAnsi="Times New Roman" w:eastAsia="宋体" w:cs="Times New Roman"/>
                <w:color w:val="000000"/>
                <w:sz w:val="24"/>
                <w:highlight w:val="none"/>
                <w:lang w:val="zh-CN"/>
              </w:rPr>
              <w:t>。</w:t>
            </w:r>
          </w:p>
          <w:p w14:paraId="7090A5D4">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Times New Roman" w:hAnsi="Times New Roman" w:eastAsia="宋体" w:cs="Times New Roman"/>
                <w:color w:val="000000"/>
                <w:sz w:val="24"/>
                <w:highlight w:val="none"/>
                <w:lang w:val="en-US" w:eastAsia="zh-CN"/>
              </w:rPr>
            </w:pPr>
            <w:r>
              <w:rPr>
                <w:rFonts w:hint="eastAsia" w:cs="Times New Roman"/>
                <w:color w:val="000000"/>
                <w:sz w:val="24"/>
                <w:highlight w:val="none"/>
                <w:lang w:val="en-US" w:eastAsia="zh-CN"/>
              </w:rPr>
              <w:t>4、</w:t>
            </w:r>
            <w:r>
              <w:rPr>
                <w:rFonts w:hint="eastAsia" w:ascii="Times New Roman" w:hAnsi="Times New Roman" w:eastAsia="宋体" w:cs="Times New Roman"/>
                <w:color w:val="000000"/>
                <w:sz w:val="24"/>
                <w:highlight w:val="none"/>
                <w:lang w:val="en-US" w:eastAsia="zh-CN"/>
              </w:rPr>
              <w:t>地表水环境：</w:t>
            </w:r>
            <w:r>
              <w:rPr>
                <w:rFonts w:hint="default" w:ascii="Times New Roman" w:hAnsi="Times New Roman" w:eastAsia="宋体" w:cs="Times New Roman"/>
                <w:color w:val="000000"/>
                <w:sz w:val="24"/>
                <w:highlight w:val="none"/>
                <w:lang w:val="en-US" w:eastAsia="zh-CN"/>
              </w:rPr>
              <w:t>厂址500m范围内无地表水敏感目标</w:t>
            </w:r>
            <w:r>
              <w:rPr>
                <w:rFonts w:hint="eastAsia" w:ascii="Times New Roman" w:hAnsi="Times New Roman" w:eastAsia="宋体" w:cs="Times New Roman"/>
                <w:color w:val="000000"/>
                <w:sz w:val="24"/>
                <w:highlight w:val="none"/>
                <w:lang w:val="en-US" w:eastAsia="zh-CN"/>
              </w:rPr>
              <w:t>。</w:t>
            </w:r>
          </w:p>
          <w:p w14:paraId="2D98677E">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000000"/>
                <w:sz w:val="24"/>
                <w:highlight w:val="none"/>
                <w:lang w:val="en-US" w:eastAsia="zh-CN"/>
              </w:rPr>
            </w:pPr>
            <w:r>
              <w:rPr>
                <w:rFonts w:hint="eastAsia" w:cs="Times New Roman"/>
                <w:color w:val="000000"/>
                <w:sz w:val="24"/>
                <w:highlight w:val="none"/>
                <w:lang w:val="en-US" w:eastAsia="zh-CN"/>
              </w:rPr>
              <w:t>5、</w:t>
            </w:r>
            <w:r>
              <w:rPr>
                <w:rFonts w:hint="eastAsia" w:ascii="Times New Roman" w:hAnsi="Times New Roman" w:eastAsia="宋体" w:cs="Times New Roman"/>
                <w:color w:val="000000"/>
                <w:sz w:val="24"/>
                <w:highlight w:val="none"/>
                <w:lang w:val="en-US" w:eastAsia="zh-CN"/>
              </w:rPr>
              <w:t>生态环境：本项目在现有厂区内建设，不新增用地，无生态环境保护目标</w:t>
            </w:r>
            <w:r>
              <w:rPr>
                <w:rFonts w:hint="default" w:ascii="Times New Roman" w:hAnsi="Times New Roman" w:eastAsia="宋体" w:cs="Times New Roman"/>
                <w:color w:val="000000"/>
                <w:sz w:val="24"/>
                <w:highlight w:val="none"/>
                <w:lang w:val="en-US" w:eastAsia="zh-CN"/>
              </w:rPr>
              <w:t>。</w:t>
            </w:r>
          </w:p>
          <w:p w14:paraId="6A602AF0">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000000"/>
                <w:sz w:val="24"/>
                <w:highlight w:val="none"/>
                <w:lang w:val="en-US" w:eastAsia="zh-CN"/>
              </w:rPr>
            </w:pPr>
            <w:r>
              <w:rPr>
                <w:rFonts w:hint="eastAsia" w:cs="Times New Roman"/>
                <w:color w:val="000000"/>
                <w:sz w:val="24"/>
                <w:highlight w:val="none"/>
                <w:lang w:val="en-US" w:eastAsia="zh-CN"/>
              </w:rPr>
              <w:t>本项目周边环境现状及环境保护目标图详见附图11。</w:t>
            </w:r>
          </w:p>
        </w:tc>
      </w:tr>
      <w:tr w14:paraId="4FD02E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9" w:hRule="atLeast"/>
          <w:jc w:val="center"/>
        </w:trPr>
        <w:tc>
          <w:tcPr>
            <w:tcW w:w="423" w:type="dxa"/>
            <w:noWrap w:val="0"/>
            <w:vAlign w:val="center"/>
          </w:tcPr>
          <w:p w14:paraId="75A080DA">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污染</w:t>
            </w:r>
          </w:p>
          <w:p w14:paraId="73B69DB8">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物排</w:t>
            </w:r>
          </w:p>
          <w:p w14:paraId="314181B7">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放控</w:t>
            </w:r>
          </w:p>
          <w:p w14:paraId="7190D6DD">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制标</w:t>
            </w:r>
          </w:p>
          <w:p w14:paraId="3643443F">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准</w:t>
            </w:r>
          </w:p>
        </w:tc>
        <w:tc>
          <w:tcPr>
            <w:tcW w:w="8638" w:type="dxa"/>
            <w:noWrap w:val="0"/>
            <w:vAlign w:val="center"/>
          </w:tcPr>
          <w:p w14:paraId="5045A11B">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textAlignment w:val="auto"/>
              <w:rPr>
                <w:rFonts w:hint="eastAsia" w:ascii="Times New Roman" w:hAnsi="Times New Roman" w:eastAsia="宋体" w:cs="Times New Roman"/>
                <w:b/>
                <w:bCs/>
                <w:color w:val="auto"/>
                <w:kern w:val="0"/>
                <w:sz w:val="24"/>
                <w:szCs w:val="24"/>
                <w:highlight w:val="none"/>
                <w:lang w:val="en-US" w:eastAsia="zh-CN"/>
              </w:rPr>
            </w:pPr>
            <w:r>
              <w:rPr>
                <w:rFonts w:hint="eastAsia" w:cs="Times New Roman"/>
                <w:b/>
                <w:bCs/>
                <w:color w:val="auto"/>
                <w:kern w:val="0"/>
                <w:sz w:val="24"/>
                <w:szCs w:val="24"/>
                <w:lang w:val="en-US" w:eastAsia="zh-CN" w:bidi="ar-SA"/>
              </w:rPr>
              <w:t>3.8</w:t>
            </w:r>
            <w:r>
              <w:rPr>
                <w:rFonts w:hint="eastAsia" w:ascii="Times New Roman" w:hAnsi="Times New Roman" w:eastAsia="宋体" w:cs="Times New Roman"/>
                <w:b/>
                <w:bCs/>
                <w:color w:val="auto"/>
                <w:kern w:val="0"/>
                <w:sz w:val="24"/>
                <w:szCs w:val="24"/>
                <w:highlight w:val="none"/>
                <w:lang w:val="en-US" w:eastAsia="zh-CN"/>
              </w:rPr>
              <w:t>废气</w:t>
            </w:r>
          </w:p>
          <w:p w14:paraId="333156A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运营期有组织废气</w:t>
            </w:r>
            <w:r>
              <w:rPr>
                <w:rFonts w:hint="eastAsia" w:cs="Times New Roman"/>
                <w:sz w:val="24"/>
                <w:szCs w:val="24"/>
                <w:highlight w:val="none"/>
                <w:lang w:val="en-US" w:eastAsia="zh-CN"/>
              </w:rPr>
              <w:t>NH</w:t>
            </w:r>
            <w:r>
              <w:rPr>
                <w:rFonts w:hint="eastAsia" w:cs="Times New Roman"/>
                <w:sz w:val="24"/>
                <w:szCs w:val="24"/>
                <w:highlight w:val="none"/>
                <w:vertAlign w:val="subscript"/>
                <w:lang w:val="en-US" w:eastAsia="zh-CN"/>
              </w:rPr>
              <w:t>3</w:t>
            </w:r>
            <w:r>
              <w:rPr>
                <w:rFonts w:hint="eastAsia" w:ascii="Times New Roman" w:hAnsi="Times New Roman" w:cs="Times New Roman"/>
                <w:highlight w:val="none"/>
                <w:lang w:val="en-US" w:eastAsia="zh-CN"/>
              </w:rPr>
              <w:t>、</w:t>
            </w:r>
            <w:r>
              <w:rPr>
                <w:rFonts w:hint="eastAsia" w:cs="Times New Roman"/>
                <w:sz w:val="24"/>
                <w:szCs w:val="24"/>
                <w:highlight w:val="none"/>
                <w:lang w:val="en-US" w:eastAsia="zh-CN"/>
              </w:rPr>
              <w:t>H</w:t>
            </w:r>
            <w:r>
              <w:rPr>
                <w:rFonts w:hint="eastAsia" w:cs="Times New Roman"/>
                <w:sz w:val="24"/>
                <w:szCs w:val="24"/>
                <w:highlight w:val="none"/>
                <w:vertAlign w:val="subscript"/>
                <w:lang w:val="en-US" w:eastAsia="zh-CN"/>
              </w:rPr>
              <w:t>2</w:t>
            </w:r>
            <w:r>
              <w:rPr>
                <w:rFonts w:hint="eastAsia" w:cs="Times New Roman"/>
                <w:sz w:val="24"/>
                <w:szCs w:val="24"/>
                <w:highlight w:val="none"/>
                <w:lang w:val="en-US" w:eastAsia="zh-CN"/>
              </w:rPr>
              <w:t>S</w:t>
            </w:r>
            <w:r>
              <w:rPr>
                <w:rFonts w:hint="default" w:ascii="Times New Roman" w:hAnsi="Times New Roman" w:eastAsia="宋体" w:cs="Times New Roman"/>
                <w:sz w:val="24"/>
                <w:szCs w:val="24"/>
                <w:highlight w:val="none"/>
              </w:rPr>
              <w:t>执行《恶臭污染物排放标准》</w:t>
            </w:r>
            <w:r>
              <w:rPr>
                <w:rFonts w:hint="eastAsia" w:ascii="Times New Roman" w:hAnsi="Times New Roman" w:cs="Times New Roman"/>
                <w:sz w:val="24"/>
                <w:szCs w:val="24"/>
                <w:highlight w:val="none"/>
                <w:lang w:eastAsia="zh-CN"/>
              </w:rPr>
              <w:t>（</w:t>
            </w:r>
            <w:r>
              <w:rPr>
                <w:rFonts w:hint="default" w:ascii="Times New Roman" w:hAnsi="Times New Roman" w:eastAsia="宋体" w:cs="Times New Roman"/>
                <w:sz w:val="24"/>
                <w:szCs w:val="24"/>
                <w:highlight w:val="none"/>
              </w:rPr>
              <w:t>GB14554-93</w:t>
            </w:r>
            <w:r>
              <w:rPr>
                <w:rFonts w:hint="eastAsia" w:ascii="Times New Roman" w:hAnsi="Times New Roman" w:cs="Times New Roman"/>
                <w:sz w:val="24"/>
                <w:szCs w:val="24"/>
                <w:highlight w:val="none"/>
                <w:lang w:eastAsia="zh-CN"/>
              </w:rPr>
              <w:t>）</w:t>
            </w:r>
            <w:r>
              <w:rPr>
                <w:rFonts w:hint="default" w:ascii="Times New Roman" w:hAnsi="Times New Roman" w:eastAsia="宋体" w:cs="Times New Roman"/>
                <w:sz w:val="24"/>
                <w:szCs w:val="24"/>
                <w:highlight w:val="none"/>
              </w:rPr>
              <w:t>中表2</w:t>
            </w:r>
            <w:r>
              <w:rPr>
                <w:rFonts w:hint="eastAsia" w:ascii="Times New Roman" w:hAnsi="Times New Roman" w:cs="Times New Roman"/>
                <w:sz w:val="24"/>
                <w:szCs w:val="24"/>
                <w:highlight w:val="none"/>
                <w:lang w:val="en-US" w:eastAsia="zh-CN"/>
              </w:rPr>
              <w:t>恶</w:t>
            </w:r>
            <w:r>
              <w:rPr>
                <w:rFonts w:hint="default" w:ascii="Times New Roman" w:hAnsi="Times New Roman" w:eastAsia="宋体" w:cs="Times New Roman"/>
                <w:sz w:val="24"/>
                <w:szCs w:val="24"/>
                <w:highlight w:val="none"/>
              </w:rPr>
              <w:t>臭污染物排放标准值的排放标准</w:t>
            </w:r>
            <w:r>
              <w:rPr>
                <w:rFonts w:hint="default" w:ascii="Times New Roman" w:hAnsi="Times New Roman" w:eastAsia="宋体" w:cs="Times New Roman"/>
                <w:sz w:val="24"/>
                <w:szCs w:val="24"/>
                <w:highlight w:val="none"/>
                <w:lang w:val="en-US" w:eastAsia="zh-CN"/>
              </w:rPr>
              <w:t>要求</w:t>
            </w:r>
            <w:r>
              <w:rPr>
                <w:rFonts w:hint="default" w:ascii="Times New Roman" w:hAnsi="Times New Roman" w:eastAsia="宋体" w:cs="Times New Roman"/>
                <w:sz w:val="24"/>
                <w:szCs w:val="24"/>
                <w:highlight w:val="none"/>
              </w:rPr>
              <w:t>，无组织</w:t>
            </w:r>
            <w:r>
              <w:rPr>
                <w:rFonts w:hint="eastAsia" w:ascii="Times New Roman" w:hAnsi="Times New Roman" w:cs="Times New Roman"/>
                <w:sz w:val="24"/>
                <w:szCs w:val="24"/>
                <w:highlight w:val="none"/>
                <w:lang w:val="en-US" w:eastAsia="zh-CN"/>
              </w:rPr>
              <w:t>废气</w:t>
            </w:r>
            <w:r>
              <w:rPr>
                <w:rFonts w:hint="eastAsia" w:cs="Times New Roman"/>
                <w:sz w:val="24"/>
                <w:szCs w:val="24"/>
                <w:highlight w:val="none"/>
                <w:lang w:val="en-US" w:eastAsia="zh-CN"/>
              </w:rPr>
              <w:t>NH</w:t>
            </w:r>
            <w:r>
              <w:rPr>
                <w:rFonts w:hint="eastAsia" w:cs="Times New Roman"/>
                <w:sz w:val="24"/>
                <w:szCs w:val="24"/>
                <w:highlight w:val="none"/>
                <w:vertAlign w:val="subscript"/>
                <w:lang w:val="en-US" w:eastAsia="zh-CN"/>
              </w:rPr>
              <w:t>3</w:t>
            </w:r>
            <w:r>
              <w:rPr>
                <w:rFonts w:hint="eastAsia" w:ascii="Times New Roman" w:hAnsi="Times New Roman" w:cs="Times New Roman"/>
                <w:highlight w:val="none"/>
                <w:lang w:val="en-US" w:eastAsia="zh-CN"/>
              </w:rPr>
              <w:t>、</w:t>
            </w:r>
            <w:r>
              <w:rPr>
                <w:rFonts w:hint="eastAsia" w:cs="Times New Roman"/>
                <w:sz w:val="24"/>
                <w:szCs w:val="24"/>
                <w:highlight w:val="none"/>
                <w:lang w:val="en-US" w:eastAsia="zh-CN"/>
              </w:rPr>
              <w:t>H</w:t>
            </w:r>
            <w:r>
              <w:rPr>
                <w:rFonts w:hint="eastAsia" w:cs="Times New Roman"/>
                <w:sz w:val="24"/>
                <w:szCs w:val="24"/>
                <w:highlight w:val="none"/>
                <w:vertAlign w:val="subscript"/>
                <w:lang w:val="en-US" w:eastAsia="zh-CN"/>
              </w:rPr>
              <w:t>2</w:t>
            </w:r>
            <w:r>
              <w:rPr>
                <w:rFonts w:hint="eastAsia" w:cs="Times New Roman"/>
                <w:sz w:val="24"/>
                <w:szCs w:val="24"/>
                <w:highlight w:val="none"/>
                <w:lang w:val="en-US" w:eastAsia="zh-CN"/>
              </w:rPr>
              <w:t>S</w:t>
            </w:r>
            <w:r>
              <w:rPr>
                <w:rFonts w:hint="default" w:ascii="Times New Roman" w:hAnsi="Times New Roman" w:eastAsia="宋体" w:cs="Times New Roman"/>
                <w:sz w:val="24"/>
                <w:szCs w:val="24"/>
                <w:highlight w:val="none"/>
              </w:rPr>
              <w:t>执行《城镇污水处理厂污染物排放标准》（GB 18918-2002）中表</w:t>
            </w:r>
            <w:r>
              <w:rPr>
                <w:rFonts w:hint="eastAsia" w:ascii="Times New Roman" w:hAnsi="Times New Roman" w:cs="Times New Roman"/>
                <w:sz w:val="24"/>
                <w:szCs w:val="24"/>
                <w:highlight w:val="none"/>
                <w:lang w:val="en-US" w:eastAsia="zh-CN"/>
              </w:rPr>
              <w:t>4</w:t>
            </w:r>
            <w:r>
              <w:rPr>
                <w:rFonts w:ascii="宋体" w:hAnsi="宋体" w:eastAsia="宋体" w:cs="宋体"/>
                <w:sz w:val="24"/>
                <w:szCs w:val="24"/>
                <w:highlight w:val="none"/>
              </w:rPr>
              <w:t>厂界（防护带边缘）废气排放最高允许浓度</w:t>
            </w:r>
            <w:r>
              <w:rPr>
                <w:rFonts w:hint="default" w:ascii="Times New Roman" w:hAnsi="Times New Roman" w:eastAsia="宋体" w:cs="Times New Roman"/>
                <w:sz w:val="24"/>
                <w:szCs w:val="24"/>
                <w:highlight w:val="none"/>
              </w:rPr>
              <w:t>二级标准限值，具体见表</w:t>
            </w:r>
            <w:r>
              <w:rPr>
                <w:rFonts w:hint="eastAsia" w:ascii="Times New Roman" w:hAnsi="Times New Roman" w:cs="Times New Roman"/>
                <w:sz w:val="24"/>
                <w:szCs w:val="24"/>
                <w:highlight w:val="none"/>
                <w:lang w:val="en-US" w:eastAsia="zh-CN"/>
              </w:rPr>
              <w:t>3</w:t>
            </w:r>
            <w:r>
              <w:rPr>
                <w:rFonts w:hint="eastAsia" w:cs="Times New Roman"/>
                <w:sz w:val="24"/>
                <w:szCs w:val="24"/>
                <w:highlight w:val="none"/>
                <w:lang w:val="en-US" w:eastAsia="zh-CN"/>
              </w:rPr>
              <w:t>-9</w:t>
            </w:r>
            <w:r>
              <w:rPr>
                <w:rFonts w:hint="eastAsia" w:cs="Times New Roman"/>
                <w:sz w:val="24"/>
                <w:szCs w:val="24"/>
                <w:highlight w:val="none"/>
                <w:lang w:eastAsia="zh-CN"/>
              </w:rPr>
              <w:t>：</w:t>
            </w:r>
          </w:p>
          <w:p w14:paraId="29DBA997">
            <w:pPr>
              <w:pStyle w:val="23"/>
              <w:bidi w:val="0"/>
              <w:rPr>
                <w:rFonts w:hint="eastAsia"/>
                <w:lang w:eastAsia="zh-CN"/>
              </w:rPr>
            </w:pPr>
            <w:r>
              <w:t>表</w:t>
            </w:r>
            <w:r>
              <w:fldChar w:fldCharType="begin"/>
            </w:r>
            <w:r>
              <w:instrText xml:space="preserve"> STYLEREF 1 \s \* ARABIC </w:instrText>
            </w:r>
            <w:r>
              <w:fldChar w:fldCharType="separate"/>
            </w:r>
            <w:r>
              <w:t>3</w:t>
            </w:r>
            <w:r>
              <w:fldChar w:fldCharType="end"/>
            </w:r>
            <w:r>
              <w:rPr>
                <w:rFonts w:hint="eastAsia"/>
                <w:lang w:val="en-US" w:eastAsia="zh-CN"/>
              </w:rPr>
              <w:t>-9</w:t>
            </w:r>
            <w:r>
              <w:rPr>
                <w:rFonts w:hint="eastAsia"/>
                <w:lang w:eastAsia="zh-CN"/>
              </w:rPr>
              <w:t>大气污染物排放控制标准</w:t>
            </w:r>
          </w:p>
          <w:tbl>
            <w:tblPr>
              <w:tblStyle w:val="15"/>
              <w:tblW w:w="84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401"/>
              <w:gridCol w:w="1117"/>
              <w:gridCol w:w="1230"/>
              <w:gridCol w:w="861"/>
              <w:gridCol w:w="1499"/>
              <w:gridCol w:w="2311"/>
            </w:tblGrid>
            <w:tr w14:paraId="7D8F0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832" w:type="pct"/>
                  <w:vMerge w:val="restart"/>
                  <w:tcBorders>
                    <w:top w:val="single" w:color="000000" w:sz="4" w:space="0"/>
                    <w:left w:val="single" w:color="000000" w:sz="4" w:space="0"/>
                    <w:right w:val="single" w:color="000000" w:sz="4" w:space="0"/>
                    <w:tl2br w:val="nil"/>
                  </w:tcBorders>
                  <w:shd w:val="clear" w:color="auto" w:fill="FFFFFF"/>
                  <w:tcMar>
                    <w:top w:w="53" w:type="dxa"/>
                    <w:left w:w="53" w:type="dxa"/>
                    <w:bottom w:w="53" w:type="dxa"/>
                    <w:right w:w="53" w:type="dxa"/>
                  </w:tcMar>
                  <w:vAlign w:val="center"/>
                </w:tcPr>
                <w:p w14:paraId="5DAC388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类型</w:t>
                  </w:r>
                </w:p>
              </w:tc>
              <w:tc>
                <w:tcPr>
                  <w:tcW w:w="663" w:type="pct"/>
                  <w:vMerge w:val="restart"/>
                  <w:tcBorders>
                    <w:top w:val="single" w:color="000000" w:sz="4" w:space="0"/>
                    <w:left w:val="single" w:color="000000" w:sz="4" w:space="0"/>
                    <w:right w:val="single" w:color="000000" w:sz="4" w:space="0"/>
                  </w:tcBorders>
                  <w:shd w:val="clear" w:color="auto" w:fill="FFFFFF"/>
                  <w:tcMar>
                    <w:top w:w="53" w:type="dxa"/>
                    <w:left w:w="53" w:type="dxa"/>
                    <w:bottom w:w="53" w:type="dxa"/>
                    <w:right w:w="53" w:type="dxa"/>
                  </w:tcMar>
                  <w:vAlign w:val="center"/>
                </w:tcPr>
                <w:p w14:paraId="170BA78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污染物</w:t>
                  </w:r>
                </w:p>
              </w:tc>
              <w:tc>
                <w:tcPr>
                  <w:tcW w:w="730" w:type="pct"/>
                  <w:vMerge w:val="restart"/>
                  <w:tcBorders>
                    <w:top w:val="single" w:color="000000" w:sz="4" w:space="0"/>
                    <w:left w:val="single" w:color="000000" w:sz="4" w:space="0"/>
                    <w:right w:val="single" w:color="000000" w:sz="4" w:space="0"/>
                  </w:tcBorders>
                  <w:shd w:val="clear" w:color="auto" w:fill="FFFFFF"/>
                  <w:tcMar>
                    <w:top w:w="53" w:type="dxa"/>
                    <w:left w:w="53" w:type="dxa"/>
                    <w:bottom w:w="53" w:type="dxa"/>
                    <w:right w:w="53" w:type="dxa"/>
                  </w:tcMar>
                  <w:vAlign w:val="center"/>
                </w:tcPr>
                <w:p w14:paraId="64634FE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排放浓度（mg/m</w:t>
                  </w:r>
                  <w:r>
                    <w:rPr>
                      <w:rFonts w:eastAsia="宋体"/>
                      <w:color w:val="000000"/>
                      <w:sz w:val="21"/>
                      <w:szCs w:val="21"/>
                      <w:highlight w:val="none"/>
                      <w:vertAlign w:val="superscript"/>
                    </w:rPr>
                    <w:t>3</w:t>
                  </w:r>
                  <w:r>
                    <w:rPr>
                      <w:rFonts w:hint="default" w:ascii="Times New Roman" w:hAnsi="Times New Roman" w:eastAsia="宋体" w:cs="Times New Roman"/>
                      <w:sz w:val="21"/>
                      <w:szCs w:val="21"/>
                      <w:highlight w:val="none"/>
                      <w:vertAlign w:val="baseline"/>
                      <w:lang w:val="en-US" w:eastAsia="zh-CN"/>
                    </w:rPr>
                    <w:t>）</w:t>
                  </w: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0665400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排放速率（kg/h）</w:t>
                  </w:r>
                </w:p>
              </w:tc>
              <w:tc>
                <w:tcPr>
                  <w:tcW w:w="1372" w:type="pct"/>
                  <w:vMerge w:val="restart"/>
                  <w:tcBorders>
                    <w:top w:val="single" w:color="000000" w:sz="4" w:space="0"/>
                    <w:left w:val="single" w:color="000000" w:sz="4" w:space="0"/>
                    <w:right w:val="single" w:color="000000" w:sz="4" w:space="0"/>
                  </w:tcBorders>
                  <w:shd w:val="clear" w:color="auto" w:fill="FFFFFF"/>
                  <w:tcMar>
                    <w:top w:w="53" w:type="dxa"/>
                    <w:left w:w="53" w:type="dxa"/>
                    <w:bottom w:w="53" w:type="dxa"/>
                    <w:right w:w="53" w:type="dxa"/>
                  </w:tcMar>
                  <w:vAlign w:val="center"/>
                </w:tcPr>
                <w:p w14:paraId="292A377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执行标准</w:t>
                  </w:r>
                </w:p>
              </w:tc>
            </w:tr>
            <w:tr w14:paraId="0F3CD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32" w:type="pct"/>
                  <w:vMerge w:val="continue"/>
                  <w:tcBorders>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2B4BA00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highlight w:val="none"/>
                      <w:vertAlign w:val="baseline"/>
                      <w:lang w:val="en-US" w:eastAsia="zh-CN"/>
                    </w:rPr>
                  </w:pPr>
                </w:p>
              </w:tc>
              <w:tc>
                <w:tcPr>
                  <w:tcW w:w="663" w:type="pct"/>
                  <w:vMerge w:val="continue"/>
                  <w:tcBorders>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784C57D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highlight w:val="none"/>
                      <w:vertAlign w:val="baseline"/>
                      <w:lang w:val="en-US" w:eastAsia="zh-CN"/>
                    </w:rPr>
                  </w:pPr>
                </w:p>
              </w:tc>
              <w:tc>
                <w:tcPr>
                  <w:tcW w:w="730" w:type="pct"/>
                  <w:vMerge w:val="continue"/>
                  <w:tcBorders>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1EEB941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highlight w:val="none"/>
                      <w:vertAlign w:val="baseline"/>
                      <w:lang w:val="en-US" w:eastAsia="zh-CN"/>
                    </w:rPr>
                  </w:pPr>
                </w:p>
              </w:tc>
              <w:tc>
                <w:tcPr>
                  <w:tcW w:w="511" w:type="pct"/>
                  <w:tcBorders>
                    <w:top w:val="single" w:color="000000"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5D0ED12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排气筒</w:t>
                  </w:r>
                </w:p>
              </w:tc>
              <w:tc>
                <w:tcPr>
                  <w:tcW w:w="890" w:type="pct"/>
                  <w:tcBorders>
                    <w:top w:val="single" w:color="000000"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09DDEE5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二级限值</w:t>
                  </w:r>
                </w:p>
              </w:tc>
              <w:tc>
                <w:tcPr>
                  <w:tcW w:w="1372" w:type="pct"/>
                  <w:vMerge w:val="continue"/>
                  <w:tcBorders>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288DA4C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highlight w:val="none"/>
                      <w:vertAlign w:val="baseline"/>
                      <w:lang w:val="en-US" w:eastAsia="zh-CN"/>
                    </w:rPr>
                  </w:pPr>
                </w:p>
              </w:tc>
            </w:tr>
            <w:tr w14:paraId="6AF55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32" w:type="pct"/>
                  <w:vMerge w:val="restart"/>
                  <w:tcBorders>
                    <w:top w:val="single" w:color="000000" w:sz="4" w:space="0"/>
                    <w:left w:val="single" w:color="000000" w:sz="4" w:space="0"/>
                    <w:right w:val="single" w:color="000000" w:sz="4" w:space="0"/>
                  </w:tcBorders>
                  <w:shd w:val="clear" w:color="auto" w:fill="FFFFFF"/>
                  <w:tcMar>
                    <w:top w:w="53" w:type="dxa"/>
                    <w:left w:w="53" w:type="dxa"/>
                    <w:bottom w:w="53" w:type="dxa"/>
                    <w:right w:w="53" w:type="dxa"/>
                  </w:tcMar>
                  <w:vAlign w:val="center"/>
                </w:tcPr>
                <w:p w14:paraId="3795506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污水处理厂废气排放口</w:t>
                  </w:r>
                </w:p>
              </w:tc>
              <w:tc>
                <w:tcPr>
                  <w:tcW w:w="663" w:type="pct"/>
                  <w:tcBorders>
                    <w:top w:val="single" w:color="000000"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68CCEDA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ascii="Times New Roman" w:hAnsi="Times New Roman" w:cs="Times New Roman"/>
                      <w:sz w:val="21"/>
                      <w:szCs w:val="21"/>
                      <w:highlight w:val="none"/>
                      <w:lang w:val="en-US" w:eastAsia="zh-CN"/>
                    </w:rPr>
                    <w:t>H</w:t>
                  </w:r>
                  <w:r>
                    <w:rPr>
                      <w:rFonts w:hint="default" w:ascii="Times New Roman" w:hAnsi="Times New Roman" w:eastAsia="宋体" w:cs="Times New Roman"/>
                      <w:sz w:val="21"/>
                      <w:szCs w:val="21"/>
                      <w:highlight w:val="none"/>
                      <w:vertAlign w:val="subscript"/>
                    </w:rPr>
                    <w:t>2</w:t>
                  </w:r>
                  <w:r>
                    <w:rPr>
                      <w:rFonts w:hint="eastAsia" w:ascii="Times New Roman" w:hAnsi="Times New Roman" w:cs="Times New Roman"/>
                      <w:sz w:val="21"/>
                      <w:szCs w:val="21"/>
                      <w:highlight w:val="none"/>
                      <w:lang w:val="en-US" w:eastAsia="zh-CN"/>
                    </w:rPr>
                    <w:t>S</w:t>
                  </w:r>
                </w:p>
              </w:tc>
              <w:tc>
                <w:tcPr>
                  <w:tcW w:w="730" w:type="pct"/>
                  <w:tcBorders>
                    <w:top w:val="single" w:color="000000"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0978240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w:t>
                  </w:r>
                </w:p>
              </w:tc>
              <w:tc>
                <w:tcPr>
                  <w:tcW w:w="511" w:type="pct"/>
                  <w:vMerge w:val="restart"/>
                  <w:tcBorders>
                    <w:top w:val="single" w:color="000000" w:sz="4" w:space="0"/>
                    <w:left w:val="single" w:color="000000" w:sz="4" w:space="0"/>
                    <w:right w:val="single" w:color="000000" w:sz="4" w:space="0"/>
                  </w:tcBorders>
                  <w:shd w:val="clear" w:color="auto" w:fill="FFFFFF"/>
                  <w:tcMar>
                    <w:top w:w="53" w:type="dxa"/>
                    <w:left w:w="53" w:type="dxa"/>
                    <w:bottom w:w="53" w:type="dxa"/>
                    <w:right w:w="53" w:type="dxa"/>
                  </w:tcMar>
                  <w:vAlign w:val="center"/>
                </w:tcPr>
                <w:p w14:paraId="7DB6ACF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15m</w:t>
                  </w:r>
                </w:p>
              </w:tc>
              <w:tc>
                <w:tcPr>
                  <w:tcW w:w="890" w:type="pct"/>
                  <w:tcBorders>
                    <w:top w:val="single" w:color="000000"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6E1D808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0.33kg/h</w:t>
                  </w:r>
                </w:p>
              </w:tc>
              <w:tc>
                <w:tcPr>
                  <w:tcW w:w="1372" w:type="pct"/>
                  <w:vMerge w:val="restart"/>
                  <w:tcBorders>
                    <w:top w:val="single" w:color="000000" w:sz="4" w:space="0"/>
                    <w:left w:val="single" w:color="000000" w:sz="4" w:space="0"/>
                    <w:right w:val="single" w:color="000000" w:sz="4" w:space="0"/>
                  </w:tcBorders>
                  <w:shd w:val="clear" w:color="auto" w:fill="FFFFFF"/>
                  <w:tcMar>
                    <w:top w:w="53" w:type="dxa"/>
                    <w:left w:w="53" w:type="dxa"/>
                    <w:bottom w:w="53" w:type="dxa"/>
                    <w:right w:w="53" w:type="dxa"/>
                  </w:tcMar>
                  <w:vAlign w:val="center"/>
                </w:tcPr>
                <w:p w14:paraId="1EF292B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ascii="Times New Roman" w:hAnsi="Times New Roman" w:eastAsia="宋体" w:cs="Times New Roman"/>
                      <w:sz w:val="21"/>
                      <w:szCs w:val="21"/>
                      <w:highlight w:val="none"/>
                      <w:vertAlign w:val="baseline"/>
                      <w:lang w:val="en-US" w:eastAsia="zh-CN"/>
                    </w:rPr>
                    <w:t>《恶臭污染物排放标准》（GB14554-93）</w:t>
                  </w:r>
                  <w:r>
                    <w:rPr>
                      <w:rFonts w:hint="default" w:ascii="Times New Roman" w:hAnsi="Times New Roman" w:eastAsia="宋体" w:cs="Times New Roman"/>
                      <w:sz w:val="21"/>
                      <w:szCs w:val="21"/>
                      <w:highlight w:val="none"/>
                      <w:vertAlign w:val="baseline"/>
                      <w:lang w:val="en-US" w:eastAsia="zh-CN"/>
                    </w:rPr>
                    <w:t>中表2</w:t>
                  </w:r>
                  <w:r>
                    <w:rPr>
                      <w:rFonts w:hint="eastAsia" w:ascii="Times New Roman" w:hAnsi="Times New Roman" w:eastAsia="宋体" w:cs="Times New Roman"/>
                      <w:sz w:val="21"/>
                      <w:szCs w:val="21"/>
                      <w:highlight w:val="none"/>
                      <w:vertAlign w:val="baseline"/>
                      <w:lang w:val="en-US" w:eastAsia="zh-CN"/>
                    </w:rPr>
                    <w:t>恶</w:t>
                  </w:r>
                  <w:r>
                    <w:rPr>
                      <w:rFonts w:hint="default" w:ascii="Times New Roman" w:hAnsi="Times New Roman" w:eastAsia="宋体" w:cs="Times New Roman"/>
                      <w:sz w:val="21"/>
                      <w:szCs w:val="21"/>
                      <w:highlight w:val="none"/>
                      <w:vertAlign w:val="baseline"/>
                      <w:lang w:val="en-US" w:eastAsia="zh-CN"/>
                    </w:rPr>
                    <w:t>臭污染物排放标准</w:t>
                  </w:r>
                </w:p>
              </w:tc>
            </w:tr>
            <w:tr w14:paraId="6DE41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0" w:hRule="atLeast"/>
              </w:trPr>
              <w:tc>
                <w:tcPr>
                  <w:tcW w:w="832" w:type="pct"/>
                  <w:vMerge w:val="continue"/>
                  <w:tcBorders>
                    <w:left w:val="single" w:color="000000" w:sz="4" w:space="0"/>
                    <w:right w:val="single" w:color="000000" w:sz="4" w:space="0"/>
                  </w:tcBorders>
                  <w:shd w:val="clear" w:color="auto" w:fill="FFFFFF"/>
                  <w:tcMar>
                    <w:top w:w="53" w:type="dxa"/>
                    <w:left w:w="53" w:type="dxa"/>
                    <w:bottom w:w="53" w:type="dxa"/>
                    <w:right w:w="53" w:type="dxa"/>
                  </w:tcMar>
                  <w:vAlign w:val="center"/>
                </w:tcPr>
                <w:p w14:paraId="23F2EF3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highlight w:val="none"/>
                      <w:vertAlign w:val="baseline"/>
                      <w:lang w:val="en-US" w:eastAsia="zh-CN"/>
                    </w:rPr>
                  </w:pPr>
                </w:p>
              </w:tc>
              <w:tc>
                <w:tcPr>
                  <w:tcW w:w="663" w:type="pct"/>
                  <w:tcBorders>
                    <w:top w:val="single" w:color="000000" w:sz="4" w:space="0"/>
                    <w:left w:val="single" w:color="000000" w:sz="4" w:space="0"/>
                    <w:bottom w:val="single" w:color="auto" w:sz="4" w:space="0"/>
                    <w:right w:val="single" w:color="000000" w:sz="4" w:space="0"/>
                  </w:tcBorders>
                  <w:shd w:val="clear" w:color="auto" w:fill="FFFFFF"/>
                  <w:tcMar>
                    <w:top w:w="53" w:type="dxa"/>
                    <w:left w:w="53" w:type="dxa"/>
                    <w:bottom w:w="53" w:type="dxa"/>
                    <w:right w:w="53" w:type="dxa"/>
                  </w:tcMar>
                  <w:vAlign w:val="center"/>
                </w:tcPr>
                <w:p w14:paraId="5374F05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ascii="Times New Roman" w:hAnsi="Times New Roman" w:cs="Times New Roman"/>
                      <w:sz w:val="21"/>
                      <w:szCs w:val="21"/>
                      <w:highlight w:val="none"/>
                      <w:lang w:val="en-US" w:eastAsia="zh-CN"/>
                    </w:rPr>
                    <w:t>NH</w:t>
                  </w:r>
                  <w:r>
                    <w:rPr>
                      <w:rFonts w:eastAsia="宋体"/>
                      <w:color w:val="000000"/>
                      <w:sz w:val="21"/>
                      <w:szCs w:val="21"/>
                      <w:highlight w:val="none"/>
                      <w:vertAlign w:val="subscript"/>
                    </w:rPr>
                    <w:t>3</w:t>
                  </w:r>
                </w:p>
              </w:tc>
              <w:tc>
                <w:tcPr>
                  <w:tcW w:w="730" w:type="pct"/>
                  <w:tcBorders>
                    <w:top w:val="single" w:color="000000" w:sz="4" w:space="0"/>
                    <w:left w:val="single" w:color="000000" w:sz="4" w:space="0"/>
                    <w:bottom w:val="single" w:color="auto" w:sz="4" w:space="0"/>
                    <w:right w:val="single" w:color="000000" w:sz="4" w:space="0"/>
                  </w:tcBorders>
                  <w:shd w:val="clear" w:color="auto" w:fill="FFFFFF"/>
                  <w:tcMar>
                    <w:top w:w="53" w:type="dxa"/>
                    <w:left w:w="53" w:type="dxa"/>
                    <w:bottom w:w="53" w:type="dxa"/>
                    <w:right w:w="53" w:type="dxa"/>
                  </w:tcMar>
                  <w:vAlign w:val="center"/>
                </w:tcPr>
                <w:p w14:paraId="4C15012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w:t>
                  </w:r>
                </w:p>
              </w:tc>
              <w:tc>
                <w:tcPr>
                  <w:tcW w:w="511" w:type="pct"/>
                  <w:vMerge w:val="continue"/>
                  <w:tcBorders>
                    <w:left w:val="single" w:color="000000" w:sz="4" w:space="0"/>
                    <w:right w:val="single" w:color="000000" w:sz="4" w:space="0"/>
                  </w:tcBorders>
                  <w:shd w:val="clear" w:color="auto" w:fill="FFFFFF"/>
                  <w:tcMar>
                    <w:top w:w="53" w:type="dxa"/>
                    <w:left w:w="53" w:type="dxa"/>
                    <w:bottom w:w="53" w:type="dxa"/>
                    <w:right w:w="53" w:type="dxa"/>
                  </w:tcMar>
                  <w:vAlign w:val="center"/>
                </w:tcPr>
                <w:p w14:paraId="3826E37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p>
              </w:tc>
              <w:tc>
                <w:tcPr>
                  <w:tcW w:w="890" w:type="pct"/>
                  <w:tcBorders>
                    <w:top w:val="single" w:color="000000" w:sz="4" w:space="0"/>
                    <w:left w:val="single" w:color="000000" w:sz="4" w:space="0"/>
                    <w:bottom w:val="single" w:color="auto" w:sz="4" w:space="0"/>
                    <w:right w:val="single" w:color="000000" w:sz="4" w:space="0"/>
                  </w:tcBorders>
                  <w:shd w:val="clear" w:color="auto" w:fill="FFFFFF"/>
                  <w:tcMar>
                    <w:top w:w="53" w:type="dxa"/>
                    <w:left w:w="53" w:type="dxa"/>
                    <w:bottom w:w="53" w:type="dxa"/>
                    <w:right w:w="53" w:type="dxa"/>
                  </w:tcMar>
                  <w:vAlign w:val="center"/>
                </w:tcPr>
                <w:p w14:paraId="383A3A1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4.9kg/h</w:t>
                  </w:r>
                </w:p>
              </w:tc>
              <w:tc>
                <w:tcPr>
                  <w:tcW w:w="1372" w:type="pct"/>
                  <w:vMerge w:val="continue"/>
                  <w:tcBorders>
                    <w:left w:val="single" w:color="000000" w:sz="4" w:space="0"/>
                    <w:right w:val="single" w:color="000000" w:sz="4" w:space="0"/>
                  </w:tcBorders>
                  <w:shd w:val="clear" w:color="auto" w:fill="FFFFFF"/>
                  <w:tcMar>
                    <w:top w:w="53" w:type="dxa"/>
                    <w:left w:w="53" w:type="dxa"/>
                    <w:bottom w:w="53" w:type="dxa"/>
                    <w:right w:w="53" w:type="dxa"/>
                  </w:tcMar>
                  <w:vAlign w:val="center"/>
                </w:tcPr>
                <w:p w14:paraId="45F203D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p>
              </w:tc>
            </w:tr>
            <w:tr w14:paraId="6E446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7" w:hRule="atLeast"/>
              </w:trPr>
              <w:tc>
                <w:tcPr>
                  <w:tcW w:w="832" w:type="pct"/>
                  <w:vMerge w:val="continue"/>
                  <w:tcBorders>
                    <w:left w:val="single" w:color="000000" w:sz="4" w:space="0"/>
                    <w:bottom w:val="single" w:color="auto" w:sz="4" w:space="0"/>
                    <w:right w:val="single" w:color="000000" w:sz="4" w:space="0"/>
                  </w:tcBorders>
                  <w:shd w:val="clear" w:color="auto" w:fill="FFFFFF"/>
                  <w:tcMar>
                    <w:top w:w="53" w:type="dxa"/>
                    <w:left w:w="53" w:type="dxa"/>
                    <w:bottom w:w="53" w:type="dxa"/>
                    <w:right w:w="53" w:type="dxa"/>
                  </w:tcMar>
                  <w:vAlign w:val="center"/>
                </w:tcPr>
                <w:p w14:paraId="5CE6B57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highlight w:val="none"/>
                      <w:vertAlign w:val="baseline"/>
                      <w:lang w:val="en-US" w:eastAsia="zh-CN"/>
                    </w:rPr>
                  </w:pPr>
                </w:p>
              </w:tc>
              <w:tc>
                <w:tcPr>
                  <w:tcW w:w="663" w:type="pct"/>
                  <w:tcBorders>
                    <w:top w:val="single" w:color="auto" w:sz="4" w:space="0"/>
                    <w:left w:val="single" w:color="000000" w:sz="4" w:space="0"/>
                    <w:bottom w:val="single" w:color="auto" w:sz="4" w:space="0"/>
                    <w:right w:val="single" w:color="000000" w:sz="4" w:space="0"/>
                  </w:tcBorders>
                  <w:shd w:val="clear" w:color="auto" w:fill="FFFFFF"/>
                  <w:tcMar>
                    <w:top w:w="53" w:type="dxa"/>
                    <w:left w:w="53" w:type="dxa"/>
                    <w:bottom w:w="53" w:type="dxa"/>
                    <w:right w:w="53" w:type="dxa"/>
                  </w:tcMar>
                  <w:vAlign w:val="center"/>
                </w:tcPr>
                <w:p w14:paraId="6CAD3F4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ascii="Times New Roman" w:hAnsi="Times New Roman" w:eastAsia="宋体" w:cs="Times New Roman"/>
                      <w:sz w:val="21"/>
                      <w:szCs w:val="21"/>
                      <w:highlight w:val="none"/>
                      <w:vertAlign w:val="baseline"/>
                      <w:lang w:val="en-US" w:eastAsia="zh-CN"/>
                    </w:rPr>
                    <w:t>臭气浓度</w:t>
                  </w:r>
                </w:p>
              </w:tc>
              <w:tc>
                <w:tcPr>
                  <w:tcW w:w="730" w:type="pct"/>
                  <w:tcBorders>
                    <w:top w:val="single" w:color="auto" w:sz="4" w:space="0"/>
                    <w:left w:val="single" w:color="000000" w:sz="4" w:space="0"/>
                    <w:bottom w:val="single" w:color="auto" w:sz="4" w:space="0"/>
                    <w:right w:val="single" w:color="000000" w:sz="4" w:space="0"/>
                  </w:tcBorders>
                  <w:shd w:val="clear" w:color="auto" w:fill="FFFFFF"/>
                  <w:tcMar>
                    <w:top w:w="53" w:type="dxa"/>
                    <w:left w:w="53" w:type="dxa"/>
                    <w:bottom w:w="53" w:type="dxa"/>
                    <w:right w:w="53" w:type="dxa"/>
                  </w:tcMar>
                  <w:vAlign w:val="center"/>
                </w:tcPr>
                <w:p w14:paraId="349393C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ascii="Times New Roman" w:hAnsi="Times New Roman" w:eastAsia="宋体" w:cs="Times New Roman"/>
                      <w:sz w:val="21"/>
                      <w:szCs w:val="21"/>
                      <w:highlight w:val="none"/>
                      <w:vertAlign w:val="baseline"/>
                      <w:lang w:val="en-US" w:eastAsia="zh-CN"/>
                    </w:rPr>
                    <w:t>/</w:t>
                  </w:r>
                </w:p>
              </w:tc>
              <w:tc>
                <w:tcPr>
                  <w:tcW w:w="511" w:type="pct"/>
                  <w:vMerge w:val="continue"/>
                  <w:tcBorders>
                    <w:left w:val="single" w:color="000000" w:sz="4" w:space="0"/>
                    <w:bottom w:val="single" w:color="auto" w:sz="4" w:space="0"/>
                    <w:right w:val="single" w:color="000000" w:sz="4" w:space="0"/>
                  </w:tcBorders>
                  <w:shd w:val="clear" w:color="auto" w:fill="FFFFFF"/>
                  <w:tcMar>
                    <w:top w:w="53" w:type="dxa"/>
                    <w:left w:w="53" w:type="dxa"/>
                    <w:bottom w:w="53" w:type="dxa"/>
                    <w:right w:w="53" w:type="dxa"/>
                  </w:tcMar>
                  <w:vAlign w:val="center"/>
                </w:tcPr>
                <w:p w14:paraId="7FA15B8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p>
              </w:tc>
              <w:tc>
                <w:tcPr>
                  <w:tcW w:w="890" w:type="pct"/>
                  <w:tcBorders>
                    <w:top w:val="single" w:color="auto" w:sz="4" w:space="0"/>
                    <w:left w:val="single" w:color="000000" w:sz="4" w:space="0"/>
                    <w:bottom w:val="single" w:color="auto" w:sz="4" w:space="0"/>
                    <w:right w:val="single" w:color="000000" w:sz="4" w:space="0"/>
                  </w:tcBorders>
                  <w:shd w:val="clear" w:color="auto" w:fill="FFFFFF"/>
                  <w:tcMar>
                    <w:top w:w="53" w:type="dxa"/>
                    <w:left w:w="53" w:type="dxa"/>
                    <w:bottom w:w="53" w:type="dxa"/>
                    <w:right w:w="53" w:type="dxa"/>
                  </w:tcMar>
                  <w:vAlign w:val="center"/>
                </w:tcPr>
                <w:p w14:paraId="19897F1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2000（无量纲）</w:t>
                  </w:r>
                </w:p>
              </w:tc>
              <w:tc>
                <w:tcPr>
                  <w:tcW w:w="1372" w:type="pct"/>
                  <w:vMerge w:val="continue"/>
                  <w:tcBorders>
                    <w:left w:val="single" w:color="000000" w:sz="4" w:space="0"/>
                    <w:bottom w:val="single" w:color="auto" w:sz="4" w:space="0"/>
                    <w:right w:val="single" w:color="000000" w:sz="4" w:space="0"/>
                  </w:tcBorders>
                  <w:shd w:val="clear" w:color="auto" w:fill="FFFFFF"/>
                  <w:tcMar>
                    <w:top w:w="53" w:type="dxa"/>
                    <w:left w:w="53" w:type="dxa"/>
                    <w:bottom w:w="53" w:type="dxa"/>
                    <w:right w:w="53" w:type="dxa"/>
                  </w:tcMar>
                  <w:vAlign w:val="center"/>
                </w:tcPr>
                <w:p w14:paraId="2B1D90E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p>
              </w:tc>
            </w:tr>
            <w:tr w14:paraId="45864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32" w:type="pct"/>
                  <w:vMerge w:val="restart"/>
                  <w:tcBorders>
                    <w:top w:val="single" w:color="auto" w:sz="4" w:space="0"/>
                    <w:left w:val="single" w:color="000000" w:sz="4" w:space="0"/>
                    <w:right w:val="single" w:color="000000" w:sz="4" w:space="0"/>
                  </w:tcBorders>
                  <w:shd w:val="clear" w:color="auto" w:fill="FFFFFF"/>
                  <w:tcMar>
                    <w:top w:w="53" w:type="dxa"/>
                    <w:left w:w="53" w:type="dxa"/>
                    <w:bottom w:w="53" w:type="dxa"/>
                    <w:right w:w="53" w:type="dxa"/>
                  </w:tcMar>
                  <w:vAlign w:val="center"/>
                </w:tcPr>
                <w:p w14:paraId="73796E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厂界</w:t>
                  </w:r>
                </w:p>
              </w:tc>
              <w:tc>
                <w:tcPr>
                  <w:tcW w:w="663" w:type="pct"/>
                  <w:tcBorders>
                    <w:top w:val="single" w:color="auto"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5FA797E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ascii="Times New Roman" w:hAnsi="Times New Roman" w:cs="Times New Roman"/>
                      <w:sz w:val="21"/>
                      <w:szCs w:val="21"/>
                      <w:highlight w:val="none"/>
                      <w:lang w:val="en-US" w:eastAsia="zh-CN"/>
                    </w:rPr>
                    <w:t>H</w:t>
                  </w:r>
                  <w:r>
                    <w:rPr>
                      <w:rFonts w:hint="default" w:ascii="Times New Roman" w:hAnsi="Times New Roman" w:eastAsia="宋体" w:cs="Times New Roman"/>
                      <w:sz w:val="21"/>
                      <w:szCs w:val="21"/>
                      <w:highlight w:val="none"/>
                      <w:vertAlign w:val="subscript"/>
                    </w:rPr>
                    <w:t>2</w:t>
                  </w:r>
                  <w:r>
                    <w:rPr>
                      <w:rFonts w:hint="eastAsia" w:ascii="Times New Roman" w:hAnsi="Times New Roman" w:cs="Times New Roman"/>
                      <w:sz w:val="21"/>
                      <w:szCs w:val="21"/>
                      <w:highlight w:val="none"/>
                      <w:lang w:val="en-US" w:eastAsia="zh-CN"/>
                    </w:rPr>
                    <w:t>S</w:t>
                  </w:r>
                </w:p>
              </w:tc>
              <w:tc>
                <w:tcPr>
                  <w:tcW w:w="730" w:type="pct"/>
                  <w:tcBorders>
                    <w:top w:val="single" w:color="auto"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5930A63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0.06</w:t>
                  </w:r>
                </w:p>
              </w:tc>
              <w:tc>
                <w:tcPr>
                  <w:tcW w:w="1401" w:type="pct"/>
                  <w:gridSpan w:val="2"/>
                  <w:tcBorders>
                    <w:top w:val="single" w:color="auto"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05522DB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w:t>
                  </w:r>
                </w:p>
              </w:tc>
              <w:tc>
                <w:tcPr>
                  <w:tcW w:w="1372" w:type="pct"/>
                  <w:vMerge w:val="restart"/>
                  <w:tcBorders>
                    <w:top w:val="single" w:color="auto" w:sz="4" w:space="0"/>
                    <w:left w:val="single" w:color="000000" w:sz="4" w:space="0"/>
                    <w:right w:val="single" w:color="000000" w:sz="4" w:space="0"/>
                  </w:tcBorders>
                  <w:shd w:val="clear" w:color="auto" w:fill="FFFFFF"/>
                  <w:tcMar>
                    <w:top w:w="53" w:type="dxa"/>
                    <w:left w:w="53" w:type="dxa"/>
                    <w:bottom w:w="53" w:type="dxa"/>
                    <w:right w:w="53" w:type="dxa"/>
                  </w:tcMar>
                  <w:vAlign w:val="center"/>
                </w:tcPr>
                <w:p w14:paraId="759A26F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ascii="Times New Roman" w:hAnsi="Times New Roman" w:eastAsia="宋体" w:cs="Times New Roman"/>
                      <w:sz w:val="21"/>
                      <w:szCs w:val="21"/>
                      <w:highlight w:val="none"/>
                      <w:vertAlign w:val="baseline"/>
                      <w:lang w:val="en-US" w:eastAsia="zh-CN"/>
                    </w:rPr>
                    <w:t>《城镇污水处理厂污染物排放标准》（GB 18918-2002）</w:t>
                  </w:r>
                  <w:r>
                    <w:rPr>
                      <w:rFonts w:hint="default" w:ascii="Times New Roman" w:hAnsi="Times New Roman" w:eastAsia="宋体" w:cs="Times New Roman"/>
                      <w:sz w:val="21"/>
                      <w:szCs w:val="21"/>
                      <w:highlight w:val="none"/>
                      <w:vertAlign w:val="baseline"/>
                      <w:lang w:val="en-US" w:eastAsia="zh-CN"/>
                    </w:rPr>
                    <w:t>中表</w:t>
                  </w:r>
                  <w:r>
                    <w:rPr>
                      <w:rFonts w:hint="eastAsia" w:ascii="Times New Roman" w:hAnsi="Times New Roman" w:eastAsia="宋体" w:cs="Times New Roman"/>
                      <w:sz w:val="21"/>
                      <w:szCs w:val="21"/>
                      <w:highlight w:val="none"/>
                      <w:vertAlign w:val="baseline"/>
                      <w:lang w:val="en-US" w:eastAsia="zh-CN"/>
                    </w:rPr>
                    <w:t>4厂界（防护带边缘）废气排放最高允许浓度</w:t>
                  </w:r>
                  <w:r>
                    <w:rPr>
                      <w:rFonts w:hint="default" w:ascii="Times New Roman" w:hAnsi="Times New Roman" w:eastAsia="宋体" w:cs="Times New Roman"/>
                      <w:sz w:val="21"/>
                      <w:szCs w:val="21"/>
                      <w:highlight w:val="none"/>
                      <w:vertAlign w:val="baseline"/>
                      <w:lang w:val="en-US" w:eastAsia="zh-CN"/>
                    </w:rPr>
                    <w:t>二级标准</w:t>
                  </w:r>
                </w:p>
              </w:tc>
            </w:tr>
            <w:tr w14:paraId="3B1E4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832" w:type="pct"/>
                  <w:vMerge w:val="continue"/>
                  <w:tcBorders>
                    <w:left w:val="single" w:color="000000" w:sz="4" w:space="0"/>
                    <w:right w:val="single" w:color="000000" w:sz="4" w:space="0"/>
                  </w:tcBorders>
                  <w:shd w:val="clear" w:color="auto" w:fill="FFFFFF"/>
                  <w:tcMar>
                    <w:top w:w="53" w:type="dxa"/>
                    <w:left w:w="53" w:type="dxa"/>
                    <w:bottom w:w="53" w:type="dxa"/>
                    <w:right w:w="53" w:type="dxa"/>
                  </w:tcMar>
                  <w:vAlign w:val="center"/>
                </w:tcPr>
                <w:p w14:paraId="02C1EA3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highlight w:val="none"/>
                      <w:vertAlign w:val="baseline"/>
                      <w:lang w:val="en-US" w:eastAsia="zh-CN"/>
                    </w:rPr>
                  </w:pPr>
                </w:p>
              </w:tc>
              <w:tc>
                <w:tcPr>
                  <w:tcW w:w="663" w:type="pct"/>
                  <w:tcBorders>
                    <w:top w:val="single" w:color="000000"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7EED087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ascii="Times New Roman" w:hAnsi="Times New Roman" w:cs="Times New Roman"/>
                      <w:sz w:val="21"/>
                      <w:szCs w:val="21"/>
                      <w:highlight w:val="none"/>
                      <w:lang w:val="en-US" w:eastAsia="zh-CN"/>
                    </w:rPr>
                    <w:t>NH</w:t>
                  </w:r>
                  <w:r>
                    <w:rPr>
                      <w:rFonts w:eastAsia="宋体"/>
                      <w:color w:val="000000"/>
                      <w:sz w:val="21"/>
                      <w:szCs w:val="21"/>
                      <w:highlight w:val="none"/>
                      <w:vertAlign w:val="subscript"/>
                    </w:rPr>
                    <w:t>3</w:t>
                  </w:r>
                </w:p>
              </w:tc>
              <w:tc>
                <w:tcPr>
                  <w:tcW w:w="730" w:type="pct"/>
                  <w:tcBorders>
                    <w:top w:val="single" w:color="000000"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7620F8B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1.5</w:t>
                  </w: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314787B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w:t>
                  </w:r>
                </w:p>
              </w:tc>
              <w:tc>
                <w:tcPr>
                  <w:tcW w:w="1372" w:type="pct"/>
                  <w:vMerge w:val="continue"/>
                  <w:tcBorders>
                    <w:left w:val="single" w:color="000000" w:sz="4" w:space="0"/>
                    <w:right w:val="single" w:color="000000" w:sz="4" w:space="0"/>
                  </w:tcBorders>
                  <w:shd w:val="clear" w:color="auto" w:fill="FFFFFF"/>
                  <w:tcMar>
                    <w:top w:w="53" w:type="dxa"/>
                    <w:left w:w="53" w:type="dxa"/>
                    <w:bottom w:w="53" w:type="dxa"/>
                    <w:right w:w="53" w:type="dxa"/>
                  </w:tcMar>
                  <w:vAlign w:val="center"/>
                </w:tcPr>
                <w:p w14:paraId="2DE3985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p>
              </w:tc>
            </w:tr>
            <w:tr w14:paraId="41EBB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832" w:type="pct"/>
                  <w:vMerge w:val="continue"/>
                  <w:tcBorders>
                    <w:left w:val="single" w:color="000000" w:sz="4" w:space="0"/>
                    <w:right w:val="single" w:color="000000" w:sz="4" w:space="0"/>
                  </w:tcBorders>
                  <w:shd w:val="clear" w:color="auto" w:fill="FFFFFF"/>
                  <w:tcMar>
                    <w:top w:w="53" w:type="dxa"/>
                    <w:left w:w="53" w:type="dxa"/>
                    <w:bottom w:w="53" w:type="dxa"/>
                    <w:right w:w="53" w:type="dxa"/>
                  </w:tcMar>
                  <w:vAlign w:val="center"/>
                </w:tcPr>
                <w:p w14:paraId="1FB5B94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highlight w:val="none"/>
                      <w:vertAlign w:val="baseline"/>
                      <w:lang w:val="en-US" w:eastAsia="zh-CN"/>
                    </w:rPr>
                  </w:pPr>
                </w:p>
              </w:tc>
              <w:tc>
                <w:tcPr>
                  <w:tcW w:w="663" w:type="pct"/>
                  <w:tcBorders>
                    <w:top w:val="single" w:color="000000"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08AA43A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ascii="Times New Roman" w:hAnsi="Times New Roman" w:eastAsia="宋体" w:cs="Times New Roman"/>
                      <w:sz w:val="21"/>
                      <w:szCs w:val="21"/>
                      <w:highlight w:val="none"/>
                      <w:vertAlign w:val="baseline"/>
                      <w:lang w:val="en-US" w:eastAsia="zh-CN"/>
                    </w:rPr>
                    <w:t>臭气浓度</w:t>
                  </w:r>
                </w:p>
              </w:tc>
              <w:tc>
                <w:tcPr>
                  <w:tcW w:w="730" w:type="pct"/>
                  <w:tcBorders>
                    <w:top w:val="single" w:color="000000"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48246EF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20（无量纲）</w:t>
                  </w: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3476C31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ascii="Times New Roman" w:hAnsi="Times New Roman" w:eastAsia="宋体" w:cs="Times New Roman"/>
                      <w:sz w:val="21"/>
                      <w:szCs w:val="21"/>
                      <w:highlight w:val="none"/>
                      <w:vertAlign w:val="baseline"/>
                      <w:lang w:val="en-US" w:eastAsia="zh-CN"/>
                    </w:rPr>
                    <w:t>/</w:t>
                  </w:r>
                </w:p>
              </w:tc>
              <w:tc>
                <w:tcPr>
                  <w:tcW w:w="1372" w:type="pct"/>
                  <w:vMerge w:val="continue"/>
                  <w:tcBorders>
                    <w:left w:val="single" w:color="000000" w:sz="4" w:space="0"/>
                    <w:right w:val="single" w:color="000000" w:sz="4" w:space="0"/>
                  </w:tcBorders>
                  <w:shd w:val="clear" w:color="auto" w:fill="FFFFFF"/>
                  <w:tcMar>
                    <w:top w:w="53" w:type="dxa"/>
                    <w:left w:w="53" w:type="dxa"/>
                    <w:bottom w:w="53" w:type="dxa"/>
                    <w:right w:w="53" w:type="dxa"/>
                  </w:tcMar>
                  <w:vAlign w:val="center"/>
                </w:tcPr>
                <w:p w14:paraId="2F091C3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p>
              </w:tc>
            </w:tr>
            <w:tr w14:paraId="789EF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32" w:type="pct"/>
                  <w:vMerge w:val="continue"/>
                  <w:tcBorders>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710A8A4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z w:val="21"/>
                      <w:szCs w:val="21"/>
                      <w:highlight w:val="none"/>
                      <w:vertAlign w:val="baseline"/>
                      <w:lang w:val="en-US" w:eastAsia="zh-CN"/>
                    </w:rPr>
                  </w:pPr>
                </w:p>
              </w:tc>
              <w:tc>
                <w:tcPr>
                  <w:tcW w:w="663" w:type="pct"/>
                  <w:tcBorders>
                    <w:top w:val="single" w:color="000000"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0994281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cs="Times New Roman"/>
                      <w:sz w:val="21"/>
                      <w:szCs w:val="21"/>
                      <w:highlight w:val="none"/>
                      <w:vertAlign w:val="baseline"/>
                      <w:lang w:val="en-US" w:eastAsia="zh-CN"/>
                    </w:rPr>
                    <w:t>甲烷</w:t>
                  </w:r>
                </w:p>
              </w:tc>
              <w:tc>
                <w:tcPr>
                  <w:tcW w:w="730" w:type="pct"/>
                  <w:tcBorders>
                    <w:top w:val="single" w:color="000000"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6ACBFCD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r>
                    <w:rPr>
                      <w:rFonts w:hint="eastAsia" w:cs="Times New Roman"/>
                      <w:sz w:val="21"/>
                      <w:szCs w:val="21"/>
                      <w:highlight w:val="none"/>
                      <w:vertAlign w:val="baseline"/>
                      <w:lang w:val="en-US" w:eastAsia="zh-CN"/>
                    </w:rPr>
                    <w:t>≤0.1%</w:t>
                  </w: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4B88A6A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p>
              </w:tc>
              <w:tc>
                <w:tcPr>
                  <w:tcW w:w="1372" w:type="pct"/>
                  <w:vMerge w:val="continue"/>
                  <w:tcBorders>
                    <w:left w:val="single" w:color="000000" w:sz="4" w:space="0"/>
                    <w:bottom w:val="single" w:color="000000" w:sz="4" w:space="0"/>
                    <w:right w:val="single" w:color="000000" w:sz="4" w:space="0"/>
                  </w:tcBorders>
                  <w:shd w:val="clear" w:color="auto" w:fill="FFFFFF"/>
                  <w:tcMar>
                    <w:top w:w="53" w:type="dxa"/>
                    <w:left w:w="53" w:type="dxa"/>
                    <w:bottom w:w="53" w:type="dxa"/>
                    <w:right w:w="53" w:type="dxa"/>
                  </w:tcMar>
                  <w:vAlign w:val="center"/>
                </w:tcPr>
                <w:p w14:paraId="2ACE548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highlight w:val="none"/>
                      <w:vertAlign w:val="baseline"/>
                      <w:lang w:val="en-US" w:eastAsia="zh-CN"/>
                    </w:rPr>
                  </w:pPr>
                </w:p>
              </w:tc>
            </w:tr>
          </w:tbl>
          <w:p w14:paraId="29C7E5C5">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3.9废水</w:t>
            </w:r>
          </w:p>
          <w:p w14:paraId="2E86290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60" w:firstLineChars="200"/>
              <w:textAlignment w:val="auto"/>
              <w:rPr>
                <w:rFonts w:hint="default" w:cs="Times New Roman"/>
                <w:spacing w:val="-5"/>
                <w:sz w:val="24"/>
                <w:szCs w:val="24"/>
                <w:highlight w:val="none"/>
                <w:lang w:val="en-US" w:eastAsia="zh-CN"/>
              </w:rPr>
            </w:pPr>
            <w:r>
              <w:rPr>
                <w:rFonts w:hint="default" w:ascii="Times New Roman" w:hAnsi="Times New Roman" w:eastAsia="宋体" w:cs="Times New Roman"/>
                <w:spacing w:val="-5"/>
                <w:sz w:val="24"/>
                <w:szCs w:val="24"/>
                <w:highlight w:val="none"/>
                <w:lang w:val="en-US" w:eastAsia="zh-CN"/>
              </w:rPr>
              <w:t>本项目运营期尾水全部回用，不外排。出水水质执行《城镇污水处理厂污染物排放标准》</w:t>
            </w:r>
            <w:r>
              <w:rPr>
                <w:rFonts w:hint="eastAsia" w:cs="Times New Roman"/>
                <w:spacing w:val="-5"/>
                <w:sz w:val="24"/>
                <w:szCs w:val="24"/>
                <w:highlight w:val="none"/>
                <w:lang w:val="en-US" w:eastAsia="zh-CN"/>
              </w:rPr>
              <w:t>（</w:t>
            </w:r>
            <w:r>
              <w:rPr>
                <w:rFonts w:hint="default" w:ascii="Times New Roman" w:hAnsi="Times New Roman" w:eastAsia="宋体" w:cs="Times New Roman"/>
                <w:spacing w:val="-5"/>
                <w:sz w:val="24"/>
                <w:szCs w:val="24"/>
                <w:highlight w:val="none"/>
                <w:lang w:val="en-US" w:eastAsia="zh-CN"/>
              </w:rPr>
              <w:t>GB18918-2002</w:t>
            </w:r>
            <w:r>
              <w:rPr>
                <w:rFonts w:hint="eastAsia" w:cs="Times New Roman"/>
                <w:spacing w:val="-5"/>
                <w:sz w:val="24"/>
                <w:szCs w:val="24"/>
                <w:highlight w:val="none"/>
                <w:lang w:val="en-US" w:eastAsia="zh-CN"/>
              </w:rPr>
              <w:t>）及其修改单</w:t>
            </w:r>
            <w:r>
              <w:rPr>
                <w:rFonts w:hint="default" w:ascii="Times New Roman" w:hAnsi="Times New Roman" w:eastAsia="宋体" w:cs="Times New Roman"/>
                <w:spacing w:val="-5"/>
                <w:sz w:val="24"/>
                <w:szCs w:val="24"/>
                <w:highlight w:val="none"/>
                <w:lang w:val="en-US" w:eastAsia="zh-CN"/>
              </w:rPr>
              <w:t>一级A标准</w:t>
            </w:r>
            <w:r>
              <w:rPr>
                <w:rFonts w:hint="default" w:ascii="Times New Roman" w:hAnsi="Times New Roman" w:eastAsia="宋体" w:cs="Times New Roman"/>
                <w:spacing w:val="-5"/>
                <w:sz w:val="24"/>
                <w:szCs w:val="24"/>
                <w:highlight w:val="none"/>
              </w:rPr>
              <w:t>浓度限值</w:t>
            </w:r>
            <w:r>
              <w:rPr>
                <w:rFonts w:hint="eastAsia" w:cs="Times New Roman"/>
                <w:spacing w:val="-5"/>
                <w:sz w:val="24"/>
                <w:szCs w:val="24"/>
                <w:highlight w:val="none"/>
                <w:lang w:eastAsia="zh-CN"/>
              </w:rPr>
              <w:t>。同时，根据尾水回用途径，还应满足以下再生水利用标准：</w:t>
            </w:r>
          </w:p>
          <w:p w14:paraId="27947C2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60" w:firstLineChars="200"/>
              <w:textAlignment w:val="auto"/>
              <w:rPr>
                <w:rFonts w:hint="eastAsia" w:cs="Times New Roman"/>
                <w:spacing w:val="-5"/>
                <w:sz w:val="24"/>
                <w:szCs w:val="24"/>
                <w:highlight w:val="none"/>
                <w:lang w:eastAsia="zh-CN"/>
              </w:rPr>
            </w:pPr>
            <w:r>
              <w:rPr>
                <w:rFonts w:hint="eastAsia" w:cs="Times New Roman"/>
                <w:spacing w:val="-5"/>
                <w:sz w:val="24"/>
                <w:szCs w:val="24"/>
                <w:highlight w:val="none"/>
                <w:lang w:val="en-US" w:eastAsia="zh-CN"/>
              </w:rPr>
              <w:t>1、</w:t>
            </w:r>
            <w:r>
              <w:rPr>
                <w:rFonts w:hint="eastAsia" w:cs="Times New Roman"/>
                <w:spacing w:val="-5"/>
                <w:sz w:val="24"/>
                <w:szCs w:val="24"/>
                <w:highlight w:val="none"/>
                <w:lang w:eastAsia="zh-CN"/>
              </w:rPr>
              <w:t>非灌溉期尾水供给园区企业回用时，执行《城市污水再生利用 工业用水水质》（GB/T 19923-2024） 表1中相应工业用水类别的水质指标限值；</w:t>
            </w:r>
          </w:p>
          <w:p w14:paraId="050D668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60" w:firstLineChars="200"/>
              <w:textAlignment w:val="auto"/>
              <w:rPr>
                <w:rFonts w:hint="eastAsia" w:cs="Times New Roman"/>
                <w:spacing w:val="-5"/>
                <w:sz w:val="24"/>
                <w:szCs w:val="24"/>
                <w:highlight w:val="none"/>
                <w:lang w:eastAsia="zh-CN"/>
              </w:rPr>
            </w:pPr>
            <w:r>
              <w:rPr>
                <w:rFonts w:hint="eastAsia" w:cs="Times New Roman"/>
                <w:spacing w:val="-5"/>
                <w:sz w:val="24"/>
                <w:szCs w:val="24"/>
                <w:highlight w:val="none"/>
                <w:lang w:val="en-US" w:eastAsia="zh-CN"/>
              </w:rPr>
              <w:t>2、</w:t>
            </w:r>
            <w:r>
              <w:rPr>
                <w:rFonts w:hint="eastAsia" w:cs="Times New Roman"/>
                <w:spacing w:val="-5"/>
                <w:sz w:val="24"/>
                <w:szCs w:val="24"/>
                <w:highlight w:val="none"/>
                <w:lang w:eastAsia="zh-CN"/>
              </w:rPr>
              <w:t>灌溉期尾水用于园区绿化灌溉时，执行《城市污水再生利用 城市杂用水水质》（GB/T 18920-2020） 表1中“城市绿化”类别的水质指标限值。</w:t>
            </w:r>
          </w:p>
          <w:p w14:paraId="1CC4DE6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60" w:firstLineChars="200"/>
              <w:textAlignment w:val="auto"/>
              <w:rPr>
                <w:rFonts w:hint="eastAsia" w:cs="Times New Roman"/>
                <w:spacing w:val="-5"/>
                <w:sz w:val="24"/>
                <w:szCs w:val="24"/>
                <w:highlight w:val="none"/>
                <w:lang w:eastAsia="zh-CN"/>
              </w:rPr>
            </w:pPr>
            <w:r>
              <w:rPr>
                <w:rFonts w:hint="eastAsia" w:cs="Times New Roman"/>
                <w:spacing w:val="-5"/>
                <w:sz w:val="24"/>
                <w:szCs w:val="24"/>
                <w:highlight w:val="none"/>
                <w:lang w:eastAsia="zh-CN"/>
              </w:rPr>
              <w:t>各项污染因子标准限值详见表</w:t>
            </w:r>
            <w:r>
              <w:rPr>
                <w:rFonts w:hint="eastAsia" w:cs="Times New Roman"/>
                <w:spacing w:val="-5"/>
                <w:sz w:val="24"/>
                <w:szCs w:val="24"/>
                <w:highlight w:val="none"/>
                <w:lang w:val="en-US" w:eastAsia="zh-CN"/>
              </w:rPr>
              <w:t>3-10</w:t>
            </w:r>
            <w:r>
              <w:rPr>
                <w:rFonts w:hint="eastAsia" w:cs="Times New Roman"/>
                <w:spacing w:val="-5"/>
                <w:sz w:val="24"/>
                <w:szCs w:val="24"/>
                <w:highlight w:val="none"/>
                <w:lang w:eastAsia="zh-CN"/>
              </w:rPr>
              <w:t>：</w:t>
            </w:r>
          </w:p>
          <w:p w14:paraId="1E545841">
            <w:pPr>
              <w:pStyle w:val="23"/>
              <w:bidi w:val="0"/>
              <w:rPr>
                <w:rFonts w:hint="eastAsia"/>
                <w:lang w:eastAsia="zh-CN"/>
              </w:rPr>
            </w:pPr>
            <w:r>
              <w:t>表</w:t>
            </w:r>
            <w:r>
              <w:rPr>
                <w:rFonts w:hint="eastAsia"/>
                <w:lang w:val="en-US" w:eastAsia="zh-CN"/>
              </w:rPr>
              <w:t>3-10</w:t>
            </w:r>
            <w:r>
              <w:rPr>
                <w:rFonts w:hint="eastAsia"/>
                <w:lang w:eastAsia="zh-CN"/>
              </w:rPr>
              <w:t>废水回用水质标准限值</w:t>
            </w:r>
            <w:r>
              <w:rPr>
                <w:rFonts w:hint="eastAsia"/>
                <w:lang w:val="en-US" w:eastAsia="zh-CN"/>
              </w:rPr>
              <w:t>一</w:t>
            </w:r>
            <w:r>
              <w:rPr>
                <w:rFonts w:hint="eastAsia"/>
                <w:lang w:eastAsia="zh-CN"/>
              </w:rPr>
              <w:t>览表</w:t>
            </w:r>
          </w:p>
          <w:tbl>
            <w:tblPr>
              <w:tblStyle w:val="1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
              <w:gridCol w:w="1252"/>
              <w:gridCol w:w="731"/>
              <w:gridCol w:w="1616"/>
              <w:gridCol w:w="2130"/>
              <w:gridCol w:w="2208"/>
            </w:tblGrid>
            <w:tr w14:paraId="276A3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CD799B9">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序号</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59D75">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pacing w:val="-11"/>
                      <w:sz w:val="21"/>
                      <w:szCs w:val="21"/>
                      <w:highlight w:val="none"/>
                    </w:rPr>
                    <w:t>污染因子</w:t>
                  </w:r>
                </w:p>
              </w:tc>
              <w:tc>
                <w:tcPr>
                  <w:tcW w:w="4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812225">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单位</w:t>
                  </w:r>
                </w:p>
              </w:tc>
              <w:tc>
                <w:tcPr>
                  <w:tcW w:w="9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C607A">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GB18918-2002</w:t>
                  </w:r>
                  <w:r>
                    <w:rPr>
                      <w:rFonts w:hint="default" w:ascii="Times New Roman" w:hAnsi="Times New Roman" w:cs="Times New Roman"/>
                      <w:b w:val="0"/>
                      <w:color w:val="000000"/>
                      <w:sz w:val="21"/>
                      <w:szCs w:val="21"/>
                      <w:highlight w:val="none"/>
                      <w:lang w:val="en-US" w:eastAsia="zh-CN"/>
                    </w:rPr>
                    <w:t>一</w:t>
                  </w:r>
                  <w:r>
                    <w:rPr>
                      <w:rFonts w:hint="default" w:ascii="Times New Roman" w:hAnsi="Times New Roman" w:cs="Times New Roman"/>
                      <w:b w:val="0"/>
                      <w:color w:val="000000"/>
                      <w:sz w:val="21"/>
                      <w:szCs w:val="21"/>
                      <w:highlight w:val="none"/>
                    </w:rPr>
                    <w:t>级A标准</w:t>
                  </w:r>
                </w:p>
              </w:tc>
              <w:tc>
                <w:tcPr>
                  <w:tcW w:w="1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CFD095">
                  <w:pPr>
                    <w:jc w:val="center"/>
                    <w:rPr>
                      <w:rFonts w:hint="eastAsia" w:ascii="Times New Roman" w:hAnsi="Times New Roman" w:eastAsia="宋体" w:cs="Times New Roman"/>
                      <w:b w:val="0"/>
                      <w:color w:val="000000"/>
                      <w:sz w:val="21"/>
                      <w:szCs w:val="21"/>
                      <w:highlight w:val="none"/>
                      <w:lang w:eastAsia="zh-CN"/>
                    </w:rPr>
                  </w:pPr>
                  <w:r>
                    <w:rPr>
                      <w:rFonts w:hint="eastAsia" w:cs="Times New Roman"/>
                      <w:b w:val="0"/>
                      <w:color w:val="000000"/>
                      <w:sz w:val="21"/>
                      <w:szCs w:val="21"/>
                      <w:highlight w:val="none"/>
                      <w:lang w:eastAsia="zh-CN"/>
                    </w:rPr>
                    <w:t>《城市污水再生利用 工业用水水质》（GB/T19923-2024）</w:t>
                  </w:r>
                </w:p>
              </w:tc>
              <w:tc>
                <w:tcPr>
                  <w:tcW w:w="13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59F674">
                  <w:pPr>
                    <w:jc w:val="center"/>
                    <w:rPr>
                      <w:rFonts w:hint="default" w:ascii="Times New Roman" w:hAnsi="Times New Roman" w:cs="Times New Roman" w:eastAsiaTheme="minorEastAsia"/>
                      <w:b w:val="0"/>
                      <w:color w:val="000000"/>
                      <w:sz w:val="21"/>
                      <w:szCs w:val="21"/>
                      <w:highlight w:val="none"/>
                      <w:lang w:eastAsia="zh-CN"/>
                    </w:rPr>
                  </w:pPr>
                  <w:r>
                    <w:rPr>
                      <w:rFonts w:hint="default" w:ascii="Times New Roman" w:hAnsi="Times New Roman" w:cs="Times New Roman"/>
                      <w:b w:val="0"/>
                      <w:color w:val="000000"/>
                      <w:sz w:val="21"/>
                      <w:szCs w:val="21"/>
                      <w:highlight w:val="none"/>
                    </w:rPr>
                    <w:t>GB/T18920-2020</w:t>
                  </w:r>
                </w:p>
                <w:p w14:paraId="49153A3A">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城市杂用水水质</w:t>
                  </w:r>
                </w:p>
                <w:p w14:paraId="7E540131">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（城市绿化）</w:t>
                  </w:r>
                </w:p>
              </w:tc>
            </w:tr>
            <w:tr w14:paraId="6054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17115E">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34732">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pH值</w:t>
                  </w:r>
                </w:p>
              </w:tc>
              <w:tc>
                <w:tcPr>
                  <w:tcW w:w="4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AE68B">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无量纲</w:t>
                  </w:r>
                </w:p>
              </w:tc>
              <w:tc>
                <w:tcPr>
                  <w:tcW w:w="9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6EB0CB">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6~9</w:t>
                  </w:r>
                </w:p>
              </w:tc>
              <w:tc>
                <w:tcPr>
                  <w:tcW w:w="1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7F302">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6.0~9.0</w:t>
                  </w:r>
                </w:p>
              </w:tc>
              <w:tc>
                <w:tcPr>
                  <w:tcW w:w="13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84D2B0">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6.0~9.0</w:t>
                  </w:r>
                </w:p>
              </w:tc>
            </w:tr>
            <w:tr w14:paraId="47432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7F5B76">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2</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2C6F8">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色度</w:t>
                  </w:r>
                </w:p>
              </w:tc>
              <w:tc>
                <w:tcPr>
                  <w:tcW w:w="4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3B6679">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稀释倍数</w:t>
                  </w:r>
                </w:p>
              </w:tc>
              <w:tc>
                <w:tcPr>
                  <w:tcW w:w="9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D2DE9">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≤30</w:t>
                  </w:r>
                </w:p>
              </w:tc>
              <w:tc>
                <w:tcPr>
                  <w:tcW w:w="1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BC87CB">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≤20</w:t>
                  </w:r>
                </w:p>
              </w:tc>
              <w:tc>
                <w:tcPr>
                  <w:tcW w:w="13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D5F28">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≤30</w:t>
                  </w:r>
                </w:p>
              </w:tc>
            </w:tr>
            <w:tr w14:paraId="64D5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A86C6">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3</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89F6F3">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浊度</w:t>
                  </w:r>
                </w:p>
              </w:tc>
              <w:tc>
                <w:tcPr>
                  <w:tcW w:w="4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3BA5FE">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NTU</w:t>
                  </w:r>
                </w:p>
              </w:tc>
              <w:tc>
                <w:tcPr>
                  <w:tcW w:w="9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76E849">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c>
                <w:tcPr>
                  <w:tcW w:w="1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4B55A3">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≤5</w:t>
                  </w:r>
                </w:p>
              </w:tc>
              <w:tc>
                <w:tcPr>
                  <w:tcW w:w="13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C9A4A6">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≤10</w:t>
                  </w:r>
                </w:p>
              </w:tc>
            </w:tr>
            <w:tr w14:paraId="5488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0EF939">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4</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D5703C">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化学需氧量（COD）</w:t>
                  </w:r>
                </w:p>
              </w:tc>
              <w:tc>
                <w:tcPr>
                  <w:tcW w:w="4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2DEC76">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E5733">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≤50</w:t>
                  </w:r>
                </w:p>
              </w:tc>
              <w:tc>
                <w:tcPr>
                  <w:tcW w:w="1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C2ABEF">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≤50</w:t>
                  </w:r>
                </w:p>
              </w:tc>
              <w:tc>
                <w:tcPr>
                  <w:tcW w:w="13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8A0B0B">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r>
            <w:tr w14:paraId="35CE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F5FC5C">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5</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3FF23A">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五日生化需氧量（BOD5）</w:t>
                  </w:r>
                </w:p>
              </w:tc>
              <w:tc>
                <w:tcPr>
                  <w:tcW w:w="4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03E53">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5B4B21">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≤10</w:t>
                  </w:r>
                </w:p>
              </w:tc>
              <w:tc>
                <w:tcPr>
                  <w:tcW w:w="1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C38962">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≤10</w:t>
                  </w:r>
                </w:p>
              </w:tc>
              <w:tc>
                <w:tcPr>
                  <w:tcW w:w="13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7DCE1">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≤10</w:t>
                  </w:r>
                </w:p>
              </w:tc>
            </w:tr>
            <w:tr w14:paraId="5DAE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9EB9C1">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6</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6E92ED">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悬浮物（SS）</w:t>
                  </w:r>
                </w:p>
              </w:tc>
              <w:tc>
                <w:tcPr>
                  <w:tcW w:w="4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EE59EB">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CAE0A">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≤10</w:t>
                  </w:r>
                </w:p>
              </w:tc>
              <w:tc>
                <w:tcPr>
                  <w:tcW w:w="1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A25B3C">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c>
                <w:tcPr>
                  <w:tcW w:w="13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63DB1A">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r>
            <w:tr w14:paraId="5147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4286A">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7</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0F2FF">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氨氮（NH</w:t>
                  </w:r>
                  <w:r>
                    <w:rPr>
                      <w:rFonts w:hint="default" w:ascii="Times New Roman" w:hAnsi="Times New Roman" w:eastAsia="宋体" w:cs="Times New Roman"/>
                      <w:b w:val="0"/>
                      <w:color w:val="000000"/>
                      <w:sz w:val="21"/>
                      <w:szCs w:val="21"/>
                      <w:highlight w:val="none"/>
                      <w:vertAlign w:val="subscript"/>
                    </w:rPr>
                    <w:t>3</w:t>
                  </w:r>
                  <w:r>
                    <w:rPr>
                      <w:rFonts w:hint="default" w:ascii="Times New Roman" w:hAnsi="Times New Roman" w:eastAsia="宋体" w:cs="Times New Roman"/>
                      <w:b w:val="0"/>
                      <w:color w:val="000000"/>
                      <w:sz w:val="21"/>
                      <w:szCs w:val="21"/>
                      <w:highlight w:val="none"/>
                    </w:rPr>
                    <w:t>-N）</w:t>
                  </w:r>
                </w:p>
              </w:tc>
              <w:tc>
                <w:tcPr>
                  <w:tcW w:w="4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FEBAA8">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1D9F77">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≤5（8）</w:t>
                  </w:r>
                </w:p>
              </w:tc>
              <w:tc>
                <w:tcPr>
                  <w:tcW w:w="1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12018D">
                  <w:pPr>
                    <w:jc w:val="center"/>
                    <w:rPr>
                      <w:rFonts w:hint="eastAsia"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≤5</w:t>
                  </w:r>
                  <w:r>
                    <w:rPr>
                      <w:rFonts w:hint="eastAsia" w:ascii="Times New Roman" w:hAnsi="Times New Roman" w:eastAsia="宋体" w:cs="Times New Roman"/>
                      <w:b w:val="0"/>
                      <w:color w:val="000000"/>
                      <w:sz w:val="21"/>
                      <w:szCs w:val="21"/>
                      <w:highlight w:val="none"/>
                      <w:vertAlign w:val="superscript"/>
                      <w:lang w:val="en-US" w:eastAsia="zh-CN"/>
                    </w:rPr>
                    <w:t>a</w:t>
                  </w:r>
                </w:p>
              </w:tc>
              <w:tc>
                <w:tcPr>
                  <w:tcW w:w="13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3760C0">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≤8</w:t>
                  </w:r>
                </w:p>
              </w:tc>
            </w:tr>
            <w:tr w14:paraId="16966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1C61CF">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8</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86ECD">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总氮（TN）</w:t>
                  </w:r>
                </w:p>
              </w:tc>
              <w:tc>
                <w:tcPr>
                  <w:tcW w:w="4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CA9617">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D0B2D">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≤15</w:t>
                  </w:r>
                </w:p>
              </w:tc>
              <w:tc>
                <w:tcPr>
                  <w:tcW w:w="1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341D05">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c>
                <w:tcPr>
                  <w:tcW w:w="13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DFA79C">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r>
            <w:tr w14:paraId="1FF14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5728E">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9</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760F7C">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总磷（TP）</w:t>
                  </w:r>
                </w:p>
              </w:tc>
              <w:tc>
                <w:tcPr>
                  <w:tcW w:w="4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129A4">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40290">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≤0.5</w:t>
                  </w:r>
                </w:p>
              </w:tc>
              <w:tc>
                <w:tcPr>
                  <w:tcW w:w="1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D6B9C8">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≤0.5</w:t>
                  </w:r>
                </w:p>
              </w:tc>
              <w:tc>
                <w:tcPr>
                  <w:tcW w:w="13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755FF1">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r>
            <w:tr w14:paraId="7D2C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A7E47">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10</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1F98C">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阴离子表面活性剂（LAS）</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97B1E">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CCAFB">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≤0.5</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94ABD">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≤0.5</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887B8">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≤0.5</w:t>
                  </w:r>
                </w:p>
              </w:tc>
            </w:tr>
            <w:tr w14:paraId="461F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B5166">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11</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78747">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石油类</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F3455">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C00AB">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F89F9">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8001A">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r>
            <w:tr w14:paraId="2C69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022D8">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12</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88B64">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动植物油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89108">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DA34F">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1DD8F">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D7520">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r>
            <w:tr w14:paraId="19A8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5A0C7">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13</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C8499">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溶解氧（DO）</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9E6B6">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9B85B">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8DF44">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F82D7">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≥2.0</w:t>
                  </w:r>
                </w:p>
              </w:tc>
            </w:tr>
            <w:tr w14:paraId="2E2F4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CFAB4">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14</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86780">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溶解性总固体（TDS）</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4EED2">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828C2">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BEE2B">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≤1000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0A151">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≤1000</w:t>
                  </w:r>
                </w:p>
              </w:tc>
            </w:tr>
            <w:tr w14:paraId="1DD9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0BD91">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15</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15CA5">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总硬度（以CaCO</w:t>
                  </w:r>
                  <w:r>
                    <w:rPr>
                      <w:rFonts w:hint="default" w:ascii="Times New Roman" w:hAnsi="Times New Roman" w:eastAsia="宋体" w:cs="Times New Roman"/>
                      <w:b w:val="0"/>
                      <w:color w:val="000000"/>
                      <w:sz w:val="21"/>
                      <w:szCs w:val="21"/>
                      <w:highlight w:val="none"/>
                      <w:vertAlign w:val="subscript"/>
                    </w:rPr>
                    <w:t>3</w:t>
                  </w:r>
                  <w:r>
                    <w:rPr>
                      <w:rFonts w:hint="default" w:ascii="Times New Roman" w:hAnsi="Times New Roman" w:eastAsia="宋体" w:cs="Times New Roman"/>
                      <w:b w:val="0"/>
                      <w:color w:val="000000"/>
                      <w:sz w:val="21"/>
                      <w:szCs w:val="21"/>
                      <w:highlight w:val="none"/>
                    </w:rPr>
                    <w:t>计）</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A82E5">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8CC4D">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1302C">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≤450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55C03">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r>
            <w:tr w14:paraId="656BC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4101F">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16</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1C7C5">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总碱度（以CaCO</w:t>
                  </w:r>
                  <w:r>
                    <w:rPr>
                      <w:rFonts w:hint="default" w:ascii="Times New Roman" w:hAnsi="Times New Roman" w:eastAsia="宋体" w:cs="Times New Roman"/>
                      <w:b w:val="0"/>
                      <w:color w:val="000000"/>
                      <w:sz w:val="21"/>
                      <w:szCs w:val="21"/>
                      <w:highlight w:val="none"/>
                      <w:vertAlign w:val="subscript"/>
                    </w:rPr>
                    <w:t>3</w:t>
                  </w:r>
                  <w:r>
                    <w:rPr>
                      <w:rFonts w:hint="default" w:ascii="Times New Roman" w:hAnsi="Times New Roman" w:eastAsia="宋体" w:cs="Times New Roman"/>
                      <w:b w:val="0"/>
                      <w:color w:val="000000"/>
                      <w:sz w:val="21"/>
                      <w:szCs w:val="21"/>
                      <w:highlight w:val="none"/>
                    </w:rPr>
                    <w:t>计）</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B9752">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C54BF">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901C6">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≤350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7027A">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r>
            <w:tr w14:paraId="45A9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C4A9D">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17</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01387">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硫酸盐</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FC1FA">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31E10">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82636">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≤250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29B13">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r>
            <w:tr w14:paraId="3A6F5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46BCB">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18</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3E3BA">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氯化物</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CCCB8">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CC649">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BBD0C">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≤250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564C9">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r>
            <w:tr w14:paraId="15EB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7B102">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19</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EC2CF">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铁</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8B543">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B0C4F">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1E272">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≤0.3</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6C0A2">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r>
            <w:tr w14:paraId="73C1A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B55D8">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20</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157F6">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锰</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CFE92">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6F2C5">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90231">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≤0.1</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85ECE">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r>
            <w:tr w14:paraId="6C4C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EE5F6">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21</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49CC4">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粪大肠菌群</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F6DA3">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个/L</w:t>
                  </w:r>
                </w:p>
              </w:tc>
              <w:tc>
                <w:tcPr>
                  <w:tcW w:w="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845E8">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≤1000</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4A02C">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≤1000</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33700">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≤1000</w:t>
                  </w:r>
                </w:p>
              </w:tc>
            </w:tr>
            <w:tr w14:paraId="1E6E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F3C05">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22</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AD6E5">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总余氯</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9183F">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mg/L</w:t>
                  </w:r>
                </w:p>
              </w:tc>
              <w:tc>
                <w:tcPr>
                  <w:tcW w:w="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72785">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A5E3C">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≥0.1~≤0.2</w:t>
                  </w:r>
                </w:p>
              </w:tc>
              <w:tc>
                <w:tcPr>
                  <w:tcW w:w="1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4CE59">
                  <w:pPr>
                    <w:jc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0.2≤管网末端≤0.5</w:t>
                  </w:r>
                </w:p>
              </w:tc>
            </w:tr>
          </w:tbl>
          <w:p w14:paraId="7890495C">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36" w:lineRule="auto"/>
              <w:textAlignment w:val="auto"/>
              <w:rPr>
                <w:rFonts w:hint="eastAsia"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3.10噪声</w:t>
            </w:r>
          </w:p>
          <w:p w14:paraId="10F27641">
            <w:pPr>
              <w:pStyle w:val="34"/>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施工期噪声执行《建筑施工噪声排放标准》（GB 12523-2025）表1规定的排放限值，即昼间70dB（A），夜间55dB（A）；</w:t>
            </w:r>
          </w:p>
          <w:p w14:paraId="55CEAE7F">
            <w:pPr>
              <w:pStyle w:val="34"/>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运营期厂界噪声执行《工业企业厂界环境噪声排放标准》（GB12348-2008）3类功能区排放限值，即昼间65dB（A）、夜间55dB（A）。</w:t>
            </w:r>
          </w:p>
          <w:p w14:paraId="017A7601">
            <w:pPr>
              <w:keepNext w:val="0"/>
              <w:keepLines w:val="0"/>
              <w:pageBreakBefore w:val="0"/>
              <w:widowControl w:val="0"/>
              <w:kinsoku/>
              <w:wordWrap/>
              <w:overflowPunct/>
              <w:topLinePunct w:val="0"/>
              <w:autoSpaceDE/>
              <w:autoSpaceDN/>
              <w:bidi w:val="0"/>
              <w:adjustRightInd w:val="0"/>
              <w:snapToGrid w:val="0"/>
              <w:spacing w:line="336" w:lineRule="auto"/>
              <w:textAlignment w:val="auto"/>
              <w:rPr>
                <w:rFonts w:hint="eastAsia"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3.11固废</w:t>
            </w:r>
          </w:p>
          <w:p w14:paraId="1028F644">
            <w:pPr>
              <w:pStyle w:val="34"/>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一般工业固体废物贮存执行《一般工业固体废物贮存和填埋污染控制标准》（GB 18599-2020）。</w:t>
            </w:r>
          </w:p>
          <w:p w14:paraId="5FBA35B7">
            <w:pPr>
              <w:pStyle w:val="34"/>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危险废物贮存执行《危险废物贮存污染控制标准》（GB 18597-2023）。</w:t>
            </w:r>
          </w:p>
          <w:p w14:paraId="62E15872">
            <w:pPr>
              <w:pStyle w:val="34"/>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480" w:firstLineChars="200"/>
              <w:textAlignment w:val="auto"/>
              <w:rPr>
                <w:rFonts w:hint="eastAsia" w:cs="Times New Roman"/>
                <w:color w:val="000000"/>
                <w:sz w:val="24"/>
                <w:highlight w:val="none"/>
                <w:lang w:val="en-US" w:eastAsia="zh-CN"/>
              </w:rPr>
            </w:pPr>
            <w:r>
              <w:rPr>
                <w:rFonts w:hint="eastAsia" w:ascii="Times New Roman" w:hAnsi="Times New Roman" w:eastAsia="宋体" w:cs="Times New Roman"/>
                <w:color w:val="000000"/>
                <w:sz w:val="24"/>
                <w:szCs w:val="24"/>
                <w:highlight w:val="none"/>
                <w:lang w:val="en-US" w:eastAsia="zh-CN"/>
              </w:rPr>
              <w:t xml:space="preserve">污泥执行《城镇污水处理厂污染物排放标准》 </w:t>
            </w:r>
            <w:r>
              <w:rPr>
                <w:rFonts w:hint="eastAsia" w:ascii="Times New Roman" w:hAnsi="Times New Roman" w:cs="Times New Roman"/>
                <w:color w:val="000000"/>
                <w:sz w:val="24"/>
                <w:szCs w:val="24"/>
                <w:highlight w:val="none"/>
                <w:lang w:val="en-US" w:eastAsia="zh-CN"/>
              </w:rPr>
              <w:t>（</w:t>
            </w:r>
            <w:r>
              <w:rPr>
                <w:rFonts w:hint="eastAsia" w:ascii="Times New Roman" w:hAnsi="Times New Roman" w:eastAsia="宋体" w:cs="Times New Roman"/>
                <w:color w:val="000000"/>
                <w:sz w:val="24"/>
                <w:szCs w:val="24"/>
                <w:highlight w:val="none"/>
                <w:lang w:val="en-US" w:eastAsia="zh-CN"/>
              </w:rPr>
              <w:t>GB18918-2002</w:t>
            </w:r>
            <w:r>
              <w:rPr>
                <w:rFonts w:hint="eastAsia" w:ascii="Times New Roman" w:hAnsi="Times New Roman" w:cs="Times New Roman"/>
                <w:color w:val="000000"/>
                <w:sz w:val="24"/>
                <w:szCs w:val="24"/>
                <w:highlight w:val="none"/>
                <w:lang w:val="en-US" w:eastAsia="zh-CN"/>
              </w:rPr>
              <w:t>）</w:t>
            </w:r>
            <w:r>
              <w:rPr>
                <w:rFonts w:hint="eastAsia" w:ascii="Times New Roman" w:hAnsi="Times New Roman" w:eastAsia="宋体" w:cs="Times New Roman"/>
                <w:color w:val="000000"/>
                <w:sz w:val="24"/>
                <w:szCs w:val="24"/>
                <w:highlight w:val="none"/>
                <w:lang w:val="en-US" w:eastAsia="zh-CN"/>
              </w:rPr>
              <w:t>及其修改单中污泥控制标准的相关要求。</w:t>
            </w:r>
          </w:p>
        </w:tc>
      </w:tr>
      <w:tr w14:paraId="74671B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423" w:type="dxa"/>
            <w:noWrap w:val="0"/>
            <w:tcMar>
              <w:left w:w="28" w:type="dxa"/>
              <w:right w:w="28" w:type="dxa"/>
            </w:tcMar>
            <w:vAlign w:val="center"/>
          </w:tcPr>
          <w:p w14:paraId="26FB7182">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总量控制指标</w:t>
            </w:r>
          </w:p>
        </w:tc>
        <w:tc>
          <w:tcPr>
            <w:tcW w:w="8638" w:type="dxa"/>
            <w:noWrap w:val="0"/>
            <w:vAlign w:val="top"/>
          </w:tcPr>
          <w:p w14:paraId="0DF1F149">
            <w:pPr>
              <w:pStyle w:val="34"/>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80" w:firstLineChars="200"/>
              <w:jc w:val="both"/>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根据《</w:t>
            </w:r>
            <w:r>
              <w:rPr>
                <w:rFonts w:hint="eastAsia" w:ascii="Times New Roman" w:hAnsi="Times New Roman"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十四五</w:t>
            </w:r>
            <w:r>
              <w:rPr>
                <w:rFonts w:hint="eastAsia" w:ascii="Times New Roman" w:hAnsi="Times New Roman"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污染减排综合工作方案编制技术指南》和《新疆生态环境保护</w:t>
            </w:r>
            <w:r>
              <w:rPr>
                <w:rFonts w:hint="eastAsia" w:ascii="Times New Roman" w:hAnsi="Times New Roman"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十四五</w:t>
            </w:r>
            <w:r>
              <w:rPr>
                <w:rFonts w:hint="eastAsia" w:ascii="Times New Roman" w:hAnsi="Times New Roman"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规划》，大气污染物减排因子为氮氧化物（NOx）、挥发性有机物（VOCs），水污染物减排因子为化学需氧量（COD）和氨氮。</w:t>
            </w:r>
          </w:p>
          <w:p w14:paraId="45E27516">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本项目运营期尾水全部回用（夏季用于园区绿化灌溉，非灌溉期供给园区企业回用或储存至现状中水库），无废水直接外排。根据《建设项目主要污染物排放总量指标审核及管理暂行办法》（环发〔2014〕197号）及新疆维吾尔自治区生态环境厅相关解释，本项目无需申请COD、氨氮等水污染物总量控制指标。</w:t>
            </w:r>
          </w:p>
          <w:p w14:paraId="44DCD1FB">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但为满足排污许可证管理要求，本项目按设计出水水质核算水污染物许可排放量限值如下：COD</w:t>
            </w:r>
            <w:r>
              <w:rPr>
                <w:rFonts w:hint="eastAsia" w:ascii="Times New Roman" w:hAnsi="Times New Roman" w:cs="Times New Roman"/>
                <w:color w:val="000000"/>
                <w:sz w:val="24"/>
                <w:szCs w:val="24"/>
                <w:highlight w:val="none"/>
                <w:lang w:val="en-US" w:eastAsia="zh-CN"/>
              </w:rPr>
              <w:t>45.63</w:t>
            </w:r>
            <w:r>
              <w:rPr>
                <w:rFonts w:hint="default" w:ascii="Times New Roman" w:hAnsi="Times New Roman" w:eastAsia="宋体" w:cs="Times New Roman"/>
                <w:color w:val="000000"/>
                <w:sz w:val="24"/>
                <w:szCs w:val="24"/>
                <w:highlight w:val="none"/>
                <w:lang w:val="en-US" w:eastAsia="zh-CN"/>
              </w:rPr>
              <w:t>t/a，氨氮</w:t>
            </w:r>
            <w:r>
              <w:rPr>
                <w:rFonts w:hint="eastAsia" w:ascii="Times New Roman" w:hAnsi="Times New Roman" w:cs="Times New Roman"/>
                <w:color w:val="000000"/>
                <w:sz w:val="24"/>
                <w:szCs w:val="24"/>
                <w:highlight w:val="none"/>
                <w:lang w:val="en-US" w:eastAsia="zh-CN"/>
              </w:rPr>
              <w:t>4.56</w:t>
            </w:r>
            <w:r>
              <w:rPr>
                <w:rFonts w:hint="default" w:ascii="Times New Roman" w:hAnsi="Times New Roman" w:eastAsia="宋体" w:cs="Times New Roman"/>
                <w:color w:val="000000"/>
                <w:sz w:val="24"/>
                <w:szCs w:val="24"/>
                <w:highlight w:val="none"/>
                <w:lang w:val="en-US" w:eastAsia="zh-CN"/>
              </w:rPr>
              <w:t>t/a（按</w:t>
            </w:r>
            <w:r>
              <w:rPr>
                <w:rFonts w:hint="eastAsia" w:ascii="Times New Roman" w:hAnsi="Times New Roman" w:cs="Times New Roman"/>
                <w:color w:val="000000"/>
                <w:sz w:val="24"/>
                <w:szCs w:val="24"/>
                <w:highlight w:val="none"/>
                <w:lang w:val="en-US" w:eastAsia="zh-CN"/>
              </w:rPr>
              <w:t>2500</w:t>
            </w:r>
            <w:r>
              <w:rPr>
                <w:rFonts w:hint="default" w:ascii="Times New Roman" w:hAnsi="Times New Roman" w:eastAsia="宋体" w:cs="Times New Roman"/>
                <w:color w:val="000000"/>
                <w:sz w:val="24"/>
                <w:szCs w:val="24"/>
                <w:highlight w:val="none"/>
                <w:lang w:val="en-US" w:eastAsia="zh-CN"/>
              </w:rPr>
              <w:t>m</w:t>
            </w:r>
            <w:r>
              <w:rPr>
                <w:rFonts w:hint="eastAsia" w:ascii="Times New Roman" w:hAnsi="Times New Roman" w:cs="Times New Roman"/>
                <w:color w:val="000000"/>
                <w:sz w:val="24"/>
                <w:szCs w:val="24"/>
                <w:highlight w:val="none"/>
                <w:vertAlign w:val="superscript"/>
                <w:lang w:val="en-US" w:eastAsia="zh-CN"/>
              </w:rPr>
              <w:t>3</w:t>
            </w:r>
            <w:r>
              <w:rPr>
                <w:rFonts w:hint="default" w:ascii="Times New Roman" w:hAnsi="Times New Roman" w:eastAsia="宋体" w:cs="Times New Roman"/>
                <w:color w:val="000000"/>
                <w:sz w:val="24"/>
                <w:szCs w:val="24"/>
                <w:highlight w:val="none"/>
                <w:lang w:val="en-US" w:eastAsia="zh-CN"/>
              </w:rPr>
              <w:t>/d、年运行365天计）。项目建成后，将按照排污许可证要求，载明主要污染物的许可排放浓度及许可排放量限值，按证排污。</w:t>
            </w:r>
          </w:p>
          <w:p w14:paraId="72E1AE36">
            <w:pPr>
              <w:pStyle w:val="34"/>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480" w:firstLineChars="200"/>
              <w:jc w:val="both"/>
              <w:textAlignment w:val="auto"/>
              <w:rPr>
                <w:rFonts w:hint="eastAsia" w:ascii="Times New Roman" w:hAnsi="Times New Roman" w:eastAsia="宋体" w:cs="Times New Roman"/>
                <w:color w:val="000000"/>
                <w:sz w:val="24"/>
                <w:szCs w:val="24"/>
                <w:highlight w:val="none"/>
                <w:lang w:val="en-US" w:eastAsia="zh-CN"/>
              </w:rPr>
            </w:pPr>
          </w:p>
          <w:p w14:paraId="27C5C453">
            <w:pPr>
              <w:pStyle w:val="34"/>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480" w:firstLineChars="200"/>
              <w:jc w:val="both"/>
              <w:textAlignment w:val="auto"/>
              <w:rPr>
                <w:rFonts w:hint="eastAsia" w:ascii="Times New Roman" w:hAnsi="Times New Roman" w:eastAsia="宋体" w:cs="Times New Roman"/>
                <w:color w:val="000000"/>
                <w:sz w:val="24"/>
                <w:szCs w:val="24"/>
                <w:highlight w:val="none"/>
                <w:lang w:val="en-US" w:eastAsia="zh-CN"/>
              </w:rPr>
            </w:pPr>
          </w:p>
          <w:p w14:paraId="7064FBA7">
            <w:pPr>
              <w:pStyle w:val="34"/>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480" w:firstLineChars="200"/>
              <w:jc w:val="both"/>
              <w:textAlignment w:val="auto"/>
              <w:rPr>
                <w:rFonts w:hint="eastAsia" w:ascii="Times New Roman" w:hAnsi="Times New Roman" w:eastAsia="宋体" w:cs="Times New Roman"/>
                <w:color w:val="000000"/>
                <w:sz w:val="24"/>
                <w:szCs w:val="24"/>
                <w:highlight w:val="none"/>
                <w:lang w:val="en-US" w:eastAsia="zh-CN"/>
              </w:rPr>
            </w:pPr>
          </w:p>
          <w:p w14:paraId="735509BC">
            <w:pPr>
              <w:pStyle w:val="34"/>
              <w:keepNext w:val="0"/>
              <w:keepLines w:val="0"/>
              <w:pageBreakBefore w:val="0"/>
              <w:widowControl w:val="0"/>
              <w:numPr>
                <w:ilvl w:val="0"/>
                <w:numId w:val="0"/>
              </w:numPr>
              <w:kinsoku/>
              <w:wordWrap/>
              <w:overflowPunct/>
              <w:topLinePunct w:val="0"/>
              <w:autoSpaceDE/>
              <w:autoSpaceDN/>
              <w:bidi w:val="0"/>
              <w:adjustRightInd/>
              <w:snapToGrid/>
              <w:spacing w:line="336" w:lineRule="auto"/>
              <w:ind w:left="0" w:leftChars="0" w:firstLine="480" w:firstLineChars="200"/>
              <w:jc w:val="both"/>
              <w:textAlignment w:val="auto"/>
              <w:rPr>
                <w:rFonts w:hint="eastAsia" w:ascii="Times New Roman" w:hAnsi="Times New Roman" w:eastAsia="宋体" w:cs="Times New Roman"/>
                <w:color w:val="000000"/>
                <w:sz w:val="24"/>
                <w:szCs w:val="24"/>
                <w:highlight w:val="none"/>
                <w:lang w:val="en-US" w:eastAsia="zh-CN"/>
              </w:rPr>
            </w:pPr>
          </w:p>
        </w:tc>
      </w:tr>
    </w:tbl>
    <w:p w14:paraId="2763629A">
      <w:pPr>
        <w:widowControl/>
        <w:kinsoku w:val="0"/>
        <w:autoSpaceDE w:val="0"/>
        <w:autoSpaceDN w:val="0"/>
        <w:adjustRightInd w:val="0"/>
        <w:snapToGrid w:val="0"/>
        <w:spacing w:before="315" w:line="222" w:lineRule="auto"/>
        <w:jc w:val="center"/>
        <w:textAlignment w:val="baseline"/>
        <w:outlineLvl w:val="0"/>
        <w:rPr>
          <w:rFonts w:hint="eastAsia" w:ascii="黑体" w:hAnsi="黑体" w:eastAsia="黑体" w:cs="黑体"/>
          <w:snapToGrid w:val="0"/>
          <w:color w:val="000000"/>
          <w:spacing w:val="-2"/>
          <w:kern w:val="0"/>
          <w:sz w:val="30"/>
          <w:szCs w:val="30"/>
          <w:lang w:eastAsia="en-US"/>
        </w:rPr>
      </w:pPr>
      <w:r>
        <w:rPr>
          <w:rFonts w:ascii="黑体" w:hAnsi="黑体" w:eastAsia="黑体"/>
          <w:snapToGrid w:val="0"/>
          <w:sz w:val="36"/>
          <w:szCs w:val="36"/>
          <w:highlight w:val="none"/>
        </w:rPr>
        <w:br w:type="page"/>
      </w:r>
      <w:r>
        <w:rPr>
          <w:rFonts w:hint="eastAsia" w:ascii="黑体" w:hAnsi="黑体" w:eastAsia="黑体" w:cs="黑体"/>
          <w:snapToGrid w:val="0"/>
          <w:color w:val="000000"/>
          <w:spacing w:val="-2"/>
          <w:kern w:val="0"/>
          <w:sz w:val="30"/>
          <w:szCs w:val="30"/>
          <w:lang w:val="en-US" w:eastAsia="zh-CN"/>
        </w:rPr>
        <w:t>四、</w:t>
      </w:r>
      <w:r>
        <w:rPr>
          <w:rFonts w:hint="eastAsia" w:ascii="黑体" w:hAnsi="黑体" w:eastAsia="黑体" w:cs="黑体"/>
          <w:snapToGrid w:val="0"/>
          <w:color w:val="000000"/>
          <w:spacing w:val="-2"/>
          <w:kern w:val="0"/>
          <w:sz w:val="30"/>
          <w:szCs w:val="30"/>
          <w:lang w:eastAsia="en-US"/>
        </w:rPr>
        <w:t>主要环境影响和保护措施</w:t>
      </w:r>
    </w:p>
    <w:tbl>
      <w:tblPr>
        <w:tblStyle w:val="1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8166"/>
      </w:tblGrid>
      <w:tr w14:paraId="0FC6FE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8" w:hRule="atLeast"/>
          <w:jc w:val="center"/>
        </w:trPr>
        <w:tc>
          <w:tcPr>
            <w:tcW w:w="746" w:type="dxa"/>
            <w:noWrap w:val="0"/>
            <w:tcMar>
              <w:left w:w="28" w:type="dxa"/>
              <w:right w:w="28" w:type="dxa"/>
            </w:tcMar>
            <w:vAlign w:val="center"/>
          </w:tcPr>
          <w:p w14:paraId="6B44C692">
            <w:pPr>
              <w:pStyle w:val="14"/>
              <w:adjustRightInd w:val="0"/>
              <w:snapToGrid w:val="0"/>
              <w:spacing w:before="0" w:beforeAutospacing="0" w:after="0" w:afterAutospacing="0"/>
              <w:jc w:val="center"/>
              <w:rPr>
                <w:rFonts w:hint="eastAsia" w:cs="宋体"/>
                <w:kern w:val="2"/>
                <w:sz w:val="21"/>
                <w:szCs w:val="21"/>
                <w:highlight w:val="none"/>
              </w:rPr>
            </w:pPr>
            <w:r>
              <w:rPr>
                <w:rFonts w:hint="eastAsia" w:cs="宋体"/>
                <w:kern w:val="2"/>
                <w:sz w:val="21"/>
                <w:szCs w:val="21"/>
                <w:highlight w:val="none"/>
              </w:rPr>
              <w:t>施工</w:t>
            </w:r>
          </w:p>
          <w:p w14:paraId="3ADD4469">
            <w:pPr>
              <w:pStyle w:val="14"/>
              <w:adjustRightInd w:val="0"/>
              <w:snapToGrid w:val="0"/>
              <w:spacing w:before="0" w:beforeAutospacing="0" w:after="0" w:afterAutospacing="0"/>
              <w:jc w:val="center"/>
              <w:rPr>
                <w:rFonts w:hint="eastAsia" w:cs="宋体"/>
                <w:kern w:val="2"/>
                <w:sz w:val="21"/>
                <w:szCs w:val="21"/>
                <w:highlight w:val="none"/>
              </w:rPr>
            </w:pPr>
            <w:r>
              <w:rPr>
                <w:rFonts w:hint="eastAsia" w:cs="宋体"/>
                <w:kern w:val="2"/>
                <w:sz w:val="21"/>
                <w:szCs w:val="21"/>
                <w:highlight w:val="none"/>
              </w:rPr>
              <w:t>期环</w:t>
            </w:r>
          </w:p>
          <w:p w14:paraId="791CFFBC">
            <w:pPr>
              <w:pStyle w:val="14"/>
              <w:adjustRightInd w:val="0"/>
              <w:snapToGrid w:val="0"/>
              <w:spacing w:before="0" w:beforeAutospacing="0" w:after="0" w:afterAutospacing="0"/>
              <w:jc w:val="center"/>
              <w:rPr>
                <w:rFonts w:hint="eastAsia" w:cs="宋体"/>
                <w:kern w:val="2"/>
                <w:sz w:val="21"/>
                <w:szCs w:val="21"/>
                <w:highlight w:val="none"/>
              </w:rPr>
            </w:pPr>
            <w:r>
              <w:rPr>
                <w:rFonts w:hint="eastAsia" w:cs="宋体"/>
                <w:kern w:val="2"/>
                <w:sz w:val="21"/>
                <w:szCs w:val="21"/>
                <w:highlight w:val="none"/>
              </w:rPr>
              <w:t>境保</w:t>
            </w:r>
          </w:p>
          <w:p w14:paraId="198C701A">
            <w:pPr>
              <w:pStyle w:val="14"/>
              <w:adjustRightInd w:val="0"/>
              <w:snapToGrid w:val="0"/>
              <w:spacing w:before="0" w:beforeAutospacing="0" w:after="0" w:afterAutospacing="0"/>
              <w:jc w:val="center"/>
              <w:rPr>
                <w:rFonts w:hint="eastAsia" w:cs="宋体"/>
                <w:kern w:val="2"/>
                <w:sz w:val="21"/>
                <w:szCs w:val="21"/>
                <w:highlight w:val="none"/>
              </w:rPr>
            </w:pPr>
            <w:r>
              <w:rPr>
                <w:rFonts w:hint="eastAsia" w:cs="宋体"/>
                <w:kern w:val="2"/>
                <w:sz w:val="21"/>
                <w:szCs w:val="21"/>
                <w:highlight w:val="none"/>
              </w:rPr>
              <w:t>护措</w:t>
            </w:r>
          </w:p>
          <w:p w14:paraId="2B7D9089">
            <w:pPr>
              <w:pStyle w:val="14"/>
              <w:adjustRightInd w:val="0"/>
              <w:snapToGrid w:val="0"/>
              <w:spacing w:before="0" w:beforeAutospacing="0" w:after="0" w:afterAutospacing="0"/>
              <w:jc w:val="center"/>
              <w:rPr>
                <w:rFonts w:hint="eastAsia" w:cs="宋体"/>
                <w:bCs/>
                <w:kern w:val="2"/>
                <w:sz w:val="21"/>
                <w:szCs w:val="21"/>
                <w:highlight w:val="none"/>
              </w:rPr>
            </w:pPr>
            <w:r>
              <w:rPr>
                <w:rFonts w:hint="eastAsia" w:cs="宋体"/>
                <w:kern w:val="2"/>
                <w:sz w:val="21"/>
                <w:szCs w:val="21"/>
                <w:highlight w:val="none"/>
              </w:rPr>
              <w:t>施</w:t>
            </w:r>
          </w:p>
        </w:tc>
        <w:tc>
          <w:tcPr>
            <w:tcW w:w="8162" w:type="dxa"/>
            <w:noWrap w:val="0"/>
            <w:vAlign w:val="center"/>
          </w:tcPr>
          <w:p w14:paraId="38730F47">
            <w:pPr>
              <w:pStyle w:val="34"/>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56" w:firstLineChars="200"/>
              <w:textAlignment w:val="auto"/>
              <w:rPr>
                <w:rFonts w:hint="default" w:ascii="Times New Roman" w:hAnsi="Times New Roman" w:eastAsia="宋体" w:cs="Times New Roman"/>
                <w:color w:val="000000"/>
                <w:spacing w:val="-6"/>
                <w:sz w:val="24"/>
                <w:szCs w:val="24"/>
                <w:highlight w:val="none"/>
                <w:lang w:val="en-US" w:eastAsia="zh-CN"/>
              </w:rPr>
            </w:pPr>
            <w:r>
              <w:rPr>
                <w:rFonts w:hint="default" w:ascii="Times New Roman" w:hAnsi="Times New Roman" w:eastAsia="宋体" w:cs="Times New Roman"/>
                <w:color w:val="000000"/>
                <w:spacing w:val="-6"/>
                <w:sz w:val="24"/>
                <w:szCs w:val="24"/>
                <w:highlight w:val="none"/>
                <w:lang w:val="en-US" w:eastAsia="zh-CN"/>
              </w:rPr>
              <w:t>本项目施工期约为12个月，主要工程内容包括污水收集管道，再生水管道，污水厂新建构（建）筑物，安装新设备，以及部分利旧构（建）筑物改造。</w:t>
            </w:r>
          </w:p>
          <w:p w14:paraId="594526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spacing w:val="0"/>
                <w:sz w:val="24"/>
              </w:rPr>
            </w:pPr>
            <w:r>
              <w:rPr>
                <w:rFonts w:hint="default" w:ascii="Times New Roman" w:hAnsi="Times New Roman" w:eastAsia="宋体" w:cs="Times New Roman"/>
                <w:b/>
                <w:bCs/>
                <w:color w:val="000000"/>
                <w:spacing w:val="0"/>
                <w:sz w:val="24"/>
              </w:rPr>
              <w:t>4.1施工期主要环境影响和保护措施</w:t>
            </w:r>
          </w:p>
          <w:p w14:paraId="0BEB049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000000"/>
                <w:spacing w:val="0"/>
                <w:sz w:val="24"/>
              </w:rPr>
            </w:pPr>
            <w:r>
              <w:rPr>
                <w:rFonts w:hint="default" w:ascii="Times New Roman" w:hAnsi="Times New Roman" w:eastAsia="宋体" w:cs="Times New Roman"/>
                <w:b/>
                <w:bCs/>
                <w:color w:val="000000"/>
                <w:spacing w:val="0"/>
                <w:sz w:val="24"/>
              </w:rPr>
              <w:t>4.</w:t>
            </w:r>
            <w:r>
              <w:rPr>
                <w:rFonts w:hint="eastAsia" w:ascii="Times New Roman" w:hAnsi="Times New Roman" w:eastAsia="宋体" w:cs="Times New Roman"/>
                <w:b/>
                <w:bCs/>
                <w:color w:val="000000"/>
                <w:spacing w:val="0"/>
                <w:sz w:val="24"/>
                <w:lang w:val="en-US" w:eastAsia="zh-CN"/>
              </w:rPr>
              <w:t>1</w:t>
            </w:r>
            <w:r>
              <w:rPr>
                <w:rFonts w:hint="default" w:ascii="Times New Roman" w:hAnsi="Times New Roman" w:eastAsia="宋体" w:cs="Times New Roman"/>
                <w:b/>
                <w:bCs/>
                <w:color w:val="000000"/>
                <w:spacing w:val="0"/>
                <w:sz w:val="24"/>
              </w:rPr>
              <w:t>.1施工期大气环境影响分析及防治措施</w:t>
            </w:r>
          </w:p>
          <w:p w14:paraId="0A2FBC7B">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default" w:ascii="Times New Roman" w:hAnsi="Times New Roman" w:eastAsia="宋体" w:cs="Times New Roman"/>
                <w:color w:val="000000"/>
                <w:spacing w:val="0"/>
                <w:sz w:val="24"/>
                <w:szCs w:val="24"/>
                <w:highlight w:val="none"/>
                <w:lang w:val="en-US" w:eastAsia="zh-CN"/>
              </w:rPr>
              <w:t>施工期废气主要来自施工扬尘（场地开挖、物料装卸、土方堆放、车辆运输）、施工机械和运输车辆排放的燃油废气、管道焊接烟气等。为最大程度降低施工期大气污染对周边环境的影响，参照同类污水处理厂项目施工期大气污染防治经验，本评价要求施工单位采取以下防治措施：</w:t>
            </w:r>
          </w:p>
          <w:p w14:paraId="3FF49AE2">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扬尘防治措施</w:t>
            </w:r>
          </w:p>
          <w:p w14:paraId="3FBD84FB">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设置施工围挡：施工场地周边设置连续、密闭的硬质围挡，高度不低于2.5m；管道施工沟槽开挖区域设置临时围挡或警示隔离带。严禁在挡墙外堆放施工材料、建筑垃圾和渣土。围挡上方宜设置喷雾降尘设施，土方作业时开启喷雾或采用移动雾炮车降尘。</w:t>
            </w:r>
          </w:p>
          <w:p w14:paraId="23058E43">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道路及场地硬化：施工工地内生活区、办公区、作业区加工场、材料堆场地面及车行道路应进行硬化处理-，施工道路应定期清扫保洁，保持路面清洁。</w:t>
            </w:r>
          </w:p>
          <w:p w14:paraId="1953741B">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物料堆放覆盖：所有裸露渣土、建筑垃圾及易产生扬尘的物料（砂石、水泥等）全部采用防尘网或苫布进行严密覆盖；散体堆放物料还应采取洒水或喷洒覆盖剂等抑尘措施；水泥、石灰等细颗粒物料应室内堆放或建设防风抑尘设施。暂时不能开工的建设用地，应对裸露地面进行覆盖。</w:t>
            </w:r>
          </w:p>
          <w:p w14:paraId="48F451D4">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（4）</w:t>
            </w:r>
            <w:r>
              <w:rPr>
                <w:rFonts w:hint="default" w:ascii="Times New Roman" w:hAnsi="Times New Roman" w:eastAsia="宋体" w:cs="Times New Roman"/>
                <w:color w:val="000000"/>
                <w:spacing w:val="0"/>
                <w:sz w:val="24"/>
                <w:szCs w:val="24"/>
                <w:highlight w:val="none"/>
                <w:lang w:val="en-US" w:eastAsia="zh-CN"/>
              </w:rPr>
              <w:t>湿法作业与洒水降尘：土方开挖、破碎、切割等易产生扬尘的作业应采取湿法作业，配备雾炮机或喷淋设备同步降尘。安排专人定时对施工场地和进出场道路洒水降尘，一般旱季每天洒水不少于2次，有风日加大洒水频次；每天洒水4~5次可使扬尘量减少90%以上。</w:t>
            </w:r>
          </w:p>
          <w:p w14:paraId="22151EB7">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（5）</w:t>
            </w:r>
            <w:r>
              <w:rPr>
                <w:rFonts w:hint="default" w:ascii="Times New Roman" w:hAnsi="Times New Roman" w:eastAsia="宋体" w:cs="Times New Roman"/>
                <w:color w:val="000000"/>
                <w:spacing w:val="0"/>
                <w:sz w:val="24"/>
                <w:szCs w:val="24"/>
                <w:highlight w:val="none"/>
                <w:lang w:val="en-US" w:eastAsia="zh-CN"/>
              </w:rPr>
              <w:t>出入车辆冲洗：施工场地出入口设置车辆冲洗设施（车辆冲洗平台或高压水枪），运输车辆应在除泥、冲洗干净后方可驶出作业场所；冲洗废水经沉淀处理后回用，不外排。</w:t>
            </w:r>
          </w:p>
          <w:p w14:paraId="5353B9DE">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（6）</w:t>
            </w:r>
            <w:r>
              <w:rPr>
                <w:rFonts w:hint="default" w:ascii="Times New Roman" w:hAnsi="Times New Roman" w:eastAsia="宋体" w:cs="Times New Roman"/>
                <w:color w:val="000000"/>
                <w:spacing w:val="0"/>
                <w:sz w:val="24"/>
                <w:szCs w:val="24"/>
                <w:highlight w:val="none"/>
                <w:lang w:val="en-US" w:eastAsia="zh-CN"/>
              </w:rPr>
              <w:t>渣土及物料密闭运输：运输土石方、粉状材料及建筑垃圾的车辆应全部采取密闭措施或加盖篷布，装载不宜过满，防止沿途洒落。</w:t>
            </w:r>
          </w:p>
          <w:p w14:paraId="2099A4FD">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default" w:ascii="Times New Roman" w:hAnsi="Times New Roman" w:eastAsia="宋体" w:cs="Times New Roman"/>
                <w:color w:val="000000"/>
                <w:spacing w:val="0"/>
                <w:sz w:val="24"/>
                <w:szCs w:val="24"/>
                <w:highlight w:val="none"/>
                <w:lang w:val="en-US" w:eastAsia="zh-CN"/>
              </w:rPr>
              <w:t>分段作业与避开大风天气：管道施工采取分段分层施工方式，开挖后的土方应及时回填，回填后的沟槽采取洒水、覆盖等降尘措施；避免大面积裸土长时间暴露。遇四级及以上大风天气，停止土方开挖、回填等易产生扬尘的施工作业；静风、逆温等不利扩散气象条件下，适当减少施工强度。</w:t>
            </w:r>
          </w:p>
          <w:p w14:paraId="1D1A4835">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（7）</w:t>
            </w:r>
            <w:r>
              <w:rPr>
                <w:rFonts w:hint="default" w:ascii="Times New Roman" w:hAnsi="Times New Roman" w:eastAsia="宋体" w:cs="Times New Roman"/>
                <w:color w:val="000000"/>
                <w:spacing w:val="0"/>
                <w:sz w:val="24"/>
                <w:szCs w:val="24"/>
                <w:highlight w:val="none"/>
                <w:lang w:val="en-US" w:eastAsia="zh-CN"/>
              </w:rPr>
              <w:t>使用预拌混凝土：施工期使用商品混凝土，不得在现场露天搅拌混凝土，减少扬尘产生。</w:t>
            </w:r>
          </w:p>
          <w:p w14:paraId="104B5788">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（8）</w:t>
            </w:r>
            <w:r>
              <w:rPr>
                <w:rFonts w:hint="default" w:ascii="Times New Roman" w:hAnsi="Times New Roman" w:eastAsia="宋体" w:cs="Times New Roman"/>
                <w:color w:val="000000"/>
                <w:spacing w:val="0"/>
                <w:sz w:val="24"/>
                <w:szCs w:val="24"/>
                <w:highlight w:val="none"/>
                <w:lang w:val="en-US" w:eastAsia="zh-CN"/>
              </w:rPr>
              <w:t>落实</w:t>
            </w:r>
            <w:r>
              <w:rPr>
                <w:rFonts w:hint="eastAsia" w:ascii="Times New Roman" w:hAnsi="Times New Roman" w:eastAsia="宋体" w:cs="Times New Roman"/>
                <w:color w:val="000000"/>
                <w:spacing w:val="0"/>
                <w:sz w:val="24"/>
                <w:szCs w:val="24"/>
                <w:highlight w:val="none"/>
                <w:lang w:val="en-US" w:eastAsia="zh-CN"/>
              </w:rPr>
              <w:t>“</w:t>
            </w:r>
            <w:r>
              <w:rPr>
                <w:rFonts w:hint="default" w:ascii="Times New Roman" w:hAnsi="Times New Roman" w:eastAsia="宋体" w:cs="Times New Roman"/>
                <w:color w:val="000000"/>
                <w:spacing w:val="0"/>
                <w:sz w:val="24"/>
                <w:szCs w:val="24"/>
                <w:highlight w:val="none"/>
                <w:lang w:val="en-US" w:eastAsia="zh-CN"/>
              </w:rPr>
              <w:t>六个百分百</w:t>
            </w:r>
            <w:r>
              <w:rPr>
                <w:rFonts w:hint="eastAsia" w:ascii="Times New Roman" w:hAnsi="Times New Roman" w:eastAsia="宋体" w:cs="Times New Roman"/>
                <w:color w:val="000000"/>
                <w:spacing w:val="0"/>
                <w:sz w:val="24"/>
                <w:szCs w:val="24"/>
                <w:highlight w:val="none"/>
                <w:lang w:val="en-US" w:eastAsia="zh-CN"/>
              </w:rPr>
              <w:t>”</w:t>
            </w:r>
            <w:r>
              <w:rPr>
                <w:rFonts w:hint="default" w:ascii="Times New Roman" w:hAnsi="Times New Roman" w:eastAsia="宋体" w:cs="Times New Roman"/>
                <w:color w:val="000000"/>
                <w:spacing w:val="0"/>
                <w:sz w:val="24"/>
                <w:szCs w:val="24"/>
                <w:highlight w:val="none"/>
                <w:lang w:val="en-US" w:eastAsia="zh-CN"/>
              </w:rPr>
              <w:t>要求：严格落实扬尘防治</w:t>
            </w:r>
            <w:r>
              <w:rPr>
                <w:rFonts w:hint="eastAsia" w:ascii="Times New Roman" w:hAnsi="Times New Roman" w:eastAsia="宋体" w:cs="Times New Roman"/>
                <w:color w:val="000000"/>
                <w:spacing w:val="0"/>
                <w:sz w:val="24"/>
                <w:szCs w:val="24"/>
                <w:highlight w:val="none"/>
                <w:lang w:val="en-US" w:eastAsia="zh-CN"/>
              </w:rPr>
              <w:t>“</w:t>
            </w:r>
            <w:r>
              <w:rPr>
                <w:rFonts w:hint="default" w:ascii="Times New Roman" w:hAnsi="Times New Roman" w:eastAsia="宋体" w:cs="Times New Roman"/>
                <w:color w:val="000000"/>
                <w:spacing w:val="0"/>
                <w:sz w:val="24"/>
                <w:szCs w:val="24"/>
                <w:highlight w:val="none"/>
                <w:lang w:val="en-US" w:eastAsia="zh-CN"/>
              </w:rPr>
              <w:t>六个百分百</w:t>
            </w:r>
            <w:r>
              <w:rPr>
                <w:rFonts w:hint="eastAsia" w:ascii="Times New Roman" w:hAnsi="Times New Roman" w:eastAsia="宋体" w:cs="Times New Roman"/>
                <w:color w:val="000000"/>
                <w:spacing w:val="0"/>
                <w:sz w:val="24"/>
                <w:szCs w:val="24"/>
                <w:highlight w:val="none"/>
                <w:lang w:val="en-US" w:eastAsia="zh-CN"/>
              </w:rPr>
              <w:t>”</w:t>
            </w:r>
            <w:r>
              <w:rPr>
                <w:rFonts w:hint="default" w:ascii="Times New Roman" w:hAnsi="Times New Roman" w:eastAsia="宋体" w:cs="Times New Roman"/>
                <w:color w:val="000000"/>
                <w:spacing w:val="0"/>
                <w:sz w:val="24"/>
                <w:szCs w:val="24"/>
                <w:highlight w:val="none"/>
                <w:lang w:val="en-US" w:eastAsia="zh-CN"/>
              </w:rPr>
              <w:t>标准，即施工工地周边100%围挡、物料堆放100%覆盖、出入车辆100%冲洗、施工道路100%硬化、湿法作业100%落实、渣土车辆100%密闭运输。设置扬尘防治公示牌，主动接受社会监督。</w:t>
            </w:r>
          </w:p>
          <w:p w14:paraId="16D33893">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施工机械及运输车辆尾气防治措施</w:t>
            </w:r>
          </w:p>
          <w:p w14:paraId="4DB23270">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选用环保型施工机械和运输车辆，使用符合国家标准的合格燃油。</w:t>
            </w:r>
          </w:p>
          <w:p w14:paraId="1EC4AB25">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加强对施工机械和运输车辆的日常维修保养，确保其处于良好的运行状态，减少不必要的空转时间，以控制尾气排放。</w:t>
            </w:r>
          </w:p>
          <w:p w14:paraId="7B2DC529">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每月至少检查1次排放状况，确保发动机燃烧充分。</w:t>
            </w:r>
          </w:p>
          <w:p w14:paraId="5236DE1E">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（4）</w:t>
            </w:r>
            <w:r>
              <w:rPr>
                <w:rFonts w:hint="default" w:ascii="Times New Roman" w:hAnsi="Times New Roman" w:eastAsia="宋体" w:cs="Times New Roman"/>
                <w:color w:val="000000"/>
                <w:spacing w:val="0"/>
                <w:sz w:val="24"/>
                <w:szCs w:val="24"/>
                <w:highlight w:val="none"/>
                <w:lang w:val="en-US" w:eastAsia="zh-CN"/>
              </w:rPr>
              <w:t>合理疏导施工车辆，减少怠速和低速行驶时间。</w:t>
            </w:r>
          </w:p>
          <w:p w14:paraId="6BC4F0BF">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管道焊接烟气防治措施</w:t>
            </w:r>
          </w:p>
          <w:p w14:paraId="145B386E">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56" w:firstLineChars="200"/>
              <w:jc w:val="left"/>
              <w:textAlignment w:val="auto"/>
              <w:rPr>
                <w:rFonts w:hint="default" w:ascii="Times New Roman" w:hAnsi="Times New Roman" w:eastAsia="宋体" w:cs="Times New Roman"/>
                <w:color w:val="000000"/>
                <w:spacing w:val="-6"/>
                <w:sz w:val="24"/>
                <w:szCs w:val="24"/>
                <w:highlight w:val="none"/>
                <w:lang w:val="en-US" w:eastAsia="zh-CN"/>
              </w:rPr>
            </w:pPr>
            <w:r>
              <w:rPr>
                <w:rFonts w:hint="eastAsia" w:ascii="Times New Roman" w:hAnsi="Times New Roman" w:cs="Times New Roman"/>
                <w:color w:val="000000"/>
                <w:spacing w:val="-6"/>
                <w:sz w:val="24"/>
                <w:szCs w:val="24"/>
                <w:highlight w:val="none"/>
                <w:lang w:val="en-US" w:eastAsia="zh-CN"/>
              </w:rPr>
              <w:t>（1）</w:t>
            </w:r>
            <w:r>
              <w:rPr>
                <w:rFonts w:hint="default" w:ascii="Times New Roman" w:hAnsi="Times New Roman" w:eastAsia="宋体" w:cs="Times New Roman"/>
                <w:color w:val="000000"/>
                <w:spacing w:val="-6"/>
                <w:sz w:val="24"/>
                <w:szCs w:val="24"/>
                <w:highlight w:val="none"/>
                <w:lang w:val="en-US" w:eastAsia="zh-CN"/>
              </w:rPr>
              <w:t>管道焊接施工期间，应采用分段分层施工方式，避免大面积同时作业。</w:t>
            </w:r>
          </w:p>
          <w:p w14:paraId="3C45DA43">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焊接作业应尽量在开阔、通风良好的区域进行，摊铺作业区四周可设置移动式围挡（高度不低于2m），阻挡烟气扩散。</w:t>
            </w:r>
          </w:p>
          <w:p w14:paraId="340C0327">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施工单位应做好焊接作业的安全防护工作，选用符合环保要求的焊条和焊接工艺。</w:t>
            </w:r>
          </w:p>
          <w:p w14:paraId="326631C8">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spacing w:val="0"/>
                <w:sz w:val="24"/>
                <w:szCs w:val="24"/>
                <w:highlight w:val="none"/>
                <w:lang w:val="en-US" w:eastAsia="zh-CN"/>
              </w:rPr>
            </w:pPr>
            <w:r>
              <w:rPr>
                <w:rFonts w:hint="default" w:ascii="Times New Roman" w:hAnsi="Times New Roman" w:eastAsia="宋体" w:cs="Times New Roman"/>
                <w:color w:val="000000"/>
                <w:spacing w:val="0"/>
                <w:sz w:val="24"/>
                <w:szCs w:val="24"/>
                <w:highlight w:val="none"/>
                <w:lang w:val="en-US" w:eastAsia="zh-CN"/>
              </w:rPr>
              <w:t>在严格落实上述施工期大气污染防治措施的前提下，施工扬尘和废气对周边环境空气质量的影响可得到有效控制。施工期大气环境影响具有短期性和阶段性特征，随着施工活动的结束，影响将自行消除。</w:t>
            </w:r>
          </w:p>
          <w:p w14:paraId="485C63C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000000"/>
                <w:spacing w:val="0"/>
                <w:sz w:val="24"/>
                <w:highlight w:val="none"/>
              </w:rPr>
            </w:pPr>
            <w:r>
              <w:rPr>
                <w:rFonts w:hint="eastAsia" w:cs="Times New Roman"/>
                <w:b/>
                <w:bCs/>
                <w:color w:val="000000"/>
                <w:spacing w:val="0"/>
                <w:sz w:val="24"/>
                <w:highlight w:val="none"/>
                <w:lang w:val="en-US" w:eastAsia="zh-CN"/>
              </w:rPr>
              <w:t>4.1.2</w:t>
            </w:r>
            <w:r>
              <w:rPr>
                <w:rFonts w:hint="default" w:ascii="Times New Roman" w:hAnsi="Times New Roman" w:eastAsia="宋体" w:cs="Times New Roman"/>
                <w:b/>
                <w:bCs/>
                <w:color w:val="000000"/>
                <w:spacing w:val="0"/>
                <w:sz w:val="24"/>
                <w:highlight w:val="none"/>
              </w:rPr>
              <w:t>施工</w:t>
            </w:r>
            <w:r>
              <w:rPr>
                <w:rFonts w:hint="eastAsia" w:ascii="Times New Roman" w:hAnsi="Times New Roman" w:eastAsia="宋体" w:cs="Times New Roman"/>
                <w:b/>
                <w:bCs/>
                <w:color w:val="000000"/>
                <w:spacing w:val="0"/>
                <w:sz w:val="24"/>
                <w:highlight w:val="none"/>
                <w:lang w:val="en-US" w:eastAsia="zh-CN"/>
              </w:rPr>
              <w:t>期废水</w:t>
            </w:r>
            <w:r>
              <w:rPr>
                <w:rFonts w:hint="default" w:ascii="Times New Roman" w:hAnsi="Times New Roman" w:eastAsia="宋体" w:cs="Times New Roman"/>
                <w:b/>
                <w:bCs/>
                <w:color w:val="000000"/>
                <w:spacing w:val="0"/>
                <w:sz w:val="24"/>
                <w:highlight w:val="none"/>
              </w:rPr>
              <w:t>及防治措施</w:t>
            </w:r>
          </w:p>
          <w:p w14:paraId="4F10AF0F">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default" w:ascii="Times New Roman" w:hAnsi="Times New Roman" w:eastAsia="宋体" w:cs="Times New Roman"/>
                <w:color w:val="000000"/>
                <w:spacing w:val="0"/>
                <w:sz w:val="24"/>
                <w:szCs w:val="24"/>
                <w:highlight w:val="none"/>
                <w:lang w:val="en-US" w:eastAsia="zh-CN"/>
              </w:rPr>
              <w:t>本项目施工期废水主要来自施工生产废水、</w:t>
            </w:r>
            <w:r>
              <w:rPr>
                <w:rFonts w:hint="eastAsia" w:ascii="Times New Roman" w:hAnsi="Times New Roman" w:cs="Times New Roman"/>
                <w:color w:val="000000"/>
                <w:spacing w:val="0"/>
                <w:sz w:val="24"/>
                <w:szCs w:val="24"/>
                <w:highlight w:val="none"/>
                <w:lang w:val="en-US" w:eastAsia="zh-CN"/>
              </w:rPr>
              <w:t>施工机械冲洗废水、</w:t>
            </w:r>
            <w:r>
              <w:rPr>
                <w:rFonts w:hint="default" w:ascii="Times New Roman" w:hAnsi="Times New Roman" w:eastAsia="宋体" w:cs="Times New Roman"/>
                <w:color w:val="000000"/>
                <w:spacing w:val="0"/>
                <w:sz w:val="24"/>
                <w:szCs w:val="24"/>
                <w:highlight w:val="none"/>
                <w:lang w:val="en-US" w:eastAsia="zh-CN"/>
              </w:rPr>
              <w:t>施工人员生活污水、雨天地表径流以及管道试压废水等。为最大程度降低施工期废水对周边水环境的影响，参照同类污水处理厂项目施工期水污染防治经验，本评价要求施工单位采取以下防治措施：</w:t>
            </w:r>
          </w:p>
          <w:p w14:paraId="06502202">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施工生产废水防治措施</w:t>
            </w:r>
          </w:p>
          <w:p w14:paraId="3ED09BB1">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default" w:ascii="Times New Roman" w:hAnsi="Times New Roman" w:eastAsia="宋体" w:cs="Times New Roman"/>
                <w:color w:val="000000"/>
                <w:spacing w:val="0"/>
                <w:sz w:val="24"/>
                <w:szCs w:val="24"/>
                <w:highlight w:val="none"/>
                <w:lang w:val="en-US" w:eastAsia="zh-CN"/>
              </w:rPr>
              <w:t>施工生产废水主要包括砂石料冲洗水、混凝土养护水、场地冲洗水、机械设备运转的冷却水和洗涤水、输送系统冲洗废水等。主要污染物为悬浮物（SS）及少量石油类。</w:t>
            </w:r>
          </w:p>
          <w:p w14:paraId="2DE70DE3">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设置隔油沉淀池：在施工场地内设置完善的排水设施和隔油沉淀池（建议容积不小于5m</w:t>
            </w:r>
            <w:r>
              <w:rPr>
                <w:rFonts w:hint="eastAsia" w:ascii="Times New Roman" w:hAnsi="Times New Roman" w:cs="Times New Roman"/>
                <w:color w:val="000000"/>
                <w:spacing w:val="0"/>
                <w:sz w:val="24"/>
                <w:szCs w:val="24"/>
                <w:highlight w:val="none"/>
                <w:vertAlign w:val="superscript"/>
                <w:lang w:val="en-US" w:eastAsia="zh-CN"/>
              </w:rPr>
              <w:t>3</w:t>
            </w:r>
            <w:r>
              <w:rPr>
                <w:rFonts w:hint="eastAsia" w:ascii="Times New Roman" w:hAnsi="Times New Roman" w:cs="Times New Roman"/>
                <w:color w:val="000000"/>
                <w:spacing w:val="0"/>
                <w:sz w:val="24"/>
                <w:szCs w:val="24"/>
                <w:highlight w:val="none"/>
                <w:lang w:val="en-US" w:eastAsia="zh-CN"/>
              </w:rPr>
              <w:t>，铺设HDPE防渗膜：铺设厚度≥1.5mm的HDPE防渗膜</w:t>
            </w:r>
            <w:r>
              <w:rPr>
                <w:rFonts w:hint="default" w:ascii="Times New Roman" w:hAnsi="Times New Roman" w:eastAsia="宋体" w:cs="Times New Roman"/>
                <w:color w:val="000000"/>
                <w:spacing w:val="0"/>
                <w:sz w:val="24"/>
                <w:szCs w:val="24"/>
                <w:highlight w:val="none"/>
                <w:lang w:val="en-US" w:eastAsia="zh-CN"/>
              </w:rPr>
              <w:t>），将施工生产废水集中收集后进行隔油、沉淀处理。含油废水经隔油池去除浮油后进入沉淀池，静置沉淀时间不少于24h。</w:t>
            </w:r>
          </w:p>
          <w:p w14:paraId="798F81BF">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废水循环回用：施工生产废水经隔油沉淀处理后，首先循环回用于施工生产（如混凝土养护、设备冷却等），其余用于施工现场、临时堆土场的洒水防尘，不向外排放。回用水质可参照执行《城市污水再生利用 城市杂用水水质》中建筑施工杂用水水质标准。</w:t>
            </w:r>
          </w:p>
          <w:p w14:paraId="143A11F5">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沉淀池维护：沉淀池应定期进行清理，沉淀物运至指定弃渣场处置。</w:t>
            </w:r>
          </w:p>
          <w:p w14:paraId="02436398">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default" w:ascii="Times New Roman" w:hAnsi="Times New Roman" w:eastAsia="宋体" w:cs="Times New Roman"/>
                <w:color w:val="000000"/>
                <w:spacing w:val="0"/>
                <w:sz w:val="24"/>
                <w:szCs w:val="24"/>
                <w:highlight w:val="none"/>
                <w:lang w:val="en-US" w:eastAsia="zh-CN"/>
              </w:rPr>
              <w:t>含油废水特殊处理：施工机械检修产生的含油废水应先经隔油池隔油处理再进行沉淀，隔油池内收集的废油泥属于危险废物，应委托有资质的单位处置，禁止随意倾倒。</w:t>
            </w:r>
          </w:p>
          <w:p w14:paraId="446F37D5">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（4）</w:t>
            </w:r>
            <w:r>
              <w:rPr>
                <w:rFonts w:hint="default" w:ascii="Times New Roman" w:hAnsi="Times New Roman" w:eastAsia="宋体" w:cs="Times New Roman"/>
                <w:color w:val="000000"/>
                <w:spacing w:val="0"/>
                <w:sz w:val="24"/>
                <w:szCs w:val="24"/>
                <w:highlight w:val="none"/>
                <w:lang w:val="en-US" w:eastAsia="zh-CN"/>
              </w:rPr>
              <w:t>混凝土养护废水：采用吸水材料覆盖混凝土后再洒水养护的方式，合理控制用水量。混凝土养护废水经沉淀处理后回用于路面洒水或施工生产，不对外排放。</w:t>
            </w:r>
          </w:p>
          <w:p w14:paraId="73F21B2E">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（5）</w:t>
            </w:r>
            <w:r>
              <w:rPr>
                <w:rFonts w:hint="default" w:ascii="Times New Roman" w:hAnsi="Times New Roman" w:eastAsia="宋体" w:cs="Times New Roman"/>
                <w:color w:val="000000"/>
                <w:spacing w:val="0"/>
                <w:sz w:val="24"/>
                <w:szCs w:val="24"/>
                <w:highlight w:val="none"/>
                <w:lang w:val="en-US" w:eastAsia="zh-CN"/>
              </w:rPr>
              <w:t>基坑排水处理：基坑开挖产生的基坑废水、渗滤水等，通过自建沉淀池沉淀处理后，用于施工场地降尘使用，不外排。基坑排水可采用明渠排水与水泵排水相结合的方式。</w:t>
            </w:r>
          </w:p>
          <w:p w14:paraId="5A1B3472">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（6）</w:t>
            </w:r>
            <w:r>
              <w:rPr>
                <w:rFonts w:hint="default" w:ascii="Times New Roman" w:hAnsi="Times New Roman" w:eastAsia="宋体" w:cs="Times New Roman"/>
                <w:color w:val="000000"/>
                <w:spacing w:val="0"/>
                <w:sz w:val="24"/>
                <w:szCs w:val="24"/>
                <w:highlight w:val="none"/>
                <w:lang w:val="en-US" w:eastAsia="zh-CN"/>
              </w:rPr>
              <w:t>施工机械管理：施工机械须严格检查，防止油料泄漏；尽量选用先进的设备，从源头减少含油废水产生。</w:t>
            </w:r>
          </w:p>
          <w:p w14:paraId="42D0FCD1">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施工人员生活污水防治措施</w:t>
            </w:r>
          </w:p>
          <w:p w14:paraId="2362685A">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default" w:ascii="Times New Roman" w:hAnsi="Times New Roman" w:eastAsia="宋体" w:cs="Times New Roman"/>
                <w:color w:val="000000"/>
                <w:spacing w:val="0"/>
                <w:sz w:val="24"/>
                <w:szCs w:val="24"/>
                <w:highlight w:val="none"/>
                <w:lang w:val="en-US" w:eastAsia="zh-CN"/>
              </w:rPr>
              <w:t>本项目施工人员主要居住在附近的产业小镇，不设施工营地。</w:t>
            </w:r>
          </w:p>
          <w:p w14:paraId="3E868A8E">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施工人员生活污水随产业小镇污水管网排入一期工程现有污水处理系统处理。</w:t>
            </w:r>
          </w:p>
          <w:p w14:paraId="411F0108">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管道施工等远离厂区的作业区域，施工人员生活污水依托租用民房现有污水处理设施或附近公共卫生设施处理。</w:t>
            </w:r>
          </w:p>
          <w:p w14:paraId="0D76EE4B">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若需设置临时施工营地，应配套建设临时化粪池或移动式厕所，生活污水经收集后定期运至园区污水处理厂处理，不得直接外排。</w:t>
            </w:r>
          </w:p>
          <w:p w14:paraId="1C29133B">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雨天地表径流防治措施</w:t>
            </w:r>
          </w:p>
          <w:p w14:paraId="6F3001C5">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在材料堆场、临时堆土区四周设置截水沟，截留雨水径流。</w:t>
            </w:r>
          </w:p>
          <w:p w14:paraId="637C3718">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雨水径流经截排水沟收集后，排入临时沉砂池沉淀处理。</w:t>
            </w:r>
          </w:p>
          <w:p w14:paraId="30203BC7">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沉淀处理后的雨水部分回用于施工生产及洒水降尘，回用不完的部分经沉淀后外排。</w:t>
            </w:r>
          </w:p>
          <w:p w14:paraId="2ABDE697">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（4）</w:t>
            </w:r>
            <w:r>
              <w:rPr>
                <w:rFonts w:hint="default" w:ascii="Times New Roman" w:hAnsi="Times New Roman" w:eastAsia="宋体" w:cs="Times New Roman"/>
                <w:color w:val="000000"/>
                <w:spacing w:val="0"/>
                <w:sz w:val="24"/>
                <w:szCs w:val="24"/>
                <w:highlight w:val="none"/>
                <w:lang w:val="en-US" w:eastAsia="zh-CN"/>
              </w:rPr>
              <w:t>散料堆场四周可用砖块砌出简易防冲墙，防止物料被雨水冲刷流失。</w:t>
            </w:r>
          </w:p>
          <w:p w14:paraId="26CAEEB6">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4、</w:t>
            </w:r>
            <w:r>
              <w:rPr>
                <w:rFonts w:hint="default" w:ascii="Times New Roman" w:hAnsi="Times New Roman" w:eastAsia="宋体" w:cs="Times New Roman"/>
                <w:color w:val="000000"/>
                <w:spacing w:val="0"/>
                <w:sz w:val="24"/>
                <w:szCs w:val="24"/>
                <w:highlight w:val="none"/>
                <w:lang w:val="en-US" w:eastAsia="zh-CN"/>
              </w:rPr>
              <w:t>管道试压废水防治措施</w:t>
            </w:r>
          </w:p>
          <w:p w14:paraId="79D45B69">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管道试压应采用清水试压。</w:t>
            </w:r>
          </w:p>
          <w:p w14:paraId="24718948">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试压废水主要含铁锈和泥沙等杂质，应尽量收集，重复使用于相邻管段试压，提高重复使用率。</w:t>
            </w:r>
          </w:p>
          <w:p w14:paraId="5A5481C9">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最终试压废水经沉淀处理后用于施工场地洒水抑尘。</w:t>
            </w:r>
          </w:p>
          <w:p w14:paraId="68CF65C8">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（4）</w:t>
            </w:r>
            <w:r>
              <w:rPr>
                <w:rFonts w:hint="default" w:ascii="Times New Roman" w:hAnsi="Times New Roman" w:eastAsia="宋体" w:cs="Times New Roman"/>
                <w:color w:val="000000"/>
                <w:spacing w:val="0"/>
                <w:sz w:val="24"/>
                <w:szCs w:val="24"/>
                <w:highlight w:val="none"/>
                <w:lang w:val="en-US" w:eastAsia="zh-CN"/>
              </w:rPr>
              <w:t>加强废水排放的管理与疏导工作，杜绝不经处理任意排放。</w:t>
            </w:r>
          </w:p>
          <w:p w14:paraId="255B368F">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5、</w:t>
            </w:r>
            <w:r>
              <w:rPr>
                <w:rFonts w:hint="default" w:ascii="Times New Roman" w:hAnsi="Times New Roman" w:eastAsia="宋体" w:cs="Times New Roman"/>
                <w:color w:val="000000"/>
                <w:spacing w:val="0"/>
                <w:sz w:val="24"/>
                <w:szCs w:val="24"/>
                <w:highlight w:val="none"/>
                <w:lang w:val="en-US" w:eastAsia="zh-CN"/>
              </w:rPr>
              <w:t>施工期废水管理要求</w:t>
            </w:r>
          </w:p>
          <w:p w14:paraId="23A2A529">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加强施工期环境管理，严禁施工废水乱排、乱流。</w:t>
            </w:r>
          </w:p>
          <w:p w14:paraId="529A356C">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施工场地应及时清理，保证施工期废水不得对周边水环境造成污染。</w:t>
            </w:r>
          </w:p>
          <w:p w14:paraId="268A8613">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default" w:ascii="Times New Roman" w:hAnsi="Times New Roman" w:eastAsia="宋体" w:cs="Times New Roman"/>
                <w:color w:val="000000"/>
                <w:spacing w:val="0"/>
                <w:sz w:val="24"/>
                <w:szCs w:val="24"/>
                <w:highlight w:val="none"/>
                <w:lang w:val="en-US" w:eastAsia="zh-CN"/>
              </w:rPr>
              <w:t>尽量避开雨季进行土方开挖作业，减少雨水冲刷产生的泥浆水。</w:t>
            </w:r>
          </w:p>
          <w:p w14:paraId="40CC94DB">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合理安排施工作业时间、时序，控制施工范围。</w:t>
            </w:r>
          </w:p>
          <w:p w14:paraId="19601D10">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（4）</w:t>
            </w:r>
            <w:r>
              <w:rPr>
                <w:rFonts w:hint="default" w:ascii="Times New Roman" w:hAnsi="Times New Roman" w:eastAsia="宋体" w:cs="Times New Roman"/>
                <w:color w:val="000000"/>
                <w:spacing w:val="0"/>
                <w:sz w:val="24"/>
                <w:szCs w:val="24"/>
                <w:highlight w:val="none"/>
                <w:lang w:val="en-US" w:eastAsia="zh-CN"/>
              </w:rPr>
              <w:t>在严格落实上述施工期废水污染防治措施的前提下，施工期各类废水均能得到有效治理和回用，施工废水零排放，不会对周边水环境产生不利影响。施工期水环境影响具有短期性和阶段性特征，随着施工活动的结束，影响将自行消除。</w:t>
            </w:r>
          </w:p>
          <w:p w14:paraId="55A4C9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default" w:ascii="Times New Roman" w:hAnsi="Times New Roman" w:eastAsia="宋体" w:cs="Times New Roman"/>
                <w:b/>
                <w:bCs/>
                <w:color w:val="000000"/>
                <w:spacing w:val="0"/>
                <w:sz w:val="24"/>
                <w:highlight w:val="none"/>
                <w:lang w:val="en-US" w:eastAsia="zh-CN"/>
              </w:rPr>
            </w:pPr>
            <w:r>
              <w:rPr>
                <w:rFonts w:hint="eastAsia" w:ascii="Times New Roman" w:hAnsi="Times New Roman" w:eastAsia="宋体" w:cs="Times New Roman"/>
                <w:b/>
                <w:bCs/>
                <w:color w:val="000000"/>
                <w:spacing w:val="0"/>
                <w:kern w:val="2"/>
                <w:sz w:val="24"/>
                <w:szCs w:val="24"/>
                <w:lang w:val="en-US" w:eastAsia="zh-CN" w:bidi="ar-SA"/>
              </w:rPr>
              <w:t>4.1.3</w:t>
            </w:r>
            <w:r>
              <w:rPr>
                <w:rFonts w:hint="default" w:ascii="Times New Roman" w:hAnsi="Times New Roman" w:eastAsia="宋体" w:cs="Times New Roman"/>
                <w:b/>
                <w:bCs/>
                <w:color w:val="000000"/>
                <w:spacing w:val="0"/>
                <w:sz w:val="24"/>
                <w:highlight w:val="none"/>
                <w:lang w:val="en-US" w:eastAsia="zh-CN"/>
              </w:rPr>
              <w:t>施工期噪声及防治措施</w:t>
            </w:r>
          </w:p>
          <w:p w14:paraId="1079920C">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default" w:ascii="Times New Roman" w:hAnsi="Times New Roman" w:eastAsia="宋体" w:cs="Times New Roman"/>
                <w:color w:val="000000"/>
                <w:spacing w:val="0"/>
                <w:sz w:val="24"/>
                <w:szCs w:val="24"/>
                <w:highlight w:val="none"/>
                <w:lang w:val="en-US" w:eastAsia="zh-CN"/>
              </w:rPr>
              <w:t>施工期噪声源主要为挖掘机、推土机、打桩机、混凝土搅拌机等施工机械及运输车辆噪声。</w:t>
            </w:r>
            <w:r>
              <w:rPr>
                <w:rFonts w:hint="default" w:ascii="Times New Roman" w:hAnsi="Times New Roman" w:cs="Times New Roman"/>
                <w:spacing w:val="0"/>
                <w:sz w:val="24"/>
              </w:rPr>
              <w:t>项目区厂界外50m范围内无声环境敏感目标，施工噪声主要影响施工人员及厂区内部环境，但为进一步降低施工期噪声对周边环境的影响，参照同类污水处理厂项目施工期噪声污染防治经验，本评价要求施工单位采取以下防治措施：</w:t>
            </w:r>
          </w:p>
          <w:p w14:paraId="288E4031">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val="en-US" w:eastAsia="zh-CN"/>
              </w:rPr>
              <w:t>1、</w:t>
            </w:r>
            <w:r>
              <w:rPr>
                <w:rFonts w:hint="default" w:ascii="Times New Roman" w:hAnsi="Times New Roman" w:cs="Times New Roman"/>
                <w:spacing w:val="0"/>
                <w:sz w:val="24"/>
              </w:rPr>
              <w:t>源头控制措施</w:t>
            </w:r>
          </w:p>
          <w:p w14:paraId="37201FD6">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1</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选用低噪声设备：在施工设备选型上，优先选用低噪声、低振动的施工机械设备，如选用液压式挖掘机替代柴油式挖掘机（可降噪5~8dB（A））、电动液压打桩机替代柴油打桩机，高噪声设备声压级宜控制在85dB（A）以下。严禁使用淘汰及高噪声的落后设备。</w:t>
            </w:r>
          </w:p>
          <w:p w14:paraId="17EBDC17">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2</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加强设备维护：定期对施工机械设备进行维修和保养，确保其处于良好的运行状态，避免因设备部件松动、磨损或损坏而加大工作时的声压级。对高噪声设备安装隔声罩或消声器。</w:t>
            </w:r>
          </w:p>
          <w:p w14:paraId="34CF4F32">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3</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设备基础减振：对高噪声的施工机械（如空压机、打桩机、切割机等）安装减振垫或采取基础减振措施，降低设备振动产生的噪声。</w:t>
            </w:r>
          </w:p>
          <w:p w14:paraId="1CBA15C5">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val="en-US" w:eastAsia="zh-CN"/>
              </w:rPr>
              <w:t>2、</w:t>
            </w:r>
            <w:r>
              <w:rPr>
                <w:rFonts w:hint="default" w:ascii="Times New Roman" w:hAnsi="Times New Roman" w:cs="Times New Roman"/>
                <w:spacing w:val="0"/>
                <w:sz w:val="24"/>
              </w:rPr>
              <w:t>传播途径控制措施</w:t>
            </w:r>
          </w:p>
          <w:p w14:paraId="4C4CC42A">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1</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合理布局施工设备：将高噪声设备尽量布置在施工场地中部或远离厂界的一侧，利用距离衰减降低噪声对周边环境的影响。避免在同一时间内集中使用大量的动力机械设备。</w:t>
            </w:r>
          </w:p>
          <w:p w14:paraId="298A1F25">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2</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设置隔声屏障：在施工场地靠近厂界一侧设置高度不低于2.5m的硬质围挡或隔声屏障。在靠近噪声敏感区域施工时，对高噪声设备周围设置可移动式隔声屏障（高度≥2m，隔声量≥15~25dB（A））。可选用透明隔声板，既降噪又不影响采光。</w:t>
            </w:r>
          </w:p>
          <w:p w14:paraId="4A94FC17">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3</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临时隔声设施：对相对固定的高噪声设备（如发电机、空压机等），可在其周围搭设临时隔声棚或隔声罩。</w:t>
            </w:r>
          </w:p>
          <w:p w14:paraId="149A4329">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val="en-US" w:eastAsia="zh-CN"/>
              </w:rPr>
              <w:t>3、</w:t>
            </w:r>
            <w:r>
              <w:rPr>
                <w:rFonts w:hint="default" w:ascii="Times New Roman" w:hAnsi="Times New Roman" w:cs="Times New Roman"/>
                <w:spacing w:val="0"/>
                <w:sz w:val="24"/>
              </w:rPr>
              <w:t>时间控制措施</w:t>
            </w:r>
          </w:p>
          <w:p w14:paraId="5A0090DB">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1</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合理安排施工时间：施工应严格安排在昼间（6:00</w:t>
            </w:r>
            <w:r>
              <w:rPr>
                <w:rFonts w:hint="default" w:ascii="Times New Roman" w:hAnsi="Times New Roman" w:cs="Times New Roman"/>
                <w:spacing w:val="0"/>
                <w:sz w:val="24"/>
                <w:lang w:val="en-US" w:eastAsia="zh-CN"/>
              </w:rPr>
              <w:t>-</w:t>
            </w:r>
            <w:r>
              <w:rPr>
                <w:rFonts w:hint="default" w:ascii="Times New Roman" w:hAnsi="Times New Roman" w:cs="Times New Roman"/>
                <w:spacing w:val="0"/>
                <w:sz w:val="24"/>
              </w:rPr>
              <w:t>22:00）进行。禁止在夜间（22:00次日6:00）进行高噪声施工作业。在中（12:00~14:00）也应停止有较大噪声产生的施工作业。</w:t>
            </w:r>
          </w:p>
          <w:p w14:paraId="0D921A44">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2</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特殊时段管控：中考、高考等特殊期间，应严格执行地方政府及生态环境部门关于禁止施工的规定。若因工艺需要必须连续作业或夜间施工的，应提前1~2天向生态环境主管部门申请办理夜间施工许可手续，取得批准后方可施工，并及时公告附近单位和居民。</w:t>
            </w:r>
          </w:p>
          <w:p w14:paraId="44E3AA1E">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3</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优化施工时序：科学合理地安排施工步骤和施工机械设备组合，采取分段施工方式。尽量减短噪声持续排放的时间，避免高噪声设备同时集中作业。</w:t>
            </w:r>
          </w:p>
          <w:p w14:paraId="66D270B6">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val="en-US" w:eastAsia="zh-CN"/>
              </w:rPr>
              <w:t>4、</w:t>
            </w:r>
            <w:r>
              <w:rPr>
                <w:rFonts w:hint="default" w:ascii="Times New Roman" w:hAnsi="Times New Roman" w:cs="Times New Roman"/>
                <w:spacing w:val="0"/>
                <w:sz w:val="24"/>
              </w:rPr>
              <w:t>运输车辆管理措施</w:t>
            </w:r>
          </w:p>
          <w:p w14:paraId="6C02151F">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1</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控制运输时段：施工运输车辆应安排在昼间进行，避免在夜间（22:00</w:t>
            </w:r>
            <w:r>
              <w:rPr>
                <w:rFonts w:hint="eastAsia" w:ascii="Times New Roman" w:hAnsi="Times New Roman" w:cs="Times New Roman"/>
                <w:spacing w:val="0"/>
                <w:sz w:val="24"/>
                <w:lang w:val="en-US" w:eastAsia="zh-CN"/>
              </w:rPr>
              <w:t>~</w:t>
            </w:r>
            <w:r>
              <w:rPr>
                <w:rFonts w:hint="default" w:ascii="Times New Roman" w:hAnsi="Times New Roman" w:cs="Times New Roman"/>
                <w:spacing w:val="0"/>
                <w:sz w:val="24"/>
              </w:rPr>
              <w:t>次日6:00）运输作业。</w:t>
            </w:r>
          </w:p>
          <w:p w14:paraId="7400F767">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2</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限速禁鸣：运输车辆经过厂区周边及居民区附近时应限速行驶、禁止随意鸣笛。</w:t>
            </w:r>
          </w:p>
          <w:p w14:paraId="5CC0F24C">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3</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路线优化：合理规划运输路线，尽量避开居民集中区域。加强对运输车辆的管理，确保车辆处于良好运行状态。</w:t>
            </w:r>
          </w:p>
          <w:p w14:paraId="7364ACE0">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val="en-US" w:eastAsia="zh-CN"/>
              </w:rPr>
              <w:t>5、</w:t>
            </w:r>
            <w:r>
              <w:rPr>
                <w:rFonts w:hint="default" w:ascii="Times New Roman" w:hAnsi="Times New Roman" w:cs="Times New Roman"/>
                <w:spacing w:val="0"/>
                <w:sz w:val="24"/>
              </w:rPr>
              <w:t>施工管理措施</w:t>
            </w:r>
          </w:p>
          <w:p w14:paraId="25C21733">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1</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施工公告制度：在施工场地出入口设置施工公告牌，公示施工时间、施工内容、噪声防治措施及投诉电话等信息，主动接受社会监督。</w:t>
            </w:r>
          </w:p>
          <w:p w14:paraId="7B552DF5">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2</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建立投诉回应机制：设立专人负责施工噪声投诉处理，对周边单位或人员反映的噪声扰民问题及时响应、妥善处理。</w:t>
            </w:r>
          </w:p>
          <w:p w14:paraId="33587512">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lang w:eastAsia="zh-CN"/>
              </w:rPr>
              <w:t>（</w:t>
            </w:r>
            <w:r>
              <w:rPr>
                <w:rFonts w:hint="eastAsia" w:ascii="Times New Roman" w:hAnsi="Times New Roman" w:cs="Times New Roman"/>
                <w:spacing w:val="0"/>
                <w:sz w:val="24"/>
                <w:lang w:val="en-US" w:eastAsia="zh-CN"/>
              </w:rPr>
              <w:t>3</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强化施工方管理：将施工噪声控制要求纳入施工合同，明确施工单位的环保责任。在施工招标文件中明确噪声控制要求，选择具有良好环境管理记录的施工单位。</w:t>
            </w:r>
          </w:p>
          <w:p w14:paraId="16081A40">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pacing w:val="0"/>
                <w:sz w:val="24"/>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4</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噪声监测：施工期间应按照《建筑施工噪声排放标准》（GB 12523-2025）要求，定期对施工场界噪声进行监测，确保场界噪声达标。</w:t>
            </w:r>
          </w:p>
          <w:p w14:paraId="426208A6">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spacing w:val="0"/>
                <w:sz w:val="24"/>
                <w:lang w:val="en-US" w:eastAsia="zh-CN"/>
              </w:rPr>
            </w:pPr>
            <w:r>
              <w:rPr>
                <w:rFonts w:hint="eastAsia" w:ascii="Times New Roman" w:hAnsi="Times New Roman" w:cs="Times New Roman"/>
                <w:spacing w:val="0"/>
                <w:sz w:val="24"/>
                <w:lang w:eastAsia="zh-CN"/>
              </w:rPr>
              <w:t>（</w:t>
            </w:r>
            <w:r>
              <w:rPr>
                <w:rFonts w:hint="eastAsia" w:ascii="Times New Roman" w:hAnsi="Times New Roman" w:cs="Times New Roman"/>
                <w:spacing w:val="0"/>
                <w:sz w:val="24"/>
                <w:lang w:val="en-US" w:eastAsia="zh-CN"/>
              </w:rPr>
              <w:t>5</w:t>
            </w:r>
            <w:r>
              <w:rPr>
                <w:rFonts w:hint="eastAsia" w:ascii="Times New Roman" w:hAnsi="Times New Roman" w:cs="Times New Roman"/>
                <w:spacing w:val="0"/>
                <w:sz w:val="24"/>
                <w:lang w:eastAsia="zh-CN"/>
              </w:rPr>
              <w:t>）</w:t>
            </w:r>
            <w:r>
              <w:rPr>
                <w:rFonts w:hint="default" w:ascii="Times New Roman" w:hAnsi="Times New Roman" w:cs="Times New Roman"/>
                <w:spacing w:val="0"/>
                <w:sz w:val="24"/>
              </w:rPr>
              <w:t>在采取上述噪声防治措施后，施工期厂界噪声可满足《建筑施工噪声排放标准》（GB 12523-2025）表1规定的排放限值要求，即昼间等效声级不超过70dB（A），夜间等效声级不超过55dB（A）。由于项目区周边50m范围内无声环境敏感目标，施工噪声不会对周边居民产生扰民影响。施工期噪声环境影响具有短期性和阶段性特征，随着施工活动的结束，影响将自行消除</w:t>
            </w:r>
            <w:r>
              <w:rPr>
                <w:rFonts w:hint="eastAsia"/>
                <w:spacing w:val="0"/>
                <w:sz w:val="24"/>
              </w:rPr>
              <w:t>。</w:t>
            </w:r>
          </w:p>
          <w:p w14:paraId="16BC3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default" w:ascii="Times New Roman" w:hAnsi="Times New Roman" w:eastAsia="宋体" w:cs="Times New Roman"/>
                <w:b/>
                <w:bCs/>
                <w:color w:val="000000"/>
                <w:spacing w:val="0"/>
                <w:sz w:val="24"/>
                <w:highlight w:val="none"/>
                <w:lang w:val="en-US" w:eastAsia="zh-CN"/>
              </w:rPr>
            </w:pPr>
            <w:r>
              <w:rPr>
                <w:rFonts w:hint="default" w:ascii="Times New Roman" w:hAnsi="Times New Roman" w:eastAsia="宋体" w:cs="Times New Roman"/>
                <w:b/>
                <w:bCs/>
                <w:color w:val="000000"/>
                <w:spacing w:val="0"/>
                <w:kern w:val="2"/>
                <w:sz w:val="24"/>
                <w:szCs w:val="24"/>
                <w:lang w:val="en-US" w:eastAsia="zh-CN" w:bidi="ar-SA"/>
              </w:rPr>
              <w:t>4.</w:t>
            </w:r>
            <w:r>
              <w:rPr>
                <w:rFonts w:hint="eastAsia" w:ascii="Times New Roman" w:hAnsi="Times New Roman" w:eastAsia="宋体" w:cs="Times New Roman"/>
                <w:b/>
                <w:bCs/>
                <w:color w:val="000000"/>
                <w:spacing w:val="0"/>
                <w:kern w:val="2"/>
                <w:sz w:val="24"/>
                <w:szCs w:val="24"/>
                <w:lang w:val="en-US" w:eastAsia="zh-CN" w:bidi="ar-SA"/>
              </w:rPr>
              <w:t>1.4</w:t>
            </w:r>
            <w:r>
              <w:rPr>
                <w:rFonts w:hint="default" w:ascii="Times New Roman" w:hAnsi="Times New Roman" w:eastAsia="宋体" w:cs="Times New Roman"/>
                <w:b/>
                <w:bCs/>
                <w:color w:val="000000"/>
                <w:spacing w:val="0"/>
                <w:sz w:val="24"/>
                <w:highlight w:val="none"/>
                <w:lang w:val="en-US" w:eastAsia="zh-CN"/>
              </w:rPr>
              <w:t>施工期固体废物及防治措施</w:t>
            </w:r>
          </w:p>
          <w:p w14:paraId="4071EF21">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default" w:ascii="Times New Roman" w:hAnsi="Times New Roman" w:eastAsia="宋体" w:cs="Times New Roman"/>
                <w:color w:val="000000"/>
                <w:spacing w:val="0"/>
                <w:sz w:val="24"/>
                <w:szCs w:val="24"/>
                <w:highlight w:val="none"/>
                <w:lang w:val="en-US" w:eastAsia="zh-CN"/>
              </w:rPr>
              <w:t>施工期固体废物主要来自构筑物施工和管道施工两个部分，种类较多。参照同类污水处理厂项目施工期固废污染防治经验，本评价要求施工单位采取以下防治措施：</w:t>
            </w:r>
          </w:p>
          <w:p w14:paraId="4E31C347">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施工期固体废物种类及产生情况</w:t>
            </w:r>
          </w:p>
          <w:p w14:paraId="5CEAC7F7">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default" w:ascii="Times New Roman" w:hAnsi="Times New Roman" w:eastAsia="宋体" w:cs="Times New Roman"/>
                <w:color w:val="000000"/>
                <w:spacing w:val="0"/>
                <w:sz w:val="24"/>
                <w:szCs w:val="24"/>
                <w:highlight w:val="none"/>
                <w:lang w:val="en-US" w:eastAsia="zh-CN"/>
              </w:rPr>
              <w:t>施工期产生的固体废物种类及产生情况</w:t>
            </w:r>
            <w:r>
              <w:rPr>
                <w:rFonts w:hint="eastAsia" w:ascii="Times New Roman" w:hAnsi="Times New Roman" w:cs="Times New Roman"/>
                <w:color w:val="000000"/>
                <w:spacing w:val="0"/>
                <w:sz w:val="24"/>
                <w:szCs w:val="24"/>
                <w:highlight w:val="none"/>
                <w:lang w:val="en-US" w:eastAsia="zh-CN"/>
              </w:rPr>
              <w:t>见表4-1</w:t>
            </w:r>
            <w:r>
              <w:rPr>
                <w:rFonts w:hint="default" w:ascii="Times New Roman" w:hAnsi="Times New Roman" w:eastAsia="宋体" w:cs="Times New Roman"/>
                <w:color w:val="000000"/>
                <w:spacing w:val="0"/>
                <w:sz w:val="24"/>
                <w:szCs w:val="24"/>
                <w:highlight w:val="none"/>
                <w:lang w:val="en-US" w:eastAsia="zh-CN"/>
              </w:rPr>
              <w:t>：</w:t>
            </w:r>
          </w:p>
          <w:p w14:paraId="41B9D2F3">
            <w:pPr>
              <w:pStyle w:val="8"/>
              <w:jc w:val="center"/>
              <w:rPr>
                <w:rFonts w:hint="default" w:ascii="Times New Roman" w:hAnsi="Times New Roman" w:eastAsia="宋体" w:cs="Times New Roman"/>
                <w:b/>
                <w:bCs/>
                <w:sz w:val="21"/>
                <w:szCs w:val="21"/>
                <w:lang w:eastAsia="zh-CN"/>
              </w:rPr>
            </w:pPr>
            <w:r>
              <w:rPr>
                <w:rFonts w:hint="default" w:ascii="Times New Roman" w:hAnsi="Times New Roman" w:eastAsia="宋体" w:cs="Times New Roman"/>
                <w:b/>
                <w:bCs/>
                <w:sz w:val="21"/>
                <w:szCs w:val="21"/>
              </w:rPr>
              <w:t xml:space="preserve">表 </w:t>
            </w:r>
            <w:r>
              <w:rPr>
                <w:rFonts w:hint="default" w:ascii="Times New Roman" w:hAnsi="Times New Roman" w:eastAsia="宋体" w:cs="Times New Roman"/>
                <w:b/>
                <w:bCs/>
                <w:sz w:val="21"/>
                <w:szCs w:val="21"/>
                <w:lang w:val="en-US" w:eastAsia="zh-CN"/>
              </w:rPr>
              <w:t>4-1</w:t>
            </w:r>
            <w:r>
              <w:rPr>
                <w:rFonts w:hint="default" w:ascii="Times New Roman" w:hAnsi="Times New Roman" w:eastAsia="宋体" w:cs="Times New Roman"/>
                <w:b/>
                <w:bCs/>
                <w:sz w:val="21"/>
                <w:szCs w:val="21"/>
                <w:lang w:eastAsia="zh-CN"/>
              </w:rPr>
              <w:t>施工期固体废物种类及产生情况</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9"/>
              <w:gridCol w:w="2519"/>
              <w:gridCol w:w="4102"/>
            </w:tblGrid>
            <w:tr w14:paraId="49F05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tcBorders>
                    <w:top w:val="single" w:color="000000" w:sz="4" w:space="0"/>
                    <w:left w:val="single" w:color="000000" w:sz="4" w:space="0"/>
                    <w:bottom w:val="single" w:color="000000" w:sz="4" w:space="0"/>
                    <w:right w:val="single" w:color="000000" w:sz="4" w:space="0"/>
                  </w:tcBorders>
                  <w:vAlign w:val="center"/>
                </w:tcPr>
                <w:p w14:paraId="41B585E9">
                  <w:pPr>
                    <w:pStyle w:val="25"/>
                    <w:bidi w:val="0"/>
                    <w:rPr>
                      <w:rFonts w:hint="default" w:ascii="Times New Roman" w:hAnsi="Times New Roman" w:cs="Times New Roman"/>
                      <w:sz w:val="21"/>
                      <w:szCs w:val="21"/>
                    </w:rPr>
                  </w:pPr>
                  <w:r>
                    <w:rPr>
                      <w:rFonts w:hint="default" w:ascii="Times New Roman" w:hAnsi="Times New Roman" w:cs="Times New Roman"/>
                      <w:sz w:val="21"/>
                      <w:szCs w:val="21"/>
                    </w:rPr>
                    <w:t>固废类别</w:t>
                  </w:r>
                </w:p>
              </w:tc>
              <w:tc>
                <w:tcPr>
                  <w:tcW w:w="2518" w:type="dxa"/>
                  <w:tcBorders>
                    <w:top w:val="single" w:color="000000" w:sz="4" w:space="0"/>
                    <w:left w:val="single" w:color="000000" w:sz="4" w:space="0"/>
                    <w:bottom w:val="single" w:color="000000" w:sz="4" w:space="0"/>
                    <w:right w:val="single" w:color="000000" w:sz="4" w:space="0"/>
                  </w:tcBorders>
                  <w:vAlign w:val="center"/>
                </w:tcPr>
                <w:p w14:paraId="5B2E02BB">
                  <w:pPr>
                    <w:pStyle w:val="25"/>
                    <w:bidi w:val="0"/>
                    <w:rPr>
                      <w:rFonts w:hint="default" w:ascii="Times New Roman" w:hAnsi="Times New Roman" w:cs="Times New Roman"/>
                      <w:sz w:val="21"/>
                      <w:szCs w:val="21"/>
                    </w:rPr>
                  </w:pPr>
                  <w:r>
                    <w:rPr>
                      <w:rFonts w:hint="default" w:ascii="Times New Roman" w:hAnsi="Times New Roman" w:cs="Times New Roman"/>
                      <w:sz w:val="21"/>
                      <w:szCs w:val="21"/>
                    </w:rPr>
                    <w:t>主要来源</w:t>
                  </w:r>
                </w:p>
              </w:tc>
              <w:tc>
                <w:tcPr>
                  <w:tcW w:w="4100" w:type="dxa"/>
                  <w:tcBorders>
                    <w:top w:val="single" w:color="000000" w:sz="4" w:space="0"/>
                    <w:left w:val="single" w:color="000000" w:sz="4" w:space="0"/>
                    <w:bottom w:val="single" w:color="000000" w:sz="4" w:space="0"/>
                    <w:right w:val="single" w:color="000000" w:sz="4" w:space="0"/>
                  </w:tcBorders>
                  <w:vAlign w:val="center"/>
                </w:tcPr>
                <w:p w14:paraId="34CE7BFA">
                  <w:pPr>
                    <w:pStyle w:val="25"/>
                    <w:bidi w:val="0"/>
                    <w:rPr>
                      <w:rFonts w:hint="default" w:ascii="Times New Roman" w:hAnsi="Times New Roman" w:cs="Times New Roman"/>
                      <w:sz w:val="21"/>
                      <w:szCs w:val="21"/>
                    </w:rPr>
                  </w:pPr>
                  <w:r>
                    <w:rPr>
                      <w:rFonts w:hint="default" w:ascii="Times New Roman" w:hAnsi="Times New Roman" w:cs="Times New Roman"/>
                      <w:sz w:val="21"/>
                      <w:szCs w:val="21"/>
                    </w:rPr>
                    <w:t>主要成分</w:t>
                  </w:r>
                </w:p>
              </w:tc>
            </w:tr>
            <w:tr w14:paraId="4B61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tcBorders>
                    <w:top w:val="single" w:color="000000" w:sz="4" w:space="0"/>
                    <w:left w:val="single" w:color="000000" w:sz="4" w:space="0"/>
                    <w:bottom w:val="single" w:color="000000" w:sz="4" w:space="0"/>
                    <w:right w:val="single" w:color="000000" w:sz="4" w:space="0"/>
                  </w:tcBorders>
                  <w:vAlign w:val="center"/>
                </w:tcPr>
                <w:p w14:paraId="47EEABBF">
                  <w:pPr>
                    <w:pStyle w:val="25"/>
                    <w:bidi w:val="0"/>
                    <w:rPr>
                      <w:rFonts w:hint="default" w:ascii="Times New Roman" w:hAnsi="Times New Roman" w:cs="Times New Roman"/>
                      <w:sz w:val="21"/>
                      <w:szCs w:val="21"/>
                    </w:rPr>
                  </w:pPr>
                  <w:r>
                    <w:rPr>
                      <w:rFonts w:hint="default" w:ascii="Times New Roman" w:hAnsi="Times New Roman" w:cs="Times New Roman"/>
                      <w:sz w:val="21"/>
                      <w:szCs w:val="21"/>
                    </w:rPr>
                    <w:t>废弃土石方</w:t>
                  </w:r>
                </w:p>
              </w:tc>
              <w:tc>
                <w:tcPr>
                  <w:tcW w:w="2518" w:type="dxa"/>
                  <w:tcBorders>
                    <w:top w:val="single" w:color="000000" w:sz="4" w:space="0"/>
                    <w:left w:val="single" w:color="000000" w:sz="4" w:space="0"/>
                    <w:bottom w:val="single" w:color="000000" w:sz="4" w:space="0"/>
                    <w:right w:val="single" w:color="000000" w:sz="4" w:space="0"/>
                  </w:tcBorders>
                  <w:vAlign w:val="center"/>
                </w:tcPr>
                <w:p w14:paraId="7393788B">
                  <w:pPr>
                    <w:pStyle w:val="25"/>
                    <w:bidi w:val="0"/>
                    <w:rPr>
                      <w:rFonts w:hint="default" w:ascii="Times New Roman" w:hAnsi="Times New Roman" w:cs="Times New Roman"/>
                      <w:sz w:val="21"/>
                      <w:szCs w:val="21"/>
                    </w:rPr>
                  </w:pPr>
                  <w:r>
                    <w:rPr>
                      <w:rFonts w:hint="default" w:ascii="Times New Roman" w:hAnsi="Times New Roman" w:cs="Times New Roman"/>
                      <w:sz w:val="21"/>
                      <w:szCs w:val="21"/>
                    </w:rPr>
                    <w:t>基础开挖、管道沟槽开挖</w:t>
                  </w:r>
                </w:p>
              </w:tc>
              <w:tc>
                <w:tcPr>
                  <w:tcW w:w="4100" w:type="dxa"/>
                  <w:tcBorders>
                    <w:top w:val="single" w:color="000000" w:sz="4" w:space="0"/>
                    <w:left w:val="single" w:color="000000" w:sz="4" w:space="0"/>
                    <w:bottom w:val="single" w:color="000000" w:sz="4" w:space="0"/>
                    <w:right w:val="single" w:color="000000" w:sz="4" w:space="0"/>
                  </w:tcBorders>
                  <w:vAlign w:val="center"/>
                </w:tcPr>
                <w:p w14:paraId="0FA2C35A">
                  <w:pPr>
                    <w:pStyle w:val="25"/>
                    <w:bidi w:val="0"/>
                    <w:rPr>
                      <w:rFonts w:hint="default" w:ascii="Times New Roman" w:hAnsi="Times New Roman" w:cs="Times New Roman"/>
                      <w:sz w:val="21"/>
                      <w:szCs w:val="21"/>
                    </w:rPr>
                  </w:pPr>
                  <w:r>
                    <w:rPr>
                      <w:rFonts w:hint="default" w:ascii="Times New Roman" w:hAnsi="Times New Roman" w:cs="Times New Roman"/>
                      <w:sz w:val="21"/>
                      <w:szCs w:val="21"/>
                    </w:rPr>
                    <w:t>表层土、碎石、泥浆</w:t>
                  </w:r>
                </w:p>
              </w:tc>
            </w:tr>
            <w:tr w14:paraId="6895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tcBorders>
                    <w:top w:val="single" w:color="000000" w:sz="4" w:space="0"/>
                    <w:left w:val="single" w:color="000000" w:sz="4" w:space="0"/>
                    <w:bottom w:val="single" w:color="000000" w:sz="4" w:space="0"/>
                    <w:right w:val="single" w:color="000000" w:sz="4" w:space="0"/>
                  </w:tcBorders>
                  <w:vAlign w:val="center"/>
                </w:tcPr>
                <w:p w14:paraId="200F4B17">
                  <w:pPr>
                    <w:pStyle w:val="25"/>
                    <w:bidi w:val="0"/>
                    <w:rPr>
                      <w:rFonts w:hint="default" w:ascii="Times New Roman" w:hAnsi="Times New Roman" w:cs="Times New Roman"/>
                      <w:sz w:val="21"/>
                      <w:szCs w:val="21"/>
                    </w:rPr>
                  </w:pPr>
                  <w:r>
                    <w:rPr>
                      <w:rFonts w:hint="default" w:ascii="Times New Roman" w:hAnsi="Times New Roman" w:cs="Times New Roman"/>
                      <w:sz w:val="21"/>
                      <w:szCs w:val="21"/>
                    </w:rPr>
                    <w:t>建筑垃圾</w:t>
                  </w:r>
                </w:p>
              </w:tc>
              <w:tc>
                <w:tcPr>
                  <w:tcW w:w="2518" w:type="dxa"/>
                  <w:tcBorders>
                    <w:top w:val="single" w:color="000000" w:sz="4" w:space="0"/>
                    <w:left w:val="single" w:color="000000" w:sz="4" w:space="0"/>
                    <w:bottom w:val="single" w:color="000000" w:sz="4" w:space="0"/>
                    <w:right w:val="single" w:color="000000" w:sz="4" w:space="0"/>
                  </w:tcBorders>
                  <w:vAlign w:val="center"/>
                </w:tcPr>
                <w:p w14:paraId="2C364578">
                  <w:pPr>
                    <w:pStyle w:val="25"/>
                    <w:bidi w:val="0"/>
                    <w:rPr>
                      <w:rFonts w:hint="default" w:ascii="Times New Roman" w:hAnsi="Times New Roman" w:cs="Times New Roman"/>
                      <w:sz w:val="21"/>
                      <w:szCs w:val="21"/>
                    </w:rPr>
                  </w:pPr>
                  <w:r>
                    <w:rPr>
                      <w:rFonts w:hint="default" w:ascii="Times New Roman" w:hAnsi="Times New Roman" w:cs="Times New Roman"/>
                      <w:sz w:val="21"/>
                      <w:szCs w:val="21"/>
                    </w:rPr>
                    <w:t>构筑物施工、拆除作业</w:t>
                  </w:r>
                </w:p>
              </w:tc>
              <w:tc>
                <w:tcPr>
                  <w:tcW w:w="4100" w:type="dxa"/>
                  <w:tcBorders>
                    <w:top w:val="single" w:color="000000" w:sz="4" w:space="0"/>
                    <w:left w:val="single" w:color="000000" w:sz="4" w:space="0"/>
                    <w:bottom w:val="single" w:color="000000" w:sz="4" w:space="0"/>
                    <w:right w:val="single" w:color="000000" w:sz="4" w:space="0"/>
                  </w:tcBorders>
                  <w:vAlign w:val="center"/>
                </w:tcPr>
                <w:p w14:paraId="0703BBE8">
                  <w:pPr>
                    <w:pStyle w:val="25"/>
                    <w:bidi w:val="0"/>
                    <w:rPr>
                      <w:rFonts w:hint="default" w:ascii="Times New Roman" w:hAnsi="Times New Roman" w:cs="Times New Roman"/>
                      <w:sz w:val="21"/>
                      <w:szCs w:val="21"/>
                    </w:rPr>
                  </w:pPr>
                  <w:r>
                    <w:rPr>
                      <w:rFonts w:hint="default" w:ascii="Times New Roman" w:hAnsi="Times New Roman" w:cs="Times New Roman"/>
                      <w:sz w:val="21"/>
                      <w:szCs w:val="21"/>
                    </w:rPr>
                    <w:t>废弃混凝土块、砖瓦碎块、砂浆、钢筋头、废模板、废装饰材料</w:t>
                  </w:r>
                </w:p>
              </w:tc>
            </w:tr>
            <w:tr w14:paraId="3675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tcBorders>
                    <w:top w:val="single" w:color="000000" w:sz="4" w:space="0"/>
                    <w:left w:val="single" w:color="000000" w:sz="4" w:space="0"/>
                    <w:bottom w:val="single" w:color="000000" w:sz="4" w:space="0"/>
                    <w:right w:val="single" w:color="000000" w:sz="4" w:space="0"/>
                  </w:tcBorders>
                  <w:vAlign w:val="center"/>
                </w:tcPr>
                <w:p w14:paraId="12C66DD4">
                  <w:pPr>
                    <w:pStyle w:val="25"/>
                    <w:bidi w:val="0"/>
                    <w:rPr>
                      <w:rFonts w:hint="default" w:ascii="Times New Roman" w:hAnsi="Times New Roman" w:cs="Times New Roman"/>
                      <w:sz w:val="21"/>
                      <w:szCs w:val="21"/>
                    </w:rPr>
                  </w:pPr>
                  <w:r>
                    <w:rPr>
                      <w:rFonts w:hint="default" w:ascii="Times New Roman" w:hAnsi="Times New Roman" w:cs="Times New Roman"/>
                      <w:sz w:val="21"/>
                      <w:szCs w:val="21"/>
                    </w:rPr>
                    <w:t>施工废料</w:t>
                  </w:r>
                </w:p>
              </w:tc>
              <w:tc>
                <w:tcPr>
                  <w:tcW w:w="2518" w:type="dxa"/>
                  <w:tcBorders>
                    <w:top w:val="single" w:color="000000" w:sz="4" w:space="0"/>
                    <w:left w:val="single" w:color="000000" w:sz="4" w:space="0"/>
                    <w:bottom w:val="single" w:color="000000" w:sz="4" w:space="0"/>
                    <w:right w:val="single" w:color="000000" w:sz="4" w:space="0"/>
                  </w:tcBorders>
                  <w:vAlign w:val="center"/>
                </w:tcPr>
                <w:p w14:paraId="0F6E8384">
                  <w:pPr>
                    <w:pStyle w:val="25"/>
                    <w:bidi w:val="0"/>
                    <w:rPr>
                      <w:rFonts w:hint="default" w:ascii="Times New Roman" w:hAnsi="Times New Roman" w:cs="Times New Roman"/>
                      <w:sz w:val="21"/>
                      <w:szCs w:val="21"/>
                    </w:rPr>
                  </w:pPr>
                  <w:r>
                    <w:rPr>
                      <w:rFonts w:hint="default" w:ascii="Times New Roman" w:hAnsi="Times New Roman" w:cs="Times New Roman"/>
                      <w:sz w:val="21"/>
                      <w:szCs w:val="21"/>
                    </w:rPr>
                    <w:t>管道安装、设备安装</w:t>
                  </w:r>
                </w:p>
              </w:tc>
              <w:tc>
                <w:tcPr>
                  <w:tcW w:w="4100" w:type="dxa"/>
                  <w:tcBorders>
                    <w:top w:val="single" w:color="000000" w:sz="4" w:space="0"/>
                    <w:left w:val="single" w:color="000000" w:sz="4" w:space="0"/>
                    <w:bottom w:val="single" w:color="000000" w:sz="4" w:space="0"/>
                    <w:right w:val="single" w:color="000000" w:sz="4" w:space="0"/>
                  </w:tcBorders>
                  <w:vAlign w:val="center"/>
                </w:tcPr>
                <w:p w14:paraId="1D4EC6F9">
                  <w:pPr>
                    <w:pStyle w:val="25"/>
                    <w:bidi w:val="0"/>
                    <w:rPr>
                      <w:rFonts w:hint="default" w:ascii="Times New Roman" w:hAnsi="Times New Roman" w:cs="Times New Roman"/>
                      <w:sz w:val="21"/>
                      <w:szCs w:val="21"/>
                    </w:rPr>
                  </w:pPr>
                  <w:r>
                    <w:rPr>
                      <w:rFonts w:hint="default" w:ascii="Times New Roman" w:hAnsi="Times New Roman" w:cs="Times New Roman"/>
                      <w:sz w:val="21"/>
                      <w:szCs w:val="21"/>
                    </w:rPr>
                    <w:t>废焊条、废金属边角料、废管材边角料、废电缆、废包装材料</w:t>
                  </w:r>
                </w:p>
              </w:tc>
            </w:tr>
            <w:tr w14:paraId="44411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tcBorders>
                    <w:top w:val="single" w:color="000000" w:sz="4" w:space="0"/>
                    <w:left w:val="single" w:color="000000" w:sz="4" w:space="0"/>
                    <w:bottom w:val="single" w:color="000000" w:sz="4" w:space="0"/>
                    <w:right w:val="single" w:color="000000" w:sz="4" w:space="0"/>
                  </w:tcBorders>
                  <w:vAlign w:val="center"/>
                </w:tcPr>
                <w:p w14:paraId="1C0104D5">
                  <w:pPr>
                    <w:pStyle w:val="25"/>
                    <w:bidi w:val="0"/>
                    <w:rPr>
                      <w:rFonts w:hint="default" w:ascii="Times New Roman" w:hAnsi="Times New Roman" w:cs="Times New Roman"/>
                      <w:sz w:val="21"/>
                      <w:szCs w:val="21"/>
                    </w:rPr>
                  </w:pPr>
                  <w:r>
                    <w:rPr>
                      <w:rFonts w:hint="default" w:ascii="Times New Roman" w:hAnsi="Times New Roman" w:cs="Times New Roman"/>
                      <w:sz w:val="21"/>
                      <w:szCs w:val="21"/>
                    </w:rPr>
                    <w:t>生活垃圾</w:t>
                  </w:r>
                </w:p>
              </w:tc>
              <w:tc>
                <w:tcPr>
                  <w:tcW w:w="2518" w:type="dxa"/>
                  <w:tcBorders>
                    <w:top w:val="single" w:color="000000" w:sz="4" w:space="0"/>
                    <w:left w:val="single" w:color="000000" w:sz="4" w:space="0"/>
                    <w:bottom w:val="single" w:color="000000" w:sz="4" w:space="0"/>
                    <w:right w:val="single" w:color="000000" w:sz="4" w:space="0"/>
                  </w:tcBorders>
                  <w:vAlign w:val="center"/>
                </w:tcPr>
                <w:p w14:paraId="254A00B7">
                  <w:pPr>
                    <w:pStyle w:val="25"/>
                    <w:bidi w:val="0"/>
                    <w:rPr>
                      <w:rFonts w:hint="default" w:ascii="Times New Roman" w:hAnsi="Times New Roman" w:cs="Times New Roman"/>
                      <w:sz w:val="21"/>
                      <w:szCs w:val="21"/>
                    </w:rPr>
                  </w:pPr>
                  <w:r>
                    <w:rPr>
                      <w:rFonts w:hint="default" w:ascii="Times New Roman" w:hAnsi="Times New Roman" w:cs="Times New Roman"/>
                      <w:sz w:val="21"/>
                      <w:szCs w:val="21"/>
                    </w:rPr>
                    <w:t>施工人员日常生活</w:t>
                  </w:r>
                </w:p>
              </w:tc>
              <w:tc>
                <w:tcPr>
                  <w:tcW w:w="4100" w:type="dxa"/>
                  <w:tcBorders>
                    <w:top w:val="single" w:color="000000" w:sz="4" w:space="0"/>
                    <w:left w:val="single" w:color="000000" w:sz="4" w:space="0"/>
                    <w:bottom w:val="single" w:color="000000" w:sz="4" w:space="0"/>
                    <w:right w:val="single" w:color="000000" w:sz="4" w:space="0"/>
                  </w:tcBorders>
                  <w:vAlign w:val="center"/>
                </w:tcPr>
                <w:p w14:paraId="0B1C4CE0">
                  <w:pPr>
                    <w:pStyle w:val="25"/>
                    <w:bidi w:val="0"/>
                    <w:rPr>
                      <w:rFonts w:hint="default" w:ascii="Times New Roman" w:hAnsi="Times New Roman" w:cs="Times New Roman"/>
                      <w:sz w:val="21"/>
                      <w:szCs w:val="21"/>
                    </w:rPr>
                  </w:pPr>
                  <w:r>
                    <w:rPr>
                      <w:rFonts w:hint="default" w:ascii="Times New Roman" w:hAnsi="Times New Roman" w:cs="Times New Roman"/>
                      <w:sz w:val="21"/>
                      <w:szCs w:val="21"/>
                    </w:rPr>
                    <w:t>食物残渣、废弃餐盒、塑料瓶、废纸</w:t>
                  </w:r>
                </w:p>
              </w:tc>
            </w:tr>
            <w:tr w14:paraId="4F24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tcBorders>
                    <w:top w:val="single" w:color="000000" w:sz="4" w:space="0"/>
                    <w:left w:val="single" w:color="000000" w:sz="4" w:space="0"/>
                    <w:bottom w:val="single" w:color="000000" w:sz="4" w:space="0"/>
                    <w:right w:val="single" w:color="000000" w:sz="4" w:space="0"/>
                  </w:tcBorders>
                  <w:vAlign w:val="center"/>
                </w:tcPr>
                <w:p w14:paraId="77AEB330">
                  <w:pPr>
                    <w:pStyle w:val="25"/>
                    <w:bidi w:val="0"/>
                    <w:rPr>
                      <w:rFonts w:hint="default" w:ascii="Times New Roman" w:hAnsi="Times New Roman" w:cs="Times New Roman"/>
                      <w:sz w:val="21"/>
                      <w:szCs w:val="21"/>
                    </w:rPr>
                  </w:pPr>
                  <w:r>
                    <w:rPr>
                      <w:rFonts w:hint="default" w:ascii="Times New Roman" w:hAnsi="Times New Roman" w:cs="Times New Roman"/>
                      <w:sz w:val="21"/>
                      <w:szCs w:val="21"/>
                    </w:rPr>
                    <w:t>危险废物</w:t>
                  </w:r>
                </w:p>
              </w:tc>
              <w:tc>
                <w:tcPr>
                  <w:tcW w:w="2518" w:type="dxa"/>
                  <w:tcBorders>
                    <w:top w:val="single" w:color="000000" w:sz="4" w:space="0"/>
                    <w:left w:val="single" w:color="000000" w:sz="4" w:space="0"/>
                    <w:bottom w:val="single" w:color="000000" w:sz="4" w:space="0"/>
                    <w:right w:val="single" w:color="000000" w:sz="4" w:space="0"/>
                  </w:tcBorders>
                  <w:vAlign w:val="center"/>
                </w:tcPr>
                <w:p w14:paraId="781DF286">
                  <w:pPr>
                    <w:pStyle w:val="25"/>
                    <w:bidi w:val="0"/>
                    <w:rPr>
                      <w:rFonts w:hint="default" w:ascii="Times New Roman" w:hAnsi="Times New Roman" w:cs="Times New Roman"/>
                      <w:sz w:val="21"/>
                      <w:szCs w:val="21"/>
                    </w:rPr>
                  </w:pPr>
                  <w:r>
                    <w:rPr>
                      <w:rFonts w:hint="default" w:ascii="Times New Roman" w:hAnsi="Times New Roman" w:cs="Times New Roman"/>
                      <w:sz w:val="21"/>
                      <w:szCs w:val="21"/>
                    </w:rPr>
                    <w:t>设备维护、防腐施工、管道涂装</w:t>
                  </w:r>
                </w:p>
              </w:tc>
              <w:tc>
                <w:tcPr>
                  <w:tcW w:w="4100" w:type="dxa"/>
                  <w:tcBorders>
                    <w:top w:val="single" w:color="000000" w:sz="4" w:space="0"/>
                    <w:left w:val="single" w:color="000000" w:sz="4" w:space="0"/>
                    <w:bottom w:val="single" w:color="000000" w:sz="4" w:space="0"/>
                    <w:right w:val="single" w:color="000000" w:sz="4" w:space="0"/>
                  </w:tcBorders>
                  <w:vAlign w:val="center"/>
                </w:tcPr>
                <w:p w14:paraId="38EC6611">
                  <w:pPr>
                    <w:pStyle w:val="25"/>
                    <w:bidi w:val="0"/>
                    <w:rPr>
                      <w:rFonts w:hint="default" w:ascii="Times New Roman" w:hAnsi="Times New Roman" w:cs="Times New Roman"/>
                      <w:sz w:val="21"/>
                      <w:szCs w:val="21"/>
                    </w:rPr>
                  </w:pPr>
                  <w:r>
                    <w:rPr>
                      <w:rFonts w:hint="default" w:ascii="Times New Roman" w:hAnsi="Times New Roman" w:cs="Times New Roman"/>
                      <w:sz w:val="21"/>
                      <w:szCs w:val="21"/>
                    </w:rPr>
                    <w:t>废油漆、废涂料、废胶粘剂、废密封胶、废稀释剂、废机油、废液压油、含油废抹布/手套、化学品废弃包装容器</w:t>
                  </w:r>
                </w:p>
              </w:tc>
            </w:tr>
          </w:tbl>
          <w:p w14:paraId="2F974F17">
            <w:pPr>
              <w:pStyle w:val="34"/>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56" w:firstLineChars="200"/>
              <w:textAlignment w:val="auto"/>
              <w:rPr>
                <w:rFonts w:hint="default" w:ascii="Times New Roman" w:hAnsi="Times New Roman" w:eastAsia="宋体" w:cs="Times New Roman"/>
                <w:color w:val="000000"/>
                <w:spacing w:val="-6"/>
                <w:sz w:val="24"/>
                <w:szCs w:val="24"/>
                <w:highlight w:val="none"/>
                <w:lang w:val="en-US" w:eastAsia="zh-CN"/>
              </w:rPr>
            </w:pPr>
            <w:r>
              <w:rPr>
                <w:rFonts w:hint="eastAsia" w:ascii="Times New Roman" w:hAnsi="Times New Roman" w:cs="Times New Roman"/>
                <w:color w:val="000000"/>
                <w:spacing w:val="-6"/>
                <w:sz w:val="24"/>
                <w:szCs w:val="24"/>
                <w:highlight w:val="none"/>
                <w:lang w:val="en-US" w:eastAsia="zh-CN"/>
              </w:rPr>
              <w:t>2、</w:t>
            </w:r>
            <w:r>
              <w:rPr>
                <w:rFonts w:hint="default" w:ascii="Times New Roman" w:hAnsi="Times New Roman" w:eastAsia="宋体" w:cs="Times New Roman"/>
                <w:color w:val="000000"/>
                <w:spacing w:val="-6"/>
                <w:sz w:val="24"/>
                <w:szCs w:val="24"/>
                <w:highlight w:val="none"/>
                <w:lang w:val="en-US" w:eastAsia="zh-CN"/>
              </w:rPr>
              <w:t>废弃土石方处置措施</w:t>
            </w:r>
          </w:p>
          <w:p w14:paraId="38662DCB">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56" w:firstLineChars="200"/>
              <w:textAlignment w:val="auto"/>
              <w:rPr>
                <w:rFonts w:hint="default" w:ascii="Times New Roman" w:hAnsi="Times New Roman" w:eastAsia="宋体" w:cs="Times New Roman"/>
                <w:color w:val="000000"/>
                <w:spacing w:val="-6"/>
                <w:sz w:val="24"/>
                <w:szCs w:val="24"/>
                <w:highlight w:val="none"/>
                <w:lang w:val="en-US" w:eastAsia="zh-CN"/>
              </w:rPr>
            </w:pPr>
            <w:r>
              <w:rPr>
                <w:rFonts w:hint="eastAsia" w:ascii="Times New Roman" w:hAnsi="Times New Roman" w:cs="Times New Roman"/>
                <w:color w:val="000000"/>
                <w:spacing w:val="-6"/>
                <w:sz w:val="24"/>
                <w:szCs w:val="24"/>
                <w:highlight w:val="none"/>
                <w:lang w:val="en-US" w:eastAsia="zh-CN"/>
              </w:rPr>
              <w:t>（1）</w:t>
            </w:r>
            <w:r>
              <w:rPr>
                <w:rFonts w:hint="default" w:ascii="Times New Roman" w:hAnsi="Times New Roman" w:eastAsia="宋体" w:cs="Times New Roman"/>
                <w:color w:val="000000"/>
                <w:spacing w:val="-6"/>
                <w:sz w:val="24"/>
                <w:szCs w:val="24"/>
                <w:highlight w:val="none"/>
                <w:lang w:val="en-US" w:eastAsia="zh-CN"/>
              </w:rPr>
              <w:t>施工产生的土方优先用于场地平整和管沟回填，尽量做到挖填平衡，减少弃方量。</w:t>
            </w:r>
          </w:p>
          <w:p w14:paraId="5A835272">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表层耕植土应单独剥离、集中堆存，用于后期厂区绿化和生态恢复。</w:t>
            </w:r>
          </w:p>
          <w:p w14:paraId="33C1B3E4">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基坑开挖产生的泥浆，经沉淀池沉淀固化后运至指定弃土场处置。</w:t>
            </w:r>
          </w:p>
          <w:p w14:paraId="0D3AC86D">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（4）</w:t>
            </w:r>
            <w:r>
              <w:rPr>
                <w:rFonts w:hint="default" w:ascii="Times New Roman" w:hAnsi="Times New Roman" w:eastAsia="宋体" w:cs="Times New Roman"/>
                <w:color w:val="000000"/>
                <w:spacing w:val="0"/>
                <w:sz w:val="24"/>
                <w:szCs w:val="24"/>
                <w:highlight w:val="none"/>
                <w:lang w:val="en-US" w:eastAsia="zh-CN"/>
              </w:rPr>
              <w:t>弃方运输车辆必须加盖篷布，防止沿途洒落。</w:t>
            </w:r>
          </w:p>
          <w:p w14:paraId="5BCF881C">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建筑垃圾处置措施</w:t>
            </w:r>
          </w:p>
          <w:p w14:paraId="6D3C4384">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建筑垃圾中可回收利用的部分（如钢筋、废金属、废管材）优先回收，交废品回收站综合利用。</w:t>
            </w:r>
          </w:p>
          <w:p w14:paraId="089ED374">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废弃混凝土块、砖瓦碎块等可用于施工场地临时道路的铺垫或基坑回填。</w:t>
            </w:r>
          </w:p>
          <w:p w14:paraId="1D079EFF">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无法回收利用的建筑垃圾，由施工单位集中清运至当地建筑垃圾消纳场或相关部门指定的地点处置，严禁擅自倾倒、抛洒。</w:t>
            </w:r>
          </w:p>
          <w:p w14:paraId="0400EC0D">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4、</w:t>
            </w:r>
            <w:r>
              <w:rPr>
                <w:rFonts w:hint="default" w:ascii="Times New Roman" w:hAnsi="Times New Roman" w:eastAsia="宋体" w:cs="Times New Roman"/>
                <w:color w:val="000000"/>
                <w:spacing w:val="0"/>
                <w:sz w:val="24"/>
                <w:szCs w:val="24"/>
                <w:highlight w:val="none"/>
                <w:lang w:val="en-US" w:eastAsia="zh-CN"/>
              </w:rPr>
              <w:t>施工废料处置措施</w:t>
            </w:r>
          </w:p>
          <w:p w14:paraId="2503A931">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废焊条、废金属边角料、废电缆等具有回收价值的施工废料，分类收集后外售物资回收部门。</w:t>
            </w:r>
          </w:p>
          <w:p w14:paraId="78D417C9">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废包装材料（纸板、塑料袋、木箱等）中可回收利用的由物资回收部门回收，不可回收的与生活垃圾分别收集处置。</w:t>
            </w:r>
          </w:p>
          <w:p w14:paraId="0E2CA833">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5、</w:t>
            </w:r>
            <w:r>
              <w:rPr>
                <w:rFonts w:hint="default" w:ascii="Times New Roman" w:hAnsi="Times New Roman" w:eastAsia="宋体" w:cs="Times New Roman"/>
                <w:color w:val="000000"/>
                <w:spacing w:val="0"/>
                <w:sz w:val="24"/>
                <w:szCs w:val="24"/>
                <w:highlight w:val="none"/>
                <w:lang w:val="en-US" w:eastAsia="zh-CN"/>
              </w:rPr>
              <w:t>生活垃圾处置措施</w:t>
            </w:r>
          </w:p>
          <w:p w14:paraId="4D02F901">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施工场地设置分类垃圾桶，生活垃圾集中收集后由环卫部门定期清运至垃圾填埋场处置。</w:t>
            </w:r>
          </w:p>
          <w:p w14:paraId="145766B7">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严禁生活垃圾混入建筑垃圾或随意丢弃。</w:t>
            </w:r>
          </w:p>
          <w:p w14:paraId="384689F6">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施工场地应设专人负责生活垃圾的日常清扫和收集管理，食堂餐厨垃圾应单独收集、密闭存放，委托有餐厨垃圾处理资质的单位处置。</w:t>
            </w:r>
          </w:p>
          <w:p w14:paraId="7D8E188A">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6、</w:t>
            </w:r>
            <w:r>
              <w:rPr>
                <w:rFonts w:hint="default" w:ascii="Times New Roman" w:hAnsi="Times New Roman" w:eastAsia="宋体" w:cs="Times New Roman"/>
                <w:color w:val="000000"/>
                <w:spacing w:val="0"/>
                <w:sz w:val="24"/>
                <w:szCs w:val="24"/>
                <w:highlight w:val="none"/>
                <w:lang w:val="en-US" w:eastAsia="zh-CN"/>
              </w:rPr>
              <w:t>施工期危险废物处置措施</w:t>
            </w:r>
          </w:p>
          <w:p w14:paraId="5791ED6F">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default" w:ascii="Times New Roman" w:hAnsi="Times New Roman" w:eastAsia="宋体" w:cs="Times New Roman"/>
                <w:color w:val="000000"/>
                <w:spacing w:val="0"/>
                <w:sz w:val="24"/>
                <w:szCs w:val="24"/>
                <w:highlight w:val="none"/>
                <w:lang w:val="en-US" w:eastAsia="zh-CN"/>
              </w:rPr>
              <w:t>施工期危险废物主要包括：废油漆、废涂料、废胶粘剂、废密封胶、废稀释剂、废机油、废液压油、废润滑油、含油废抹布/手套、化学品废弃包装容器等。应采取以下措施：</w:t>
            </w:r>
          </w:p>
          <w:p w14:paraId="5D14E816">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分类收集：在施工场地内设置专用危险废物暂存容器，不同类别的危险废物分类收集，禁止与其他固体废物混合存放。废油漆桶应加盖密封，防止残留物挥发；废油类应存放于密闭容器中，防止泄漏。</w:t>
            </w:r>
          </w:p>
          <w:p w14:paraId="767A4A89">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委托处置：施工过程中产生的危险废物，严禁就地掩埋或随意丢弃，必须委托有相应危险废物经营许可证的单位进行处置，并依法办理转移联单手续。</w:t>
            </w:r>
          </w:p>
          <w:p w14:paraId="7D349678">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源头减量：在施工招标文件中明确要求，优先选用水性涂料替代溶剂型涂料、环保型胶粘剂替代溶剂型胶粘剂，从源头减少危险废物的产生量。</w:t>
            </w:r>
          </w:p>
          <w:p w14:paraId="742BBD9C">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（4）</w:t>
            </w:r>
            <w:r>
              <w:rPr>
                <w:rFonts w:hint="default" w:ascii="Times New Roman" w:hAnsi="Times New Roman" w:eastAsia="宋体" w:cs="Times New Roman"/>
                <w:color w:val="000000"/>
                <w:spacing w:val="0"/>
                <w:sz w:val="24"/>
                <w:szCs w:val="24"/>
                <w:highlight w:val="none"/>
                <w:lang w:val="en-US" w:eastAsia="zh-CN"/>
              </w:rPr>
              <w:t>台账管理：建立施工期危险废物管理台账，如实记录危险废物的种类、产生量、去向等信息，确保危险废物从产生到处置的全过程可追溯。</w:t>
            </w:r>
          </w:p>
          <w:p w14:paraId="74C76809">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default" w:ascii="Times New Roman" w:hAnsi="Times New Roman" w:eastAsia="宋体" w:cs="Times New Roman"/>
                <w:color w:val="000000"/>
                <w:spacing w:val="0"/>
                <w:sz w:val="24"/>
                <w:szCs w:val="24"/>
                <w:highlight w:val="none"/>
                <w:lang w:val="en-US" w:eastAsia="zh-CN"/>
              </w:rPr>
              <w:t>施工期危险废物产生量较小，施工现场设置临时危废收集容器，各类危险废物分类收集、密闭存放，施工期间定期委托具备相应资质单位处置；施工结束后施工现场不留危废遗留。</w:t>
            </w:r>
          </w:p>
          <w:p w14:paraId="030866B9">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8"/>
                <w:szCs w:val="28"/>
                <w:highlight w:val="none"/>
                <w:lang w:val="en-US" w:eastAsia="zh-CN"/>
              </w:rPr>
              <w:t>7、</w:t>
            </w:r>
            <w:r>
              <w:rPr>
                <w:rFonts w:hint="default" w:ascii="Times New Roman" w:hAnsi="Times New Roman" w:eastAsia="宋体" w:cs="Times New Roman"/>
                <w:color w:val="000000"/>
                <w:spacing w:val="0"/>
                <w:sz w:val="24"/>
                <w:szCs w:val="24"/>
                <w:highlight w:val="none"/>
                <w:lang w:val="en-US" w:eastAsia="zh-CN"/>
              </w:rPr>
              <w:t>运输过程污染防治措施</w:t>
            </w:r>
          </w:p>
          <w:p w14:paraId="3220E98E">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固体废物运输车辆必须采取密闭措施或加盖篷布，防止沿途洒落。</w:t>
            </w:r>
          </w:p>
          <w:p w14:paraId="5128178D">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运输车辆出场前应进行车身清洗，防止带泥上路</w:t>
            </w:r>
            <w:r>
              <w:rPr>
                <w:rFonts w:hint="eastAsia" w:ascii="Times New Roman" w:hAnsi="Times New Roman" w:cs="Times New Roman"/>
                <w:color w:val="000000"/>
                <w:spacing w:val="0"/>
                <w:sz w:val="24"/>
                <w:szCs w:val="24"/>
                <w:highlight w:val="none"/>
                <w:lang w:val="en-US" w:eastAsia="zh-CN"/>
              </w:rPr>
              <w:t xml:space="preserve"> </w:t>
            </w:r>
            <w:r>
              <w:rPr>
                <w:rFonts w:hint="default" w:ascii="Times New Roman" w:hAnsi="Times New Roman" w:eastAsia="宋体" w:cs="Times New Roman"/>
                <w:color w:val="000000"/>
                <w:spacing w:val="0"/>
                <w:sz w:val="24"/>
                <w:szCs w:val="24"/>
                <w:highlight w:val="none"/>
                <w:lang w:val="en-US" w:eastAsia="zh-CN"/>
              </w:rPr>
              <w:t>。</w:t>
            </w:r>
          </w:p>
          <w:p w14:paraId="6AF71FBD">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运输路线应尽量避开居民集中区，运输时间应避开交通高峰期。</w:t>
            </w:r>
          </w:p>
          <w:p w14:paraId="0A334902">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（4）</w:t>
            </w:r>
            <w:r>
              <w:rPr>
                <w:rFonts w:hint="default" w:ascii="Times New Roman" w:hAnsi="Times New Roman" w:eastAsia="宋体" w:cs="Times New Roman"/>
                <w:color w:val="000000"/>
                <w:spacing w:val="0"/>
                <w:sz w:val="24"/>
                <w:szCs w:val="24"/>
                <w:highlight w:val="none"/>
                <w:lang w:val="en-US" w:eastAsia="zh-CN"/>
              </w:rPr>
              <w:t>严禁超载运输。</w:t>
            </w:r>
          </w:p>
          <w:p w14:paraId="44581DD7">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8、</w:t>
            </w:r>
            <w:r>
              <w:rPr>
                <w:rFonts w:hint="default" w:ascii="Times New Roman" w:hAnsi="Times New Roman" w:eastAsia="宋体" w:cs="Times New Roman"/>
                <w:color w:val="000000"/>
                <w:spacing w:val="0"/>
                <w:sz w:val="24"/>
                <w:szCs w:val="24"/>
                <w:highlight w:val="none"/>
                <w:lang w:val="en-US" w:eastAsia="zh-CN"/>
              </w:rPr>
              <w:t>施工期固废管理要求</w:t>
            </w:r>
          </w:p>
          <w:p w14:paraId="42CBA11E">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（1）</w:t>
            </w:r>
            <w:r>
              <w:rPr>
                <w:rFonts w:hint="default" w:ascii="Times New Roman" w:hAnsi="Times New Roman" w:eastAsia="宋体" w:cs="Times New Roman"/>
                <w:color w:val="000000"/>
                <w:spacing w:val="0"/>
                <w:sz w:val="24"/>
                <w:szCs w:val="24"/>
                <w:highlight w:val="none"/>
                <w:lang w:val="en-US" w:eastAsia="zh-CN"/>
              </w:rPr>
              <w:t>施工单位应编制施工期固体废物管理方案，明确各类固废的处置去向和责任人员。</w:t>
            </w:r>
          </w:p>
          <w:p w14:paraId="7A5A4EA4">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（2）</w:t>
            </w:r>
            <w:r>
              <w:rPr>
                <w:rFonts w:hint="default" w:ascii="Times New Roman" w:hAnsi="Times New Roman" w:eastAsia="宋体" w:cs="Times New Roman"/>
                <w:color w:val="000000"/>
                <w:spacing w:val="0"/>
                <w:sz w:val="24"/>
                <w:szCs w:val="24"/>
                <w:highlight w:val="none"/>
                <w:lang w:val="en-US" w:eastAsia="zh-CN"/>
              </w:rPr>
              <w:t>施工场地设置临时固废分类堆放区，各堆放区应有明确标识和围挡。</w:t>
            </w:r>
          </w:p>
          <w:p w14:paraId="3520521E">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lang w:val="en-US" w:eastAsia="zh-CN"/>
              </w:rPr>
              <w:t>严禁将危险废物混入建筑垃圾或生活垃圾中处置。</w:t>
            </w:r>
          </w:p>
          <w:p w14:paraId="6971EE73">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default" w:ascii="Times New Roman" w:hAnsi="Times New Roman" w:eastAsia="宋体" w:cs="Times New Roman"/>
                <w:color w:val="000000"/>
                <w:spacing w:val="0"/>
                <w:sz w:val="24"/>
                <w:szCs w:val="24"/>
                <w:highlight w:val="none"/>
                <w:lang w:val="en-US" w:eastAsia="zh-CN"/>
              </w:rPr>
              <w:t>施工结束后，应及时清理施工现场，做到</w:t>
            </w:r>
            <w:r>
              <w:rPr>
                <w:rFonts w:hint="eastAsia" w:ascii="Times New Roman" w:hAnsi="Times New Roman" w:eastAsia="宋体" w:cs="Times New Roman"/>
                <w:color w:val="000000"/>
                <w:spacing w:val="0"/>
                <w:sz w:val="24"/>
                <w:szCs w:val="24"/>
                <w:highlight w:val="none"/>
                <w:lang w:val="en-US" w:eastAsia="zh-CN"/>
              </w:rPr>
              <w:t>“</w:t>
            </w:r>
            <w:r>
              <w:rPr>
                <w:rFonts w:hint="default" w:ascii="Times New Roman" w:hAnsi="Times New Roman" w:eastAsia="宋体" w:cs="Times New Roman"/>
                <w:color w:val="000000"/>
                <w:spacing w:val="0"/>
                <w:sz w:val="24"/>
                <w:szCs w:val="24"/>
                <w:highlight w:val="none"/>
                <w:lang w:val="en-US" w:eastAsia="zh-CN"/>
              </w:rPr>
              <w:t>工完、料尽、场地清</w:t>
            </w:r>
            <w:r>
              <w:rPr>
                <w:rFonts w:hint="eastAsia" w:ascii="Times New Roman" w:hAnsi="Times New Roman" w:eastAsia="宋体" w:cs="Times New Roman"/>
                <w:color w:val="000000"/>
                <w:spacing w:val="0"/>
                <w:sz w:val="24"/>
                <w:szCs w:val="24"/>
                <w:highlight w:val="none"/>
                <w:lang w:val="en-US" w:eastAsia="zh-CN"/>
              </w:rPr>
              <w:t>”</w:t>
            </w:r>
            <w:r>
              <w:rPr>
                <w:rFonts w:hint="default" w:ascii="Times New Roman" w:hAnsi="Times New Roman" w:eastAsia="宋体" w:cs="Times New Roman"/>
                <w:color w:val="000000"/>
                <w:spacing w:val="0"/>
                <w:sz w:val="24"/>
                <w:szCs w:val="24"/>
                <w:highlight w:val="none"/>
                <w:lang w:val="en-US" w:eastAsia="zh-CN"/>
              </w:rPr>
              <w:t>。</w:t>
            </w:r>
          </w:p>
          <w:p w14:paraId="281E4D0E">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r>
              <w:rPr>
                <w:rFonts w:hint="default" w:ascii="Times New Roman" w:hAnsi="Times New Roman" w:eastAsia="宋体" w:cs="Times New Roman"/>
                <w:color w:val="000000"/>
                <w:spacing w:val="0"/>
                <w:sz w:val="24"/>
                <w:szCs w:val="24"/>
                <w:highlight w:val="none"/>
                <w:lang w:val="en-US" w:eastAsia="zh-CN"/>
              </w:rPr>
              <w:t>在严格落实上述施工期固体废物污染防治措施的前提下，施工期各类固体废物均能得到妥善处置，不会对周边环境造成二次污染。</w:t>
            </w:r>
          </w:p>
          <w:p w14:paraId="2EB22B95">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p>
          <w:p w14:paraId="70EB945A">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pacing w:val="0"/>
                <w:sz w:val="24"/>
                <w:szCs w:val="24"/>
                <w:highlight w:val="none"/>
                <w:lang w:val="en-US" w:eastAsia="zh-CN"/>
              </w:rPr>
            </w:pPr>
          </w:p>
        </w:tc>
      </w:tr>
      <w:tr w14:paraId="138CF5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44" w:hRule="atLeast"/>
          <w:jc w:val="center"/>
        </w:trPr>
        <w:tc>
          <w:tcPr>
            <w:tcW w:w="746" w:type="dxa"/>
            <w:noWrap w:val="0"/>
            <w:tcMar>
              <w:left w:w="28" w:type="dxa"/>
              <w:right w:w="28" w:type="dxa"/>
            </w:tcMar>
            <w:vAlign w:val="center"/>
          </w:tcPr>
          <w:p w14:paraId="1F63914E">
            <w:pPr>
              <w:adjustRightInd w:val="0"/>
              <w:snapToGrid w:val="0"/>
              <w:jc w:val="center"/>
              <w:rPr>
                <w:rFonts w:hint="eastAsia" w:ascii="宋体" w:hAnsi="宋体" w:cs="宋体"/>
                <w:bCs/>
                <w:szCs w:val="21"/>
                <w:highlight w:val="none"/>
              </w:rPr>
            </w:pPr>
            <w:r>
              <w:rPr>
                <w:rFonts w:hint="eastAsia" w:ascii="宋体" w:hAnsi="宋体" w:cs="宋体"/>
                <w:bCs/>
                <w:szCs w:val="21"/>
                <w:highlight w:val="none"/>
              </w:rPr>
              <w:t>运营</w:t>
            </w:r>
          </w:p>
          <w:p w14:paraId="61D0ECF0">
            <w:pPr>
              <w:adjustRightInd w:val="0"/>
              <w:snapToGrid w:val="0"/>
              <w:jc w:val="center"/>
              <w:rPr>
                <w:rFonts w:hint="eastAsia" w:ascii="宋体" w:hAnsi="宋体" w:cs="宋体"/>
                <w:bCs/>
                <w:szCs w:val="21"/>
                <w:highlight w:val="none"/>
              </w:rPr>
            </w:pPr>
            <w:r>
              <w:rPr>
                <w:rFonts w:hint="eastAsia" w:ascii="宋体" w:hAnsi="宋体" w:cs="宋体"/>
                <w:bCs/>
                <w:szCs w:val="21"/>
                <w:highlight w:val="none"/>
              </w:rPr>
              <w:t>期环</w:t>
            </w:r>
          </w:p>
          <w:p w14:paraId="7BD01556">
            <w:pPr>
              <w:adjustRightInd w:val="0"/>
              <w:snapToGrid w:val="0"/>
              <w:jc w:val="center"/>
              <w:rPr>
                <w:rFonts w:hint="eastAsia" w:ascii="宋体" w:hAnsi="宋体" w:cs="宋体"/>
                <w:bCs/>
                <w:szCs w:val="21"/>
                <w:highlight w:val="none"/>
              </w:rPr>
            </w:pPr>
            <w:r>
              <w:rPr>
                <w:rFonts w:hint="eastAsia" w:ascii="宋体" w:hAnsi="宋体" w:cs="宋体"/>
                <w:bCs/>
                <w:szCs w:val="21"/>
                <w:highlight w:val="none"/>
              </w:rPr>
              <w:t>境影</w:t>
            </w:r>
          </w:p>
          <w:p w14:paraId="097CD820">
            <w:pPr>
              <w:adjustRightInd w:val="0"/>
              <w:snapToGrid w:val="0"/>
              <w:jc w:val="center"/>
              <w:rPr>
                <w:rFonts w:hint="eastAsia" w:ascii="宋体" w:hAnsi="宋体" w:cs="宋体"/>
                <w:bCs/>
                <w:szCs w:val="21"/>
                <w:highlight w:val="none"/>
              </w:rPr>
            </w:pPr>
            <w:r>
              <w:rPr>
                <w:rFonts w:hint="eastAsia" w:ascii="宋体" w:hAnsi="宋体" w:cs="宋体"/>
                <w:bCs/>
                <w:szCs w:val="21"/>
                <w:highlight w:val="none"/>
              </w:rPr>
              <w:t>响和</w:t>
            </w:r>
          </w:p>
          <w:p w14:paraId="038D467E">
            <w:pPr>
              <w:adjustRightInd w:val="0"/>
              <w:snapToGrid w:val="0"/>
              <w:jc w:val="center"/>
              <w:rPr>
                <w:rFonts w:hint="eastAsia" w:ascii="宋体" w:hAnsi="宋体" w:cs="宋体"/>
                <w:bCs/>
                <w:szCs w:val="21"/>
                <w:highlight w:val="none"/>
              </w:rPr>
            </w:pPr>
            <w:r>
              <w:rPr>
                <w:rFonts w:hint="eastAsia" w:ascii="宋体" w:hAnsi="宋体" w:cs="宋体"/>
                <w:bCs/>
                <w:szCs w:val="21"/>
                <w:highlight w:val="none"/>
              </w:rPr>
              <w:t>保护</w:t>
            </w:r>
          </w:p>
          <w:p w14:paraId="683B8801">
            <w:pPr>
              <w:adjustRightInd w:val="0"/>
              <w:snapToGrid w:val="0"/>
              <w:jc w:val="center"/>
              <w:rPr>
                <w:rFonts w:ascii="宋体" w:hAnsi="宋体" w:cs="宋体"/>
                <w:bCs/>
                <w:szCs w:val="21"/>
                <w:highlight w:val="none"/>
              </w:rPr>
            </w:pPr>
            <w:r>
              <w:rPr>
                <w:rFonts w:hint="eastAsia" w:ascii="宋体" w:hAnsi="宋体" w:cs="宋体"/>
                <w:bCs/>
                <w:szCs w:val="21"/>
                <w:highlight w:val="none"/>
              </w:rPr>
              <w:t>措施</w:t>
            </w:r>
          </w:p>
        </w:tc>
        <w:tc>
          <w:tcPr>
            <w:tcW w:w="8162" w:type="dxa"/>
            <w:noWrap w:val="0"/>
            <w:vAlign w:val="center"/>
          </w:tcPr>
          <w:p w14:paraId="2248C4C6">
            <w:pPr>
              <w:widowControl/>
              <w:spacing w:line="360" w:lineRule="auto"/>
              <w:jc w:val="both"/>
              <w:rPr>
                <w:rFonts w:hint="default" w:ascii="Times New Roman" w:hAnsi="Times New Roman" w:eastAsia="宋体" w:cs="Times New Roman"/>
                <w:b/>
                <w:bCs/>
                <w:color w:val="000000"/>
                <w:sz w:val="24"/>
              </w:rPr>
            </w:pPr>
            <w:r>
              <w:rPr>
                <w:rFonts w:hint="default" w:ascii="Times New Roman" w:hAnsi="Times New Roman" w:eastAsia="宋体" w:cs="Times New Roman"/>
                <w:b/>
                <w:bCs/>
                <w:color w:val="000000"/>
                <w:sz w:val="24"/>
              </w:rPr>
              <w:t>4.2运营期主要环境影响和保护措施</w:t>
            </w:r>
          </w:p>
          <w:p w14:paraId="75B70A0F">
            <w:pPr>
              <w:spacing w:line="360" w:lineRule="auto"/>
              <w:jc w:val="both"/>
              <w:rPr>
                <w:rFonts w:hint="default" w:ascii="Times New Roman" w:hAnsi="Times New Roman" w:eastAsia="宋体" w:cs="Times New Roman"/>
                <w:b/>
                <w:bCs/>
                <w:color w:val="000000"/>
                <w:sz w:val="24"/>
              </w:rPr>
            </w:pPr>
            <w:r>
              <w:rPr>
                <w:rFonts w:hint="default" w:ascii="Times New Roman" w:hAnsi="Times New Roman" w:eastAsia="宋体" w:cs="Times New Roman"/>
                <w:b/>
                <w:bCs/>
                <w:color w:val="000000"/>
                <w:sz w:val="24"/>
              </w:rPr>
              <w:t>4.2.1运营期大气环境影响分析及防治措施</w:t>
            </w:r>
          </w:p>
          <w:p w14:paraId="589888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2.</w:t>
            </w:r>
            <w:r>
              <w:rPr>
                <w:rFonts w:hint="eastAsia"/>
                <w:sz w:val="24"/>
                <w:szCs w:val="24"/>
              </w:rPr>
              <w:t>1.1废气产排污环节、污染物及源强分析</w:t>
            </w:r>
          </w:p>
          <w:p w14:paraId="7055F3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sz w:val="24"/>
                <w:szCs w:val="24"/>
                <w:lang w:val="en-US" w:eastAsia="zh-CN"/>
              </w:rPr>
            </w:pPr>
            <w:r>
              <w:rPr>
                <w:rFonts w:hint="eastAsia"/>
                <w:sz w:val="24"/>
                <w:szCs w:val="24"/>
                <w:lang w:eastAsia="zh-CN"/>
              </w:rPr>
              <w:t>（</w:t>
            </w:r>
            <w:r>
              <w:rPr>
                <w:rFonts w:hint="eastAsia"/>
                <w:sz w:val="24"/>
                <w:szCs w:val="24"/>
                <w:lang w:val="en-US" w:eastAsia="zh-CN"/>
              </w:rPr>
              <w:t>1</w:t>
            </w:r>
            <w:r>
              <w:rPr>
                <w:rFonts w:hint="eastAsia"/>
                <w:sz w:val="24"/>
                <w:szCs w:val="24"/>
                <w:lang w:eastAsia="zh-CN"/>
              </w:rPr>
              <w:t>）</w:t>
            </w:r>
            <w:r>
              <w:rPr>
                <w:rFonts w:hint="eastAsia"/>
                <w:sz w:val="24"/>
                <w:szCs w:val="24"/>
                <w:lang w:val="en-US" w:eastAsia="zh-CN"/>
              </w:rPr>
              <w:t>恶臭来源</w:t>
            </w:r>
          </w:p>
          <w:p w14:paraId="3E93EE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本项目运营期废气主要为污水处理各单元产生的恶臭气体，主要成分为NH</w:t>
            </w:r>
            <w:r>
              <w:rPr>
                <w:rFonts w:hint="eastAsia" w:ascii="Times New Roman" w:hAnsi="Times New Roman" w:cs="Times New Roman"/>
                <w:color w:val="000000"/>
                <w:sz w:val="24"/>
                <w:szCs w:val="24"/>
                <w:highlight w:val="none"/>
                <w:vertAlign w:val="subscript"/>
                <w:lang w:val="en-US" w:eastAsia="zh-CN"/>
              </w:rPr>
              <w:t>3</w:t>
            </w:r>
            <w:r>
              <w:rPr>
                <w:rFonts w:hint="eastAsia"/>
                <w:sz w:val="24"/>
                <w:szCs w:val="24"/>
              </w:rPr>
              <w:t>和</w:t>
            </w:r>
            <w:r>
              <w:rPr>
                <w:rFonts w:hint="eastAsia"/>
                <w:sz w:val="24"/>
                <w:szCs w:val="24"/>
                <w:lang w:val="en-US" w:eastAsia="zh-CN"/>
              </w:rPr>
              <w:t>H</w:t>
            </w:r>
            <w:r>
              <w:rPr>
                <w:rFonts w:hint="eastAsia"/>
                <w:spacing w:val="-6"/>
                <w:sz w:val="24"/>
                <w:szCs w:val="24"/>
                <w:vertAlign w:val="subscript"/>
              </w:rPr>
              <w:t>2</w:t>
            </w:r>
            <w:r>
              <w:rPr>
                <w:rFonts w:hint="eastAsia"/>
                <w:sz w:val="24"/>
                <w:szCs w:val="24"/>
                <w:lang w:val="en-US" w:eastAsia="zh-CN"/>
              </w:rPr>
              <w:t>S</w:t>
            </w:r>
            <w:r>
              <w:rPr>
                <w:rFonts w:hint="eastAsia"/>
                <w:sz w:val="24"/>
                <w:szCs w:val="24"/>
              </w:rPr>
              <w:t>。产臭单元包括：</w:t>
            </w:r>
          </w:p>
          <w:p w14:paraId="6EA2AF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预处理区：格栅间、调节池、旋流沉砂器</w:t>
            </w:r>
          </w:p>
          <w:p w14:paraId="79EB64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生化处理区：AAO生物池的厌氧段和缺氧段</w:t>
            </w:r>
          </w:p>
          <w:p w14:paraId="194080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污泥处理区：污泥浓缩池、脱水机房</w:t>
            </w:r>
          </w:p>
          <w:p w14:paraId="0ED4DC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sz w:val="24"/>
                <w:szCs w:val="24"/>
                <w:lang w:val="en-US" w:eastAsia="zh-CN"/>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rFonts w:hint="eastAsia"/>
                <w:sz w:val="24"/>
                <w:szCs w:val="24"/>
                <w:lang w:val="en-US" w:eastAsia="zh-CN"/>
              </w:rPr>
              <w:t>恶臭产生源强</w:t>
            </w:r>
          </w:p>
          <w:p w14:paraId="06B6C5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sz w:val="24"/>
                <w:szCs w:val="24"/>
                <w:lang w:eastAsia="zh-CN"/>
              </w:rPr>
            </w:pPr>
            <w:r>
              <w:rPr>
                <w:rFonts w:hint="eastAsia"/>
                <w:sz w:val="24"/>
                <w:szCs w:val="24"/>
              </w:rPr>
              <w:t>本次评价恶臭污染源的产生情况估算主要根据《城镇污水处理厂臭气处理技术规程》（CJJ/T243-2016）和类比同类工程验收监测数据。拟建工程运行时恶臭污染物产生源强系数见</w:t>
            </w:r>
            <w:r>
              <w:rPr>
                <w:rFonts w:hint="eastAsia"/>
                <w:sz w:val="24"/>
                <w:szCs w:val="24"/>
                <w:lang w:val="en-US" w:eastAsia="zh-CN"/>
              </w:rPr>
              <w:t>表4-2</w:t>
            </w:r>
            <w:r>
              <w:rPr>
                <w:rFonts w:hint="eastAsia"/>
                <w:sz w:val="24"/>
                <w:szCs w:val="24"/>
                <w:lang w:eastAsia="zh-CN"/>
              </w:rPr>
              <w:t>：</w:t>
            </w:r>
          </w:p>
          <w:p w14:paraId="3C9F3F5D">
            <w:pPr>
              <w:pStyle w:val="8"/>
              <w:jc w:val="center"/>
              <w:rPr>
                <w:rFonts w:hint="default" w:ascii="Times New Roman" w:hAnsi="Times New Roman" w:eastAsia="宋体" w:cs="Times New Roman"/>
                <w:b/>
                <w:bCs/>
                <w:sz w:val="21"/>
                <w:szCs w:val="21"/>
                <w:lang w:eastAsia="zh-CN"/>
              </w:rPr>
            </w:pPr>
            <w:r>
              <w:rPr>
                <w:rFonts w:hint="default" w:ascii="Times New Roman" w:hAnsi="Times New Roman" w:eastAsia="宋体" w:cs="Times New Roman"/>
                <w:b/>
                <w:bCs/>
                <w:sz w:val="21"/>
                <w:szCs w:val="21"/>
              </w:rPr>
              <w:t xml:space="preserve">表 </w:t>
            </w:r>
            <w:r>
              <w:rPr>
                <w:rFonts w:hint="default" w:ascii="Times New Roman" w:hAnsi="Times New Roman" w:eastAsia="宋体" w:cs="Times New Roman"/>
                <w:b/>
                <w:bCs/>
                <w:sz w:val="21"/>
                <w:szCs w:val="21"/>
              </w:rPr>
              <w:fldChar w:fldCharType="begin"/>
            </w:r>
            <w:r>
              <w:rPr>
                <w:rFonts w:hint="default" w:ascii="Times New Roman" w:hAnsi="Times New Roman" w:eastAsia="宋体" w:cs="Times New Roman"/>
                <w:b/>
                <w:bCs/>
                <w:sz w:val="21"/>
                <w:szCs w:val="21"/>
              </w:rPr>
              <w:instrText xml:space="preserve"> STYLEREF 1 \s \* ARABIC </w:instrText>
            </w:r>
            <w:r>
              <w:rPr>
                <w:rFonts w:hint="default" w:ascii="Times New Roman" w:hAnsi="Times New Roman" w:eastAsia="宋体" w:cs="Times New Roman"/>
                <w:b/>
                <w:bCs/>
                <w:sz w:val="21"/>
                <w:szCs w:val="21"/>
              </w:rPr>
              <w:fldChar w:fldCharType="separate"/>
            </w:r>
            <w:r>
              <w:rPr>
                <w:rFonts w:hint="default" w:ascii="Times New Roman" w:hAnsi="Times New Roman" w:eastAsia="宋体" w:cs="Times New Roman"/>
                <w:b/>
                <w:bCs/>
                <w:sz w:val="21"/>
                <w:szCs w:val="21"/>
              </w:rPr>
              <w:t>4</w:t>
            </w:r>
            <w:r>
              <w:rPr>
                <w:rFonts w:hint="default" w:ascii="Times New Roman" w:hAnsi="Times New Roman" w:eastAsia="宋体" w:cs="Times New Roman"/>
                <w:b/>
                <w:bCs/>
                <w:sz w:val="21"/>
                <w:szCs w:val="21"/>
              </w:rPr>
              <w:fldChar w:fldCharType="end"/>
            </w:r>
            <w:r>
              <w:rPr>
                <w:rFonts w:hint="default" w:ascii="Times New Roman" w:hAnsi="Times New Roman" w:eastAsia="宋体" w:cs="Times New Roman"/>
                <w:b/>
                <w:bCs/>
                <w:sz w:val="21"/>
                <w:szCs w:val="21"/>
                <w:lang w:eastAsia="zh-CN"/>
              </w:rPr>
              <w:t>-</w:t>
            </w:r>
            <w:r>
              <w:rPr>
                <w:rFonts w:hint="eastAsia" w:ascii="Times New Roman" w:hAnsi="Times New Roman" w:eastAsia="宋体" w:cs="Times New Roman"/>
                <w:b/>
                <w:bCs/>
                <w:sz w:val="21"/>
                <w:szCs w:val="21"/>
                <w:lang w:val="en-US" w:eastAsia="zh-CN"/>
              </w:rPr>
              <w:t>2</w:t>
            </w:r>
            <w:r>
              <w:rPr>
                <w:rFonts w:hint="default" w:ascii="Times New Roman" w:hAnsi="Times New Roman" w:eastAsia="宋体" w:cs="Times New Roman"/>
                <w:b/>
                <w:bCs/>
                <w:sz w:val="21"/>
                <w:szCs w:val="21"/>
                <w:lang w:eastAsia="zh-CN"/>
              </w:rPr>
              <w:t>污水处理构筑物恶臭污染物源强系数表</w:t>
            </w:r>
          </w:p>
          <w:tbl>
            <w:tblPr>
              <w:tblStyle w:val="33"/>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650"/>
              <w:gridCol w:w="2639"/>
              <w:gridCol w:w="2654"/>
            </w:tblGrid>
            <w:tr w14:paraId="47A0A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668" w:type="pct"/>
                  <w:tcBorders>
                    <w:top w:val="single" w:color="auto" w:sz="4" w:space="0"/>
                    <w:left w:val="single" w:color="auto" w:sz="4" w:space="0"/>
                    <w:bottom w:val="single" w:color="auto" w:sz="4" w:space="0"/>
                    <w:right w:val="single" w:color="auto" w:sz="4" w:space="0"/>
                  </w:tcBorders>
                  <w:vAlign w:val="top"/>
                </w:tcPr>
                <w:p w14:paraId="2C300D8F">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构筑物名称</w:t>
                  </w:r>
                </w:p>
              </w:tc>
              <w:tc>
                <w:tcPr>
                  <w:tcW w:w="1661" w:type="pct"/>
                  <w:tcBorders>
                    <w:top w:val="single" w:color="auto" w:sz="4" w:space="0"/>
                    <w:left w:val="single" w:color="auto" w:sz="4" w:space="0"/>
                    <w:bottom w:val="single" w:color="auto" w:sz="4" w:space="0"/>
                    <w:right w:val="single" w:color="auto" w:sz="4" w:space="0"/>
                  </w:tcBorders>
                  <w:vAlign w:val="top"/>
                </w:tcPr>
                <w:p w14:paraId="185D83AB">
                  <w:pPr>
                    <w:pStyle w:val="25"/>
                    <w:bidi w:val="0"/>
                    <w:rPr>
                      <w:rFonts w:hint="default" w:ascii="Times New Roman" w:hAnsi="Times New Roman" w:cs="Times New Roman"/>
                      <w:lang w:val="en-US" w:eastAsia="en-US"/>
                    </w:rPr>
                  </w:pPr>
                  <w:r>
                    <w:rPr>
                      <w:rFonts w:hint="default" w:ascii="Times New Roman" w:hAnsi="Times New Roman" w:cs="Times New Roman"/>
                      <w:lang w:val="en-US" w:eastAsia="en-US"/>
                    </w:rPr>
                    <w:t>NH</w:t>
                  </w:r>
                  <w:r>
                    <w:rPr>
                      <w:rFonts w:hint="eastAsia" w:ascii="Times New Roman" w:hAnsi="Times New Roman" w:cs="Times New Roman"/>
                      <w:vertAlign w:val="subscript"/>
                      <w:lang w:val="en-US" w:eastAsia="zh-CN"/>
                    </w:rPr>
                    <w:t>3</w:t>
                  </w:r>
                  <w:r>
                    <w:rPr>
                      <w:rFonts w:hint="eastAsia" w:ascii="Times New Roman" w:cs="Times New Roman"/>
                      <w:lang w:val="en-US" w:eastAsia="zh-CN"/>
                    </w:rPr>
                    <w:t>（</w:t>
                  </w:r>
                  <w:r>
                    <w:rPr>
                      <w:rFonts w:hint="default" w:ascii="Times New Roman" w:hAnsi="Times New Roman" w:cs="Times New Roman"/>
                      <w:lang w:val="en-US" w:eastAsia="en-US"/>
                    </w:rPr>
                    <w:t>mg/s·</w:t>
                  </w:r>
                  <w:r>
                    <w:rPr>
                      <w:rFonts w:hint="eastAsia" w:ascii="Times New Roman" w:hAnsi="Times New Roman" w:eastAsia="宋体" w:cs="Times New Roman"/>
                      <w:lang w:val="en-US" w:eastAsia="zh-CN"/>
                    </w:rPr>
                    <w:t>m</w:t>
                  </w:r>
                  <w:r>
                    <w:rPr>
                      <w:rFonts w:hint="eastAsia" w:ascii="Times New Roman" w:hAnsi="Times New Roman" w:eastAsia="宋体" w:cs="Times New Roman"/>
                      <w:vertAlign w:val="superscript"/>
                      <w:lang w:val="en-US" w:eastAsia="zh-CN"/>
                    </w:rPr>
                    <w:t>2</w:t>
                  </w:r>
                  <w:r>
                    <w:rPr>
                      <w:rFonts w:hint="eastAsia" w:ascii="Times New Roman" w:cs="Times New Roman"/>
                      <w:lang w:val="en-US" w:eastAsia="zh-CN"/>
                    </w:rPr>
                    <w:t>）</w:t>
                  </w:r>
                </w:p>
              </w:tc>
              <w:tc>
                <w:tcPr>
                  <w:tcW w:w="1670" w:type="pct"/>
                  <w:tcBorders>
                    <w:top w:val="single" w:color="auto" w:sz="4" w:space="0"/>
                    <w:left w:val="single" w:color="auto" w:sz="4" w:space="0"/>
                    <w:bottom w:val="single" w:color="auto" w:sz="4" w:space="0"/>
                    <w:right w:val="single" w:color="auto" w:sz="4" w:space="0"/>
                  </w:tcBorders>
                  <w:vAlign w:val="top"/>
                </w:tcPr>
                <w:p w14:paraId="6D6BD5A7">
                  <w:pPr>
                    <w:pStyle w:val="25"/>
                    <w:bidi w:val="0"/>
                    <w:rPr>
                      <w:rFonts w:hint="default" w:ascii="Times New Roman" w:hAnsi="Times New Roman" w:cs="Times New Roman"/>
                      <w:lang w:val="en-US" w:eastAsia="en-US"/>
                    </w:rPr>
                  </w:pPr>
                  <w:r>
                    <w:rPr>
                      <w:rFonts w:hint="default" w:ascii="Times New Roman" w:hAnsi="Times New Roman" w:cs="Times New Roman"/>
                      <w:lang w:val="en-US" w:eastAsia="en-US"/>
                    </w:rPr>
                    <w:t>H</w:t>
                  </w:r>
                  <w:r>
                    <w:rPr>
                      <w:rFonts w:hint="eastAsia" w:ascii="Times New Roman" w:hAnsi="Times New Roman" w:cs="Times New Roman"/>
                      <w:vertAlign w:val="subscript"/>
                      <w:lang w:val="en-US" w:eastAsia="zh-CN"/>
                    </w:rPr>
                    <w:t>2</w:t>
                  </w:r>
                  <w:r>
                    <w:rPr>
                      <w:rFonts w:hint="default" w:ascii="Times New Roman" w:hAnsi="Times New Roman" w:cs="Times New Roman"/>
                      <w:lang w:val="en-US" w:eastAsia="en-US"/>
                    </w:rPr>
                    <w:t>S</w:t>
                  </w:r>
                  <w:r>
                    <w:rPr>
                      <w:rFonts w:hint="eastAsia" w:ascii="Times New Roman" w:cs="Times New Roman"/>
                      <w:lang w:val="en-US" w:eastAsia="zh-CN"/>
                    </w:rPr>
                    <w:t>（</w:t>
                  </w:r>
                  <w:r>
                    <w:rPr>
                      <w:rFonts w:hint="default" w:ascii="Times New Roman" w:hAnsi="Times New Roman" w:cs="Times New Roman"/>
                      <w:lang w:val="en-US" w:eastAsia="en-US"/>
                    </w:rPr>
                    <w:t>mg/s·</w:t>
                  </w:r>
                  <w:r>
                    <w:rPr>
                      <w:rFonts w:hint="eastAsia" w:ascii="Times New Roman" w:hAnsi="Times New Roman" w:eastAsia="宋体" w:cs="Times New Roman"/>
                      <w:lang w:val="en-US" w:eastAsia="zh-CN"/>
                    </w:rPr>
                    <w:t>m</w:t>
                  </w:r>
                  <w:r>
                    <w:rPr>
                      <w:rFonts w:hint="eastAsia" w:ascii="Times New Roman" w:hAnsi="Times New Roman" w:eastAsia="宋体" w:cs="Times New Roman"/>
                      <w:vertAlign w:val="superscript"/>
                      <w:lang w:val="en-US" w:eastAsia="zh-CN"/>
                    </w:rPr>
                    <w:t>2</w:t>
                  </w:r>
                  <w:r>
                    <w:rPr>
                      <w:rFonts w:hint="default" w:ascii="Times New Roman" w:hAnsi="Times New Roman" w:cs="Times New Roman"/>
                      <w:lang w:val="en-US" w:eastAsia="en-US"/>
                    </w:rPr>
                    <w:t>）</w:t>
                  </w:r>
                </w:p>
              </w:tc>
            </w:tr>
            <w:tr w14:paraId="7CB1F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668" w:type="pct"/>
                  <w:tcBorders>
                    <w:top w:val="single" w:color="auto" w:sz="4" w:space="0"/>
                    <w:left w:val="single" w:color="auto" w:sz="4" w:space="0"/>
                    <w:bottom w:val="single" w:color="auto" w:sz="4" w:space="0"/>
                    <w:right w:val="single" w:color="auto" w:sz="4" w:space="0"/>
                  </w:tcBorders>
                  <w:vAlign w:val="top"/>
                </w:tcPr>
                <w:p w14:paraId="7514D0D6">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格栅间及提升泵房</w:t>
                  </w:r>
                </w:p>
              </w:tc>
              <w:tc>
                <w:tcPr>
                  <w:tcW w:w="1661" w:type="pct"/>
                  <w:tcBorders>
                    <w:top w:val="single" w:color="auto" w:sz="4" w:space="0"/>
                    <w:left w:val="single" w:color="auto" w:sz="4" w:space="0"/>
                    <w:bottom w:val="single" w:color="auto" w:sz="4" w:space="0"/>
                    <w:right w:val="single" w:color="auto" w:sz="4" w:space="0"/>
                  </w:tcBorders>
                  <w:vAlign w:val="top"/>
                </w:tcPr>
                <w:p w14:paraId="17519F7D">
                  <w:pPr>
                    <w:pStyle w:val="25"/>
                    <w:bidi w:val="0"/>
                    <w:rPr>
                      <w:rFonts w:hint="default" w:ascii="Times New Roman" w:hAnsi="Times New Roman" w:cs="Times New Roman"/>
                      <w:lang w:val="en-US" w:eastAsia="en-US"/>
                    </w:rPr>
                  </w:pPr>
                  <w:r>
                    <w:rPr>
                      <w:rFonts w:hint="default" w:ascii="Times New Roman" w:hAnsi="Times New Roman" w:cs="Times New Roman"/>
                      <w:lang w:val="en-US" w:eastAsia="en-US"/>
                    </w:rPr>
                    <w:t>0.11728</w:t>
                  </w:r>
                </w:p>
              </w:tc>
              <w:tc>
                <w:tcPr>
                  <w:tcW w:w="1670" w:type="pct"/>
                  <w:tcBorders>
                    <w:top w:val="single" w:color="auto" w:sz="4" w:space="0"/>
                    <w:left w:val="single" w:color="auto" w:sz="4" w:space="0"/>
                    <w:bottom w:val="single" w:color="auto" w:sz="4" w:space="0"/>
                    <w:right w:val="single" w:color="auto" w:sz="4" w:space="0"/>
                  </w:tcBorders>
                  <w:vAlign w:val="top"/>
                </w:tcPr>
                <w:p w14:paraId="05E8A7E0">
                  <w:pPr>
                    <w:pStyle w:val="25"/>
                    <w:bidi w:val="0"/>
                    <w:rPr>
                      <w:rFonts w:hint="default" w:ascii="Times New Roman" w:hAnsi="Times New Roman" w:cs="Times New Roman"/>
                      <w:lang w:val="en-US" w:eastAsia="en-US"/>
                    </w:rPr>
                  </w:pPr>
                  <w:r>
                    <w:rPr>
                      <w:rFonts w:hint="default" w:ascii="Times New Roman" w:hAnsi="Times New Roman" w:cs="Times New Roman"/>
                      <w:lang w:val="en-US" w:eastAsia="en-US"/>
                    </w:rPr>
                    <w:t>0.00849</w:t>
                  </w:r>
                </w:p>
              </w:tc>
            </w:tr>
            <w:tr w14:paraId="234FA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2773" w:type="dxa"/>
                  <w:tcBorders>
                    <w:top w:val="single" w:color="auto" w:sz="4" w:space="0"/>
                    <w:left w:val="single" w:color="auto" w:sz="4" w:space="0"/>
                    <w:bottom w:val="single" w:color="auto" w:sz="4" w:space="0"/>
                    <w:right w:val="single" w:color="auto" w:sz="4" w:space="0"/>
                  </w:tcBorders>
                  <w:vAlign w:val="top"/>
                </w:tcPr>
                <w:p w14:paraId="3E60D90C">
                  <w:pPr>
                    <w:pStyle w:val="25"/>
                    <w:bidi w:val="0"/>
                    <w:rPr>
                      <w:rFonts w:hint="default" w:ascii="Times New Roman" w:hAnsi="Times New Roman" w:cs="Times New Roman"/>
                      <w:lang w:val="en-US" w:eastAsia="en-US"/>
                    </w:rPr>
                  </w:pPr>
                  <w:r>
                    <w:rPr>
                      <w:rFonts w:hint="default" w:ascii="Times New Roman" w:hAnsi="Times New Roman" w:cs="Times New Roman"/>
                      <w:lang w:val="en-US" w:eastAsia="en-US"/>
                    </w:rPr>
                    <w:t>调节/事故池</w:t>
                  </w:r>
                </w:p>
              </w:tc>
              <w:tc>
                <w:tcPr>
                  <w:tcW w:w="2763" w:type="dxa"/>
                  <w:tcBorders>
                    <w:top w:val="single" w:color="auto" w:sz="4" w:space="0"/>
                    <w:left w:val="single" w:color="auto" w:sz="4" w:space="0"/>
                    <w:bottom w:val="single" w:color="auto" w:sz="4" w:space="0"/>
                    <w:right w:val="single" w:color="auto" w:sz="4" w:space="0"/>
                  </w:tcBorders>
                  <w:vAlign w:val="top"/>
                </w:tcPr>
                <w:p w14:paraId="5AF2B5CC">
                  <w:pPr>
                    <w:pStyle w:val="25"/>
                    <w:bidi w:val="0"/>
                    <w:rPr>
                      <w:rFonts w:hint="default" w:ascii="Times New Roman" w:hAnsi="Times New Roman" w:cs="Times New Roman"/>
                      <w:lang w:val="en-US" w:eastAsia="en-US"/>
                    </w:rPr>
                  </w:pPr>
                  <w:r>
                    <w:rPr>
                      <w:rFonts w:hint="default" w:ascii="Times New Roman" w:hAnsi="Times New Roman" w:cs="Times New Roman"/>
                      <w:lang w:val="en-US" w:eastAsia="en-US"/>
                    </w:rPr>
                    <w:t>0.00413</w:t>
                  </w:r>
                </w:p>
              </w:tc>
              <w:tc>
                <w:tcPr>
                  <w:tcW w:w="2778" w:type="dxa"/>
                  <w:tcBorders>
                    <w:top w:val="single" w:color="auto" w:sz="4" w:space="0"/>
                    <w:left w:val="single" w:color="auto" w:sz="4" w:space="0"/>
                    <w:bottom w:val="single" w:color="auto" w:sz="4" w:space="0"/>
                    <w:right w:val="single" w:color="auto" w:sz="4" w:space="0"/>
                  </w:tcBorders>
                  <w:vAlign w:val="top"/>
                </w:tcPr>
                <w:p w14:paraId="2B6EF6DE">
                  <w:pPr>
                    <w:pStyle w:val="25"/>
                    <w:bidi w:val="0"/>
                    <w:rPr>
                      <w:rFonts w:hint="default" w:ascii="Times New Roman" w:hAnsi="Times New Roman" w:cs="Times New Roman"/>
                      <w:lang w:val="en-US" w:eastAsia="en-US"/>
                    </w:rPr>
                  </w:pPr>
                  <w:r>
                    <w:rPr>
                      <w:rFonts w:hint="default" w:ascii="Times New Roman" w:hAnsi="Times New Roman" w:cs="Times New Roman"/>
                      <w:lang w:val="en-US" w:eastAsia="en-US"/>
                    </w:rPr>
                    <w:t>0.00101</w:t>
                  </w:r>
                </w:p>
              </w:tc>
            </w:tr>
            <w:tr w14:paraId="683CC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668" w:type="pct"/>
                  <w:tcBorders>
                    <w:top w:val="single" w:color="auto" w:sz="4" w:space="0"/>
                    <w:left w:val="single" w:color="auto" w:sz="4" w:space="0"/>
                    <w:bottom w:val="single" w:color="auto" w:sz="4" w:space="0"/>
                    <w:right w:val="single" w:color="auto" w:sz="4" w:space="0"/>
                  </w:tcBorders>
                  <w:vAlign w:val="top"/>
                </w:tcPr>
                <w:p w14:paraId="4F582844">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水解酸化池</w:t>
                  </w:r>
                </w:p>
              </w:tc>
              <w:tc>
                <w:tcPr>
                  <w:tcW w:w="1661" w:type="pct"/>
                  <w:tcBorders>
                    <w:top w:val="single" w:color="auto" w:sz="4" w:space="0"/>
                    <w:left w:val="single" w:color="auto" w:sz="4" w:space="0"/>
                    <w:bottom w:val="single" w:color="auto" w:sz="4" w:space="0"/>
                    <w:right w:val="single" w:color="auto" w:sz="4" w:space="0"/>
                  </w:tcBorders>
                  <w:vAlign w:val="top"/>
                </w:tcPr>
                <w:p w14:paraId="18AE1045">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0.00983</w:t>
                  </w:r>
                </w:p>
              </w:tc>
              <w:tc>
                <w:tcPr>
                  <w:tcW w:w="1670" w:type="pct"/>
                  <w:tcBorders>
                    <w:top w:val="single" w:color="auto" w:sz="4" w:space="0"/>
                    <w:left w:val="single" w:color="auto" w:sz="4" w:space="0"/>
                    <w:bottom w:val="single" w:color="auto" w:sz="4" w:space="0"/>
                    <w:right w:val="single" w:color="auto" w:sz="4" w:space="0"/>
                  </w:tcBorders>
                  <w:vAlign w:val="top"/>
                </w:tcPr>
                <w:p w14:paraId="42350D76">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0.00109</w:t>
                  </w:r>
                </w:p>
              </w:tc>
            </w:tr>
            <w:tr w14:paraId="48E3E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668" w:type="pct"/>
                  <w:tcBorders>
                    <w:top w:val="single" w:color="auto" w:sz="4" w:space="0"/>
                    <w:left w:val="single" w:color="auto" w:sz="4" w:space="0"/>
                    <w:bottom w:val="single" w:color="auto" w:sz="4" w:space="0"/>
                    <w:right w:val="single" w:color="auto" w:sz="4" w:space="0"/>
                  </w:tcBorders>
                  <w:vAlign w:val="top"/>
                </w:tcPr>
                <w:p w14:paraId="77ACEE3A">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AAO反应池</w:t>
                  </w:r>
                </w:p>
              </w:tc>
              <w:tc>
                <w:tcPr>
                  <w:tcW w:w="1661" w:type="pct"/>
                  <w:tcBorders>
                    <w:top w:val="single" w:color="auto" w:sz="4" w:space="0"/>
                    <w:left w:val="single" w:color="auto" w:sz="4" w:space="0"/>
                    <w:bottom w:val="single" w:color="auto" w:sz="4" w:space="0"/>
                    <w:right w:val="single" w:color="auto" w:sz="4" w:space="0"/>
                  </w:tcBorders>
                  <w:vAlign w:val="top"/>
                </w:tcPr>
                <w:p w14:paraId="438FFB5F">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0.00741</w:t>
                  </w:r>
                </w:p>
              </w:tc>
              <w:tc>
                <w:tcPr>
                  <w:tcW w:w="1670" w:type="pct"/>
                  <w:tcBorders>
                    <w:top w:val="single" w:color="auto" w:sz="4" w:space="0"/>
                    <w:left w:val="single" w:color="auto" w:sz="4" w:space="0"/>
                    <w:bottom w:val="single" w:color="auto" w:sz="4" w:space="0"/>
                    <w:right w:val="single" w:color="auto" w:sz="4" w:space="0"/>
                  </w:tcBorders>
                  <w:vAlign w:val="top"/>
                </w:tcPr>
                <w:p w14:paraId="73B4BF2C">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0.00082</w:t>
                  </w:r>
                </w:p>
              </w:tc>
            </w:tr>
            <w:tr w14:paraId="75A51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668" w:type="pct"/>
                  <w:tcBorders>
                    <w:top w:val="single" w:color="auto" w:sz="4" w:space="0"/>
                    <w:left w:val="single" w:color="auto" w:sz="4" w:space="0"/>
                    <w:bottom w:val="single" w:color="auto" w:sz="4" w:space="0"/>
                    <w:right w:val="single" w:color="auto" w:sz="4" w:space="0"/>
                  </w:tcBorders>
                  <w:vAlign w:val="top"/>
                </w:tcPr>
                <w:p w14:paraId="62DD351D">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污泥处理系统</w:t>
                  </w:r>
                </w:p>
              </w:tc>
              <w:tc>
                <w:tcPr>
                  <w:tcW w:w="1661" w:type="pct"/>
                  <w:tcBorders>
                    <w:top w:val="single" w:color="auto" w:sz="4" w:space="0"/>
                    <w:left w:val="single" w:color="auto" w:sz="4" w:space="0"/>
                    <w:bottom w:val="single" w:color="auto" w:sz="4" w:space="0"/>
                    <w:right w:val="single" w:color="auto" w:sz="4" w:space="0"/>
                  </w:tcBorders>
                  <w:vAlign w:val="top"/>
                </w:tcPr>
                <w:p w14:paraId="757D53F5">
                  <w:pPr>
                    <w:pStyle w:val="25"/>
                    <w:bidi w:val="0"/>
                    <w:rPr>
                      <w:rFonts w:hint="default" w:ascii="Times New Roman" w:hAnsi="Times New Roman" w:cs="Times New Roman"/>
                      <w:lang w:val="en-US" w:eastAsia="en-US"/>
                    </w:rPr>
                  </w:pPr>
                  <w:r>
                    <w:rPr>
                      <w:rFonts w:hint="default" w:ascii="Times New Roman" w:hAnsi="Times New Roman" w:cs="Times New Roman"/>
                      <w:lang w:val="en-US" w:eastAsia="en-US"/>
                    </w:rPr>
                    <w:t>0.04919</w:t>
                  </w:r>
                </w:p>
              </w:tc>
              <w:tc>
                <w:tcPr>
                  <w:tcW w:w="1670" w:type="pct"/>
                  <w:tcBorders>
                    <w:top w:val="single" w:color="auto" w:sz="4" w:space="0"/>
                    <w:left w:val="single" w:color="auto" w:sz="4" w:space="0"/>
                    <w:bottom w:val="single" w:color="auto" w:sz="4" w:space="0"/>
                    <w:right w:val="single" w:color="auto" w:sz="4" w:space="0"/>
                  </w:tcBorders>
                  <w:vAlign w:val="top"/>
                </w:tcPr>
                <w:p w14:paraId="5BF3524D">
                  <w:pPr>
                    <w:pStyle w:val="25"/>
                    <w:bidi w:val="0"/>
                    <w:rPr>
                      <w:rFonts w:hint="default" w:ascii="Times New Roman" w:hAnsi="Times New Roman" w:cs="Times New Roman"/>
                      <w:lang w:val="en-US" w:eastAsia="en-US"/>
                    </w:rPr>
                  </w:pPr>
                  <w:r>
                    <w:rPr>
                      <w:rFonts w:hint="default" w:ascii="Times New Roman" w:hAnsi="Times New Roman" w:cs="Times New Roman"/>
                      <w:lang w:val="en-US" w:eastAsia="en-US"/>
                    </w:rPr>
                    <w:t>0.00528</w:t>
                  </w:r>
                </w:p>
              </w:tc>
            </w:tr>
          </w:tbl>
          <w:p w14:paraId="06D82E0F">
            <w:pPr>
              <w:keepNext w:val="0"/>
              <w:keepLines w:val="0"/>
              <w:pageBreakBefore w:val="0"/>
              <w:widowControl w:val="0"/>
              <w:numPr>
                <w:ilvl w:val="0"/>
                <w:numId w:val="2"/>
              </w:numPr>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lang w:val="en-US" w:eastAsia="zh-CN"/>
              </w:rPr>
            </w:pPr>
            <w:r>
              <w:rPr>
                <w:rFonts w:hint="eastAsia"/>
                <w:sz w:val="24"/>
                <w:szCs w:val="24"/>
                <w:lang w:val="en-US" w:eastAsia="zh-CN"/>
              </w:rPr>
              <w:t>恶臭污染物治理措施</w:t>
            </w:r>
          </w:p>
          <w:p w14:paraId="31638919">
            <w:pPr>
              <w:pStyle w:val="7"/>
              <w:bidi w:val="0"/>
              <w:rPr>
                <w:rFonts w:hint="default" w:ascii="Times New Roman" w:hAnsi="Times New Roman" w:cs="Times New Roman"/>
                <w:lang w:val="en-US" w:eastAsia="zh-CN"/>
              </w:rPr>
            </w:pPr>
            <w:r>
              <w:rPr>
                <w:rFonts w:hint="default" w:ascii="Times New Roman" w:hAnsi="Times New Roman" w:cs="Times New Roman"/>
              </w:rPr>
              <w:t>一期工程预处理区（格栅间、调节池）已建离子除臭设施1套，预处理区（格栅间、调节池）设置1套离子除臭装置（风量3000m</w:t>
            </w:r>
            <w:r>
              <w:rPr>
                <w:rFonts w:hint="eastAsia" w:ascii="Times New Roman" w:hAnsi="Times New Roman" w:cs="Times New Roman"/>
                <w:vertAlign w:val="superscript"/>
                <w:lang w:val="en-US" w:eastAsia="zh-CN"/>
              </w:rPr>
              <w:t>3</w:t>
            </w:r>
            <w:r>
              <w:rPr>
                <w:rFonts w:hint="default" w:ascii="Times New Roman" w:hAnsi="Times New Roman" w:cs="Times New Roman"/>
              </w:rPr>
              <w:t>/h）</w:t>
            </w:r>
            <w:r>
              <w:rPr>
                <w:rFonts w:hint="default" w:ascii="Times New Roman" w:hAnsi="Times New Roman" w:cs="Times New Roman"/>
                <w:lang w:eastAsia="zh-CN"/>
              </w:rPr>
              <w:t>，为一期工程已批复的治理工艺（巴环评价函〔2020〕274号）。</w:t>
            </w:r>
          </w:p>
          <w:p w14:paraId="7F4BE8FB">
            <w:pPr>
              <w:pStyle w:val="7"/>
              <w:bidi w:val="0"/>
              <w:rPr>
                <w:rFonts w:hint="default" w:ascii="Times New Roman" w:hAnsi="Times New Roman" w:cs="Times New Roman"/>
              </w:rPr>
            </w:pPr>
            <w:r>
              <w:rPr>
                <w:rFonts w:hint="default" w:ascii="Times New Roman" w:hAnsi="Times New Roman" w:cs="Times New Roman"/>
                <w:lang w:val="en-US" w:eastAsia="zh-CN"/>
              </w:rPr>
              <w:t>本项目</w:t>
            </w:r>
            <w:r>
              <w:rPr>
                <w:rFonts w:hint="eastAsia" w:ascii="Times New Roman" w:cs="Times New Roman"/>
                <w:lang w:val="en-US" w:eastAsia="zh-CN"/>
              </w:rPr>
              <w:t>（</w:t>
            </w:r>
            <w:r>
              <w:rPr>
                <w:rFonts w:hint="default" w:ascii="Times New Roman" w:hAnsi="Times New Roman" w:cs="Times New Roman"/>
                <w:lang w:val="en-US" w:eastAsia="zh-CN"/>
              </w:rPr>
              <w:t>二期工程）</w:t>
            </w:r>
            <w:r>
              <w:rPr>
                <w:rFonts w:hint="default" w:ascii="Times New Roman" w:hAnsi="Times New Roman" w:cs="Times New Roman"/>
              </w:rPr>
              <w:t>拟采用</w:t>
            </w:r>
            <w:r>
              <w:rPr>
                <w:rFonts w:hint="default" w:ascii="Times New Roman" w:hAnsi="Times New Roman" w:cs="Times New Roman"/>
                <w:lang w:eastAsia="zh-CN"/>
              </w:rPr>
              <w:t>生物除臭</w:t>
            </w:r>
            <w:r>
              <w:rPr>
                <w:rFonts w:hint="default" w:ascii="Times New Roman" w:hAnsi="Times New Roman" w:cs="Times New Roman"/>
              </w:rPr>
              <w:t>装置对恶臭气体进行治理。</w:t>
            </w:r>
            <w:r>
              <w:rPr>
                <w:rFonts w:hint="default" w:ascii="Times New Roman" w:hAnsi="Times New Roman" w:cs="Times New Roman"/>
                <w:lang w:eastAsia="zh-CN"/>
              </w:rPr>
              <w:t>生物除臭</w:t>
            </w:r>
            <w:r>
              <w:rPr>
                <w:rFonts w:hint="default" w:ascii="Times New Roman" w:hAnsi="Times New Roman" w:cs="Times New Roman"/>
              </w:rPr>
              <w:t>装置在理论和实际中适合污水处理厂推广使用，有效去除臭味率达到90%以上，采取该除臭工艺，可有效减少污水处理过程恶臭气体污染物的产生，从而减轻恶臭影响。污水处理构筑物内恶臭气体源通过加盖密闭、集中收集处理等措施进行控制。根据可研设计，AAO生物池（厌氧段/缺氧段）和污泥浓缩池、脱水机房产生的恶臭气体集中收集至</w:t>
            </w:r>
            <w:r>
              <w:rPr>
                <w:rFonts w:hint="default" w:ascii="Times New Roman" w:hAnsi="Times New Roman" w:cs="Times New Roman"/>
                <w:lang w:eastAsia="zh-CN"/>
              </w:rPr>
              <w:t>生物除臭</w:t>
            </w:r>
            <w:r>
              <w:rPr>
                <w:rFonts w:hint="default" w:ascii="Times New Roman" w:hAnsi="Times New Roman" w:cs="Times New Roman"/>
              </w:rPr>
              <w:t>装置处理。</w:t>
            </w:r>
          </w:p>
          <w:p w14:paraId="460472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根据《城镇污水处理厂臭气处理技术规程》（CJJ/T243-2016）3.1.3污水、污泥处理构筑物的臭气风量宜根据构筑物种类、散发臭气的水面面积、臭气空间体积等因素确定。设备臭气风量宜根据设备的种类、封闭程度、封闭空间体积等因素确定。构筑物、设备臭气风量的计算应符合下列规定：</w:t>
            </w:r>
          </w:p>
          <w:p w14:paraId="481CDE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①进入水泵吸水井或沉沙池的臭气风量可按单位水面面积臭气风量指标10m</w:t>
            </w:r>
            <w:r>
              <w:rPr>
                <w:rFonts w:hint="eastAsia" w:cs="Times New Roman"/>
                <w:sz w:val="24"/>
                <w:szCs w:val="24"/>
                <w:vertAlign w:val="superscript"/>
                <w:lang w:val="en-US" w:eastAsia="zh-CN"/>
              </w:rPr>
              <w:t>3</w:t>
            </w:r>
            <w:r>
              <w:rPr>
                <w:rFonts w:hint="default" w:ascii="Times New Roman" w:hAnsi="Times New Roman" w:cs="Times New Roman"/>
                <w:sz w:val="24"/>
                <w:szCs w:val="24"/>
              </w:rPr>
              <w:t>/（</w:t>
            </w:r>
            <w:r>
              <w:rPr>
                <w:rFonts w:hint="eastAsia" w:cs="Times New Roman"/>
                <w:sz w:val="24"/>
                <w:szCs w:val="24"/>
                <w:lang w:val="en-US" w:eastAsia="zh-CN"/>
              </w:rPr>
              <w:t>m</w:t>
            </w:r>
            <w:r>
              <w:rPr>
                <w:rFonts w:hint="eastAsia" w:cs="Times New Roman"/>
                <w:sz w:val="24"/>
                <w:szCs w:val="24"/>
                <w:vertAlign w:val="superscript"/>
                <w:lang w:val="en-US" w:eastAsia="zh-CN"/>
              </w:rPr>
              <w:t>2</w:t>
            </w:r>
            <w:r>
              <w:rPr>
                <w:rFonts w:hint="default" w:ascii="Times New Roman" w:hAnsi="Times New Roman" w:cs="Times New Roman"/>
                <w:sz w:val="24"/>
                <w:szCs w:val="24"/>
              </w:rPr>
              <w:t>·h）计算，并可增加1次/h～2次/h的空间换气量；</w:t>
            </w:r>
          </w:p>
          <w:p w14:paraId="22C28A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②初沉池或浓缩池等构筑物的臭气风量可按单位水面面积臭气风量指标3mm</w:t>
            </w:r>
            <w:r>
              <w:rPr>
                <w:rFonts w:hint="eastAsia" w:cs="Times New Roman"/>
                <w:sz w:val="24"/>
                <w:szCs w:val="24"/>
                <w:vertAlign w:val="superscript"/>
                <w:lang w:val="en-US" w:eastAsia="zh-CN"/>
              </w:rPr>
              <w:t>3</w:t>
            </w:r>
            <w:r>
              <w:rPr>
                <w:rFonts w:hint="default" w:ascii="Times New Roman" w:hAnsi="Times New Roman" w:cs="Times New Roman"/>
                <w:sz w:val="24"/>
                <w:szCs w:val="24"/>
              </w:rPr>
              <w:t>/（</w:t>
            </w:r>
            <w:r>
              <w:rPr>
                <w:rFonts w:hint="eastAsia" w:cs="Times New Roman"/>
                <w:sz w:val="24"/>
                <w:szCs w:val="24"/>
                <w:lang w:val="en-US" w:eastAsia="zh-CN"/>
              </w:rPr>
              <w:t>m</w:t>
            </w:r>
            <w:r>
              <w:rPr>
                <w:rFonts w:hint="eastAsia" w:cs="Times New Roman"/>
                <w:sz w:val="24"/>
                <w:szCs w:val="24"/>
                <w:vertAlign w:val="superscript"/>
                <w:lang w:val="en-US" w:eastAsia="zh-CN"/>
              </w:rPr>
              <w:t>2</w:t>
            </w:r>
            <w:r>
              <w:rPr>
                <w:rFonts w:hint="default" w:ascii="Times New Roman" w:hAnsi="Times New Roman" w:cs="Times New Roman"/>
                <w:sz w:val="24"/>
                <w:szCs w:val="24"/>
              </w:rPr>
              <w:t>·h）计算，并可增加1次/h～2次/h的空间换气量；</w:t>
            </w:r>
          </w:p>
          <w:p w14:paraId="230A7F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③半封口设备臭气风量可按机盖内换气次数8次/h和机盖开口处抽气流速0.6m/s两种计算结果的较少者取值。</w:t>
            </w:r>
          </w:p>
          <w:p w14:paraId="148011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本项目（二期工程）</w:t>
            </w:r>
            <w:r>
              <w:rPr>
                <w:rFonts w:hint="default" w:ascii="Times New Roman" w:hAnsi="Times New Roman" w:cs="Times New Roman"/>
                <w:sz w:val="24"/>
                <w:szCs w:val="24"/>
              </w:rPr>
              <w:t>主要处理生化处理和污泥处理系统的废气，经核算，处理量分别为1</w:t>
            </w:r>
            <w:r>
              <w:rPr>
                <w:rFonts w:hint="default" w:ascii="Times New Roman" w:hAnsi="Times New Roman" w:cs="Times New Roman"/>
                <w:sz w:val="24"/>
                <w:szCs w:val="24"/>
                <w:lang w:val="en-US" w:eastAsia="zh-CN"/>
              </w:rPr>
              <w:t>47</w:t>
            </w:r>
            <w:r>
              <w:rPr>
                <w:rFonts w:hint="default" w:ascii="Times New Roman" w:hAnsi="Times New Roman" w:cs="Times New Roman"/>
                <w:sz w:val="24"/>
                <w:szCs w:val="24"/>
              </w:rPr>
              <w:t>00m</w:t>
            </w:r>
            <w:r>
              <w:rPr>
                <w:rFonts w:hint="eastAsia" w:cs="Times New Roman"/>
                <w:sz w:val="24"/>
                <w:szCs w:val="24"/>
                <w:vertAlign w:val="superscript"/>
                <w:lang w:val="en-US" w:eastAsia="zh-CN"/>
              </w:rPr>
              <w:t>3</w:t>
            </w:r>
            <w:r>
              <w:rPr>
                <w:rFonts w:hint="default" w:ascii="Times New Roman" w:hAnsi="Times New Roman" w:cs="Times New Roman"/>
                <w:sz w:val="24"/>
                <w:szCs w:val="24"/>
              </w:rPr>
              <w:t>/h，因此，除臭系统设计风量选择1</w:t>
            </w:r>
            <w:r>
              <w:rPr>
                <w:rFonts w:hint="default" w:ascii="Times New Roman" w:hAnsi="Times New Roman" w:cs="Times New Roman"/>
                <w:sz w:val="24"/>
                <w:szCs w:val="24"/>
                <w:lang w:val="en-US" w:eastAsia="zh-CN"/>
              </w:rPr>
              <w:t>5</w:t>
            </w:r>
            <w:r>
              <w:rPr>
                <w:rFonts w:hint="default" w:ascii="Times New Roman" w:hAnsi="Times New Roman" w:cs="Times New Roman"/>
                <w:sz w:val="24"/>
                <w:szCs w:val="24"/>
              </w:rPr>
              <w:t>000m</w:t>
            </w:r>
            <w:r>
              <w:rPr>
                <w:rFonts w:hint="eastAsia" w:cs="Times New Roman"/>
                <w:sz w:val="24"/>
                <w:szCs w:val="24"/>
                <w:vertAlign w:val="superscript"/>
                <w:lang w:val="en-US" w:eastAsia="zh-CN"/>
              </w:rPr>
              <w:t>3</w:t>
            </w:r>
            <w:r>
              <w:rPr>
                <w:rFonts w:hint="default" w:ascii="Times New Roman" w:hAnsi="Times New Roman" w:cs="Times New Roman"/>
                <w:sz w:val="24"/>
                <w:szCs w:val="24"/>
              </w:rPr>
              <w:t>/h。</w:t>
            </w:r>
          </w:p>
          <w:p w14:paraId="1E43275B">
            <w:pPr>
              <w:pStyle w:val="7"/>
              <w:numPr>
                <w:ilvl w:val="0"/>
                <w:numId w:val="0"/>
              </w:numPr>
              <w:bidi w:val="0"/>
              <w:ind w:firstLine="480" w:firstLineChars="200"/>
              <w:rPr>
                <w:rFonts w:hint="default" w:ascii="Times New Roman" w:hAnsi="Times New Roman" w:eastAsia="宋体" w:cs="Times New Roman"/>
                <w:lang w:val="en-US" w:eastAsia="zh-CN"/>
              </w:rPr>
            </w:pPr>
            <w:r>
              <w:rPr>
                <w:rFonts w:hint="default" w:ascii="Times New Roman" w:hAnsi="Times New Roman" w:eastAsia="宋体" w:cs="Times New Roman"/>
                <w:kern w:val="2"/>
                <w:sz w:val="24"/>
                <w:szCs w:val="24"/>
                <w:lang w:val="en-US" w:eastAsia="zh-CN" w:bidi="ar-SA"/>
              </w:rPr>
              <w:t>（4）</w:t>
            </w:r>
            <w:r>
              <w:rPr>
                <w:rFonts w:hint="default" w:ascii="Times New Roman" w:hAnsi="Times New Roman" w:eastAsia="宋体" w:cs="Times New Roman"/>
                <w:lang w:val="en-US" w:eastAsia="zh-CN"/>
              </w:rPr>
              <w:t>恶臭污染物排放量</w:t>
            </w:r>
          </w:p>
          <w:p w14:paraId="1299758A">
            <w:pPr>
              <w:pStyle w:val="7"/>
              <w:bidi w:val="0"/>
              <w:rPr>
                <w:rFonts w:hint="eastAsia"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对于AAO生物池（厌氧段/缺氧段）和污泥浓缩池、脱水机房采用透明有机玻璃进行立面密封废气经集气管道收集后引入生物除臭系统处理后经15m排气筒（DA002）排放。本次废气治理措施效率参考《封丘县污水处理厂地表水V类</w:t>
            </w:r>
            <w:r>
              <w:rPr>
                <w:rFonts w:hint="eastAsia" w:ascii="Times New Roman"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总氮除外</w:t>
            </w:r>
            <w:r>
              <w:rPr>
                <w:rFonts w:hint="eastAsia" w:ascii="Times New Roman"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标准升级改造项目竣工环境保护验收监测报告表》</w:t>
            </w:r>
            <w:r>
              <w:rPr>
                <w:rFonts w:hint="default" w:ascii="Times New Roman" w:hAnsi="Times New Roman"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废气收集率按9</w:t>
            </w:r>
            <w:r>
              <w:rPr>
                <w:rFonts w:hint="default" w:ascii="Times New Roman" w:hAnsi="Times New Roman" w:cs="Times New Roman"/>
                <w:color w:val="000000"/>
                <w:kern w:val="0"/>
                <w:sz w:val="24"/>
                <w:szCs w:val="24"/>
                <w:lang w:val="en-US" w:eastAsia="zh-CN" w:bidi="ar"/>
              </w:rPr>
              <w:t>5</w:t>
            </w:r>
            <w:r>
              <w:rPr>
                <w:rFonts w:hint="default" w:ascii="Times New Roman" w:hAnsi="Times New Roman" w:eastAsia="宋体" w:cs="Times New Roman"/>
                <w:color w:val="000000"/>
                <w:kern w:val="0"/>
                <w:sz w:val="24"/>
                <w:szCs w:val="24"/>
                <w:lang w:val="en-US" w:eastAsia="zh-CN" w:bidi="ar"/>
              </w:rPr>
              <w:t>%计，</w:t>
            </w:r>
            <w:r>
              <w:rPr>
                <w:rFonts w:hint="default" w:ascii="Times New Roman" w:hAnsi="Times New Roman" w:cs="Times New Roman"/>
                <w:color w:val="000000"/>
                <w:kern w:val="0"/>
                <w:sz w:val="24"/>
                <w:szCs w:val="24"/>
                <w:lang w:val="en-US" w:eastAsia="zh-CN" w:bidi="ar"/>
              </w:rPr>
              <w:t>去除</w:t>
            </w:r>
            <w:r>
              <w:rPr>
                <w:rFonts w:hint="default" w:ascii="Times New Roman" w:hAnsi="Times New Roman" w:eastAsia="宋体" w:cs="Times New Roman"/>
                <w:color w:val="000000"/>
                <w:kern w:val="0"/>
                <w:sz w:val="24"/>
                <w:szCs w:val="24"/>
                <w:lang w:val="en-US" w:eastAsia="zh-CN" w:bidi="ar"/>
              </w:rPr>
              <w:t>效率按9</w:t>
            </w:r>
            <w:r>
              <w:rPr>
                <w:rFonts w:hint="default" w:ascii="Times New Roman" w:hAnsi="Times New Roman" w:cs="Times New Roman"/>
                <w:color w:val="000000"/>
                <w:kern w:val="0"/>
                <w:sz w:val="24"/>
                <w:szCs w:val="24"/>
                <w:lang w:val="en-US" w:eastAsia="zh-CN" w:bidi="ar"/>
              </w:rPr>
              <w:t>0</w:t>
            </w:r>
            <w:r>
              <w:rPr>
                <w:rFonts w:hint="default" w:ascii="Times New Roman" w:hAnsi="Times New Roman" w:eastAsia="宋体" w:cs="Times New Roman"/>
                <w:color w:val="000000"/>
                <w:kern w:val="0"/>
                <w:sz w:val="24"/>
                <w:szCs w:val="24"/>
                <w:lang w:val="en-US" w:eastAsia="zh-CN" w:bidi="ar"/>
              </w:rPr>
              <w:t>%计，未收集气体呈无组织面源排放。抽风收集的气体经除臭装置处理后通过15m高排气筒排放，将无组织逸散转换成有组织排放，废气量按可研设计换气量核算，根据相关资料并结合国内污水处理厂应用实例，估算拟建工程恶臭气体产生与排放情况见表</w:t>
            </w:r>
            <w:r>
              <w:rPr>
                <w:rFonts w:hint="eastAsia" w:ascii="Times New Roman" w:cs="Times New Roman"/>
                <w:color w:val="000000"/>
                <w:kern w:val="0"/>
                <w:sz w:val="24"/>
                <w:szCs w:val="24"/>
                <w:lang w:val="en-US" w:eastAsia="zh-CN" w:bidi="ar"/>
              </w:rPr>
              <w:t>4-3</w:t>
            </w:r>
            <w:r>
              <w:rPr>
                <w:rFonts w:hint="eastAsia" w:ascii="Times New Roman" w:hAnsi="Times New Roman" w:eastAsia="宋体" w:cs="Times New Roman"/>
                <w:color w:val="000000"/>
                <w:kern w:val="0"/>
                <w:sz w:val="24"/>
                <w:szCs w:val="24"/>
                <w:lang w:val="en-US" w:eastAsia="zh-CN" w:bidi="ar"/>
              </w:rPr>
              <w:t>：</w:t>
            </w:r>
          </w:p>
          <w:p w14:paraId="35F0B5B2">
            <w:pPr>
              <w:pStyle w:val="8"/>
              <w:jc w:val="center"/>
              <w:rPr>
                <w:rFonts w:hint="default" w:ascii="Times New Roman" w:hAnsi="Times New Roman" w:eastAsia="宋体" w:cs="Times New Roman"/>
                <w:b/>
                <w:bCs/>
                <w:sz w:val="21"/>
                <w:szCs w:val="21"/>
                <w:lang w:eastAsia="zh-CN"/>
              </w:rPr>
            </w:pPr>
            <w:r>
              <w:rPr>
                <w:rFonts w:hint="default" w:ascii="Times New Roman" w:hAnsi="Times New Roman" w:eastAsia="宋体" w:cs="Times New Roman"/>
                <w:b/>
                <w:bCs/>
                <w:sz w:val="21"/>
                <w:szCs w:val="21"/>
              </w:rPr>
              <w:t xml:space="preserve">表 </w:t>
            </w:r>
            <w:r>
              <w:rPr>
                <w:rFonts w:hint="default" w:ascii="Times New Roman" w:hAnsi="Times New Roman" w:eastAsia="宋体" w:cs="Times New Roman"/>
                <w:b/>
                <w:bCs/>
                <w:sz w:val="21"/>
                <w:szCs w:val="21"/>
              </w:rPr>
              <w:fldChar w:fldCharType="begin"/>
            </w:r>
            <w:r>
              <w:rPr>
                <w:rFonts w:hint="default" w:ascii="Times New Roman" w:hAnsi="Times New Roman" w:eastAsia="宋体" w:cs="Times New Roman"/>
                <w:b/>
                <w:bCs/>
                <w:sz w:val="21"/>
                <w:szCs w:val="21"/>
              </w:rPr>
              <w:instrText xml:space="preserve"> STYLEREF 1 \s \* ARABIC </w:instrText>
            </w:r>
            <w:r>
              <w:rPr>
                <w:rFonts w:hint="default" w:ascii="Times New Roman" w:hAnsi="Times New Roman" w:eastAsia="宋体" w:cs="Times New Roman"/>
                <w:b/>
                <w:bCs/>
                <w:sz w:val="21"/>
                <w:szCs w:val="21"/>
              </w:rPr>
              <w:fldChar w:fldCharType="separate"/>
            </w:r>
            <w:r>
              <w:rPr>
                <w:rFonts w:hint="default" w:ascii="Times New Roman" w:hAnsi="Times New Roman" w:eastAsia="宋体" w:cs="Times New Roman"/>
                <w:b/>
                <w:bCs/>
                <w:sz w:val="21"/>
                <w:szCs w:val="21"/>
              </w:rPr>
              <w:t>4</w:t>
            </w:r>
            <w:r>
              <w:rPr>
                <w:rFonts w:hint="default" w:ascii="Times New Roman" w:hAnsi="Times New Roman" w:eastAsia="宋体" w:cs="Times New Roman"/>
                <w:b/>
                <w:bCs/>
                <w:sz w:val="21"/>
                <w:szCs w:val="21"/>
              </w:rPr>
              <w:fldChar w:fldCharType="end"/>
            </w:r>
            <w:r>
              <w:rPr>
                <w:rFonts w:hint="default" w:ascii="Times New Roman" w:hAnsi="Times New Roman" w:eastAsia="宋体" w:cs="Times New Roman"/>
                <w:b/>
                <w:bCs/>
                <w:sz w:val="21"/>
                <w:szCs w:val="21"/>
                <w:lang w:eastAsia="zh-CN"/>
              </w:rPr>
              <w:t>-</w:t>
            </w:r>
            <w:r>
              <w:rPr>
                <w:rFonts w:hint="eastAsia" w:ascii="Times New Roman" w:hAnsi="Times New Roman" w:eastAsia="宋体" w:cs="Times New Roman"/>
                <w:b/>
                <w:bCs/>
                <w:sz w:val="21"/>
                <w:szCs w:val="21"/>
                <w:lang w:val="en-US" w:eastAsia="zh-CN"/>
              </w:rPr>
              <w:t>3</w:t>
            </w:r>
            <w:r>
              <w:rPr>
                <w:rFonts w:hint="default" w:ascii="Times New Roman" w:hAnsi="Times New Roman" w:eastAsia="宋体" w:cs="Times New Roman"/>
                <w:b/>
                <w:bCs/>
                <w:sz w:val="21"/>
                <w:szCs w:val="21"/>
                <w:lang w:eastAsia="zh-CN"/>
              </w:rPr>
              <w:t>工程废气产生及排放情况</w:t>
            </w:r>
          </w:p>
          <w:tbl>
            <w:tblPr>
              <w:tblStyle w:val="15"/>
              <w:tblW w:w="79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9"/>
              <w:gridCol w:w="1515"/>
              <w:gridCol w:w="960"/>
              <w:gridCol w:w="914"/>
              <w:gridCol w:w="914"/>
              <w:gridCol w:w="1020"/>
              <w:gridCol w:w="963"/>
              <w:gridCol w:w="1008"/>
            </w:tblGrid>
            <w:tr w14:paraId="7D8E6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CFC63">
                  <w:pPr>
                    <w:pStyle w:val="25"/>
                    <w:bidi w:val="0"/>
                    <w:rPr>
                      <w:rFonts w:hint="default" w:ascii="Times New Roman" w:hAnsi="Times New Roman" w:cs="Times New Roman"/>
                    </w:rPr>
                  </w:pPr>
                  <w:r>
                    <w:rPr>
                      <w:rFonts w:hint="default" w:ascii="Times New Roman" w:hAnsi="Times New Roman" w:cs="Times New Roman"/>
                      <w:lang w:val="en-US" w:eastAsia="zh-CN"/>
                    </w:rPr>
                    <w:t>污染物</w:t>
                  </w:r>
                </w:p>
              </w:tc>
              <w:tc>
                <w:tcPr>
                  <w:tcW w:w="9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E28D6">
                  <w:pPr>
                    <w:pStyle w:val="25"/>
                    <w:bidi w:val="0"/>
                    <w:rPr>
                      <w:rFonts w:hint="default" w:ascii="Times New Roman" w:hAnsi="Times New Roman" w:cs="Times New Roman"/>
                    </w:rPr>
                  </w:pPr>
                  <w:r>
                    <w:rPr>
                      <w:rFonts w:hint="default" w:ascii="Times New Roman" w:hAnsi="Times New Roman" w:cs="Times New Roman"/>
                      <w:lang w:val="en-US" w:eastAsia="zh-CN"/>
                    </w:rPr>
                    <w:t>构筑物名称</w:t>
                  </w:r>
                </w:p>
              </w:tc>
              <w:tc>
                <w:tcPr>
                  <w:tcW w:w="6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064F53">
                  <w:pPr>
                    <w:pStyle w:val="25"/>
                    <w:bidi w:val="0"/>
                    <w:rPr>
                      <w:rFonts w:hint="default" w:ascii="Times New Roman" w:hAnsi="Times New Roman" w:cs="Times New Roman"/>
                    </w:rPr>
                  </w:pPr>
                  <w:r>
                    <w:rPr>
                      <w:rFonts w:hint="default" w:ascii="Times New Roman" w:hAnsi="Times New Roman" w:cs="Times New Roman"/>
                      <w:lang w:val="en-US" w:eastAsia="zh-CN"/>
                    </w:rPr>
                    <w:t>单位</w:t>
                  </w:r>
                </w:p>
              </w:tc>
              <w:tc>
                <w:tcPr>
                  <w:tcW w:w="2398"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62790">
                  <w:pPr>
                    <w:pStyle w:val="25"/>
                    <w:bidi w:val="0"/>
                    <w:rPr>
                      <w:rFonts w:hint="default" w:ascii="Times New Roman" w:hAnsi="Times New Roman" w:eastAsia="宋体" w:cs="Times New Roman"/>
                      <w:lang w:val="en-US" w:eastAsia="zh-CN"/>
                    </w:rPr>
                  </w:pPr>
                  <w:r>
                    <w:rPr>
                      <w:rFonts w:hint="default" w:ascii="Times New Roman" w:hAnsi="Times New Roman" w:cs="Times New Roman"/>
                      <w:lang w:val="en-US" w:eastAsia="zh-CN"/>
                    </w:rPr>
                    <w:t>产臭单元</w:t>
                  </w:r>
                </w:p>
              </w:tc>
              <w:tc>
                <w:tcPr>
                  <w:tcW w:w="63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4747">
                  <w:pPr>
                    <w:pStyle w:val="25"/>
                    <w:bidi w:val="0"/>
                    <w:rPr>
                      <w:rFonts w:hint="default" w:ascii="Times New Roman" w:hAnsi="Times New Roman" w:cs="Times New Roman"/>
                    </w:rPr>
                  </w:pPr>
                  <w:r>
                    <w:rPr>
                      <w:rFonts w:hint="default" w:ascii="Times New Roman" w:hAnsi="Times New Roman" w:cs="Times New Roman"/>
                      <w:lang w:val="en-US" w:eastAsia="zh-CN"/>
                    </w:rPr>
                    <w:t>总计</w:t>
                  </w:r>
                </w:p>
              </w:tc>
            </w:tr>
            <w:tr w14:paraId="5D13E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C1D04">
                  <w:pPr>
                    <w:pStyle w:val="25"/>
                    <w:bidi w:val="0"/>
                    <w:rPr>
                      <w:rFonts w:hint="default" w:ascii="Times New Roman" w:hAnsi="Times New Roman" w:cs="Times New Roman"/>
                    </w:rPr>
                  </w:pPr>
                </w:p>
              </w:tc>
              <w:tc>
                <w:tcPr>
                  <w:tcW w:w="9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52110">
                  <w:pPr>
                    <w:pStyle w:val="25"/>
                    <w:bidi w:val="0"/>
                    <w:rPr>
                      <w:rFonts w:hint="default" w:ascii="Times New Roman" w:hAnsi="Times New Roman" w:cs="Times New Roman"/>
                    </w:rPr>
                  </w:pPr>
                </w:p>
              </w:tc>
              <w:tc>
                <w:tcPr>
                  <w:tcW w:w="6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A5599">
                  <w:pPr>
                    <w:pStyle w:val="25"/>
                    <w:bidi w:val="0"/>
                    <w:rPr>
                      <w:rFonts w:hint="default" w:ascii="Times New Roman" w:hAnsi="Times New Roman" w:cs="Times New Roman"/>
                    </w:rPr>
                  </w:pP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5B9BF">
                  <w:pPr>
                    <w:pStyle w:val="25"/>
                    <w:bidi w:val="0"/>
                    <w:rPr>
                      <w:rFonts w:hint="default" w:ascii="Times New Roman" w:hAnsi="Times New Roman" w:cs="Times New Roman"/>
                    </w:rPr>
                  </w:pPr>
                  <w:r>
                    <w:rPr>
                      <w:rFonts w:hint="default" w:ascii="Times New Roman" w:hAnsi="Times New Roman" w:cs="Times New Roman"/>
                      <w:lang w:val="en-US" w:eastAsia="zh-CN"/>
                    </w:rPr>
                    <w:t>污泥脱水机房</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F6CB1">
                  <w:pPr>
                    <w:pStyle w:val="25"/>
                    <w:bidi w:val="0"/>
                    <w:rPr>
                      <w:rFonts w:hint="default" w:ascii="Times New Roman" w:hAnsi="Times New Roman" w:cs="Times New Roman"/>
                    </w:rPr>
                  </w:pPr>
                  <w:r>
                    <w:rPr>
                      <w:rFonts w:hint="default" w:ascii="Times New Roman" w:hAnsi="Times New Roman" w:cs="Times New Roman"/>
                      <w:lang w:val="en-US" w:eastAsia="zh-CN"/>
                    </w:rPr>
                    <w:t>生物池</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E7904">
                  <w:pPr>
                    <w:pStyle w:val="25"/>
                    <w:bidi w:val="0"/>
                    <w:rPr>
                      <w:rFonts w:hint="default" w:ascii="Times New Roman" w:hAnsi="Times New Roman" w:cs="Times New Roman"/>
                    </w:rPr>
                  </w:pPr>
                  <w:r>
                    <w:rPr>
                      <w:rFonts w:hint="default" w:ascii="Times New Roman" w:hAnsi="Times New Roman" w:cs="Times New Roman"/>
                      <w:lang w:val="en-US" w:eastAsia="zh-CN"/>
                    </w:rPr>
                    <w:t>污泥浓缩池</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8B111">
                  <w:pPr>
                    <w:pStyle w:val="25"/>
                    <w:bidi w:val="0"/>
                    <w:rPr>
                      <w:rFonts w:hint="default" w:ascii="Times New Roman" w:hAnsi="Times New Roman" w:cs="Times New Roman"/>
                    </w:rPr>
                  </w:pPr>
                  <w:r>
                    <w:rPr>
                      <w:rFonts w:hint="default" w:ascii="Times New Roman" w:hAnsi="Times New Roman" w:cs="Times New Roman"/>
                      <w:lang w:val="en-US" w:eastAsia="zh-CN"/>
                    </w:rPr>
                    <w:t>合计</w:t>
                  </w:r>
                </w:p>
              </w:tc>
              <w:tc>
                <w:tcPr>
                  <w:tcW w:w="6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749A8">
                  <w:pPr>
                    <w:pStyle w:val="25"/>
                    <w:bidi w:val="0"/>
                    <w:rPr>
                      <w:rFonts w:hint="default" w:ascii="Times New Roman" w:hAnsi="Times New Roman" w:cs="Times New Roman"/>
                    </w:rPr>
                  </w:pPr>
                </w:p>
              </w:tc>
            </w:tr>
            <w:tr w14:paraId="2B3D8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24C72">
                  <w:pPr>
                    <w:pStyle w:val="25"/>
                    <w:bidi w:val="0"/>
                    <w:rPr>
                      <w:rFonts w:hint="default" w:ascii="Times New Roman" w:hAnsi="Times New Roman" w:cs="Times New Roman"/>
                    </w:rPr>
                  </w:pPr>
                  <w:r>
                    <w:rPr>
                      <w:rFonts w:hint="default" w:ascii="Times New Roman" w:hAnsi="Times New Roman" w:cs="Times New Roman"/>
                      <w:lang w:val="en-US" w:eastAsia="zh-CN"/>
                    </w:rPr>
                    <w:t>计算面积</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87776">
                  <w:pPr>
                    <w:pStyle w:val="25"/>
                    <w:bidi w:val="0"/>
                    <w:rPr>
                      <w:rFonts w:hint="default" w:ascii="Times New Roman" w:hAnsi="Times New Roman" w:eastAsia="宋体" w:cs="Times New Roman"/>
                      <w:lang w:val="en-US" w:eastAsia="zh-CN"/>
                    </w:rPr>
                  </w:pPr>
                  <w:r>
                    <w:rPr>
                      <w:rFonts w:hint="eastAsia" w:ascii="Times New Roman" w:hAnsi="Times New Roman" w:cs="Times New Roman"/>
                      <w:lang w:val="en-US" w:eastAsia="zh-CN"/>
                    </w:rPr>
                    <w:t>m</w:t>
                  </w:r>
                  <w:r>
                    <w:rPr>
                      <w:rFonts w:hint="eastAsia" w:ascii="Times New Roman" w:hAnsi="Times New Roman" w:cs="Times New Roman"/>
                      <w:vertAlign w:val="superscript"/>
                      <w:lang w:val="en-US" w:eastAsia="zh-CN"/>
                    </w:rPr>
                    <w:t>2</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AB79C">
                  <w:pPr>
                    <w:pStyle w:val="25"/>
                    <w:bidi w:val="0"/>
                    <w:rPr>
                      <w:rFonts w:hint="default" w:ascii="Times New Roman" w:hAnsi="Times New Roman" w:cs="Times New Roman"/>
                    </w:rPr>
                  </w:pPr>
                  <w:r>
                    <w:rPr>
                      <w:rFonts w:hint="default" w:ascii="Times New Roman" w:hAnsi="Times New Roman" w:cs="Times New Roman"/>
                      <w:lang w:val="en-US" w:eastAsia="zh-CN"/>
                    </w:rPr>
                    <w:t>225</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D6D5B">
                  <w:pPr>
                    <w:pStyle w:val="25"/>
                    <w:bidi w:val="0"/>
                    <w:rPr>
                      <w:rFonts w:hint="default" w:ascii="Times New Roman" w:hAnsi="Times New Roman" w:cs="Times New Roman"/>
                    </w:rPr>
                  </w:pPr>
                  <w:r>
                    <w:rPr>
                      <w:rFonts w:hint="default" w:ascii="Times New Roman" w:hAnsi="Times New Roman" w:cs="Times New Roman"/>
                      <w:lang w:val="en-US" w:eastAsia="zh-CN"/>
                    </w:rPr>
                    <w:t>723.03</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A0274">
                  <w:pPr>
                    <w:pStyle w:val="25"/>
                    <w:bidi w:val="0"/>
                    <w:rPr>
                      <w:rFonts w:hint="default" w:ascii="Times New Roman" w:hAnsi="Times New Roman" w:cs="Times New Roman"/>
                    </w:rPr>
                  </w:pPr>
                  <w:r>
                    <w:rPr>
                      <w:rFonts w:hint="default" w:ascii="Times New Roman" w:hAnsi="Times New Roman" w:cs="Times New Roman"/>
                      <w:lang w:val="en-US" w:eastAsia="zh-CN"/>
                    </w:rPr>
                    <w:t>33.16625</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E5637">
                  <w:pPr>
                    <w:pStyle w:val="25"/>
                    <w:bidi w:val="0"/>
                    <w:rPr>
                      <w:rFonts w:hint="default" w:ascii="Times New Roman" w:hAnsi="Times New Roman" w:cs="Times New Roman"/>
                    </w:rPr>
                  </w:pPr>
                  <w:r>
                    <w:rPr>
                      <w:rFonts w:hint="default" w:ascii="Times New Roman" w:hAnsi="Times New Roman" w:cs="Times New Roman"/>
                      <w:lang w:val="en-US" w:eastAsia="zh-CN"/>
                    </w:rPr>
                    <w:t>981.20</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01C5">
                  <w:pPr>
                    <w:pStyle w:val="25"/>
                    <w:bidi w:val="0"/>
                    <w:rPr>
                      <w:rFonts w:hint="default" w:ascii="Times New Roman" w:hAnsi="Times New Roman" w:cs="Times New Roman"/>
                    </w:rPr>
                  </w:pPr>
                  <w:r>
                    <w:rPr>
                      <w:rFonts w:hint="default" w:ascii="Times New Roman" w:hAnsi="Times New Roman" w:cs="Times New Roman"/>
                      <w:lang w:val="en-US" w:eastAsia="zh-CN"/>
                    </w:rPr>
                    <w:t>1124.21</w:t>
                  </w:r>
                </w:p>
              </w:tc>
            </w:tr>
            <w:tr w14:paraId="0B5A7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13CD8">
                  <w:pPr>
                    <w:pStyle w:val="25"/>
                    <w:bidi w:val="0"/>
                    <w:rPr>
                      <w:rFonts w:hint="default" w:ascii="Times New Roman" w:hAnsi="Times New Roman" w:cs="Times New Roman"/>
                    </w:rPr>
                  </w:pPr>
                  <w:r>
                    <w:rPr>
                      <w:rFonts w:hint="default" w:ascii="Times New Roman" w:hAnsi="Times New Roman" w:cs="Times New Roman"/>
                      <w:lang w:val="en-US" w:eastAsia="zh-CN"/>
                    </w:rPr>
                    <w:t>NH</w:t>
                  </w:r>
                  <w:r>
                    <w:rPr>
                      <w:rFonts w:hint="default" w:ascii="Times New Roman" w:hAnsi="Times New Roman" w:cs="Times New Roman"/>
                      <w:vertAlign w:val="subscript"/>
                      <w:lang w:val="en-US" w:eastAsia="zh-CN"/>
                    </w:rPr>
                    <w:t>3</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44F61">
                  <w:pPr>
                    <w:pStyle w:val="25"/>
                    <w:bidi w:val="0"/>
                    <w:rPr>
                      <w:rFonts w:hint="default" w:ascii="Times New Roman" w:hAnsi="Times New Roman" w:cs="Times New Roman"/>
                    </w:rPr>
                  </w:pPr>
                  <w:r>
                    <w:rPr>
                      <w:rFonts w:hint="default" w:ascii="Times New Roman" w:hAnsi="Times New Roman" w:cs="Times New Roman"/>
                      <w:lang w:val="en-US" w:eastAsia="zh-CN"/>
                    </w:rPr>
                    <w:t>源强</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CA71C">
                  <w:pPr>
                    <w:pStyle w:val="25"/>
                    <w:bidi w:val="0"/>
                    <w:rPr>
                      <w:rFonts w:hint="default" w:ascii="Times New Roman" w:hAnsi="Times New Roman" w:cs="Times New Roman"/>
                    </w:rPr>
                  </w:pPr>
                  <w:r>
                    <w:rPr>
                      <w:rFonts w:hint="default" w:ascii="Times New Roman" w:hAnsi="Times New Roman" w:cs="Times New Roman"/>
                      <w:lang w:val="en-US" w:eastAsia="zh-CN"/>
                    </w:rPr>
                    <w:t>mg/s·</w:t>
                  </w:r>
                  <w:r>
                    <w:rPr>
                      <w:rFonts w:hint="eastAsia" w:ascii="Times New Roman" w:hAnsi="Times New Roman" w:cs="Times New Roman"/>
                      <w:lang w:val="en-US" w:eastAsia="zh-CN"/>
                    </w:rPr>
                    <w:t>m</w:t>
                  </w:r>
                  <w:r>
                    <w:rPr>
                      <w:rFonts w:hint="eastAsia" w:ascii="Times New Roman" w:hAnsi="Times New Roman" w:cs="Times New Roman"/>
                      <w:vertAlign w:val="superscript"/>
                      <w:lang w:val="en-US" w:eastAsia="zh-CN"/>
                    </w:rPr>
                    <w:t>2</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5C028">
                  <w:pPr>
                    <w:pStyle w:val="25"/>
                    <w:bidi w:val="0"/>
                    <w:rPr>
                      <w:rFonts w:hint="default" w:ascii="Times New Roman" w:hAnsi="Times New Roman" w:cs="Times New Roman"/>
                    </w:rPr>
                  </w:pPr>
                  <w:r>
                    <w:rPr>
                      <w:rFonts w:hint="default" w:ascii="Times New Roman" w:hAnsi="Times New Roman" w:cs="Times New Roman"/>
                      <w:lang w:val="en-US" w:eastAsia="zh-CN"/>
                    </w:rPr>
                    <w:t>0.00983</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50011">
                  <w:pPr>
                    <w:pStyle w:val="25"/>
                    <w:bidi w:val="0"/>
                    <w:rPr>
                      <w:rFonts w:hint="default" w:ascii="Times New Roman" w:hAnsi="Times New Roman" w:cs="Times New Roman"/>
                    </w:rPr>
                  </w:pPr>
                  <w:r>
                    <w:rPr>
                      <w:rFonts w:hint="default" w:ascii="Times New Roman" w:hAnsi="Times New Roman" w:cs="Times New Roman"/>
                      <w:lang w:val="en-US" w:eastAsia="zh-CN"/>
                    </w:rPr>
                    <w:t>0.00741</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F157A">
                  <w:pPr>
                    <w:pStyle w:val="25"/>
                    <w:bidi w:val="0"/>
                    <w:rPr>
                      <w:rFonts w:hint="default" w:ascii="Times New Roman" w:hAnsi="Times New Roman" w:cs="Times New Roman"/>
                    </w:rPr>
                  </w:pPr>
                  <w:r>
                    <w:rPr>
                      <w:rFonts w:hint="default" w:ascii="Times New Roman" w:hAnsi="Times New Roman" w:cs="Times New Roman"/>
                      <w:lang w:val="en-US" w:eastAsia="zh-CN"/>
                    </w:rPr>
                    <w:t>0.04919</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831B7">
                  <w:pPr>
                    <w:pStyle w:val="25"/>
                    <w:bidi w:val="0"/>
                    <w:rPr>
                      <w:rFonts w:hint="default" w:ascii="Times New Roman" w:hAnsi="Times New Roman" w:eastAsia="宋体" w:cs="Times New Roman"/>
                      <w:lang w:val="en-US" w:eastAsia="zh-CN"/>
                    </w:rPr>
                  </w:pPr>
                  <w:r>
                    <w:rPr>
                      <w:rFonts w:hint="eastAsia" w:ascii="Times New Roman" w:cs="Times New Roman"/>
                      <w:lang w:val="en-US" w:eastAsia="zh-CN"/>
                    </w:rPr>
                    <w:t>/</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CB70F">
                  <w:pPr>
                    <w:pStyle w:val="25"/>
                    <w:bidi w:val="0"/>
                    <w:rPr>
                      <w:rFonts w:hint="eastAsia" w:ascii="Times New Roman" w:hAnsi="Times New Roman" w:eastAsia="宋体" w:cs="Times New Roman"/>
                      <w:lang w:val="en-US" w:eastAsia="zh-CN"/>
                    </w:rPr>
                  </w:pPr>
                  <w:r>
                    <w:rPr>
                      <w:rFonts w:hint="eastAsia" w:ascii="Times New Roman" w:cs="Times New Roman"/>
                      <w:lang w:val="en-US" w:eastAsia="zh-CN"/>
                    </w:rPr>
                    <w:t>/</w:t>
                  </w:r>
                </w:p>
              </w:tc>
            </w:tr>
            <w:tr w14:paraId="1976A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3FAFC">
                  <w:pPr>
                    <w:pStyle w:val="25"/>
                    <w:bidi w:val="0"/>
                    <w:rPr>
                      <w:rFonts w:hint="default" w:ascii="Times New Roman" w:hAnsi="Times New Roman" w:cs="Times New Roman"/>
                    </w:rPr>
                  </w:pPr>
                </w:p>
              </w:tc>
              <w:tc>
                <w:tcPr>
                  <w:tcW w:w="9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A6AD28">
                  <w:pPr>
                    <w:pStyle w:val="25"/>
                    <w:bidi w:val="0"/>
                    <w:rPr>
                      <w:rFonts w:hint="default" w:ascii="Times New Roman" w:hAnsi="Times New Roman" w:cs="Times New Roman"/>
                    </w:rPr>
                  </w:pPr>
                  <w:r>
                    <w:rPr>
                      <w:rFonts w:hint="default" w:ascii="Times New Roman" w:hAnsi="Times New Roman" w:cs="Times New Roman"/>
                      <w:lang w:val="en-US" w:eastAsia="zh-CN"/>
                    </w:rPr>
                    <w:t>产生量</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F2C01">
                  <w:pPr>
                    <w:pStyle w:val="25"/>
                    <w:bidi w:val="0"/>
                    <w:rPr>
                      <w:rFonts w:hint="default" w:ascii="Times New Roman" w:hAnsi="Times New Roman" w:cs="Times New Roman"/>
                    </w:rPr>
                  </w:pPr>
                  <w:r>
                    <w:rPr>
                      <w:rFonts w:hint="default" w:ascii="Times New Roman" w:hAnsi="Times New Roman" w:cs="Times New Roman"/>
                      <w:lang w:val="en-US" w:eastAsia="zh-CN"/>
                    </w:rPr>
                    <w:t>kg/h</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B2E93">
                  <w:pPr>
                    <w:pStyle w:val="25"/>
                    <w:bidi w:val="0"/>
                    <w:rPr>
                      <w:rFonts w:hint="default" w:ascii="Times New Roman" w:hAnsi="Times New Roman" w:cs="Times New Roman"/>
                    </w:rPr>
                  </w:pPr>
                  <w:r>
                    <w:rPr>
                      <w:rFonts w:hint="default" w:ascii="Times New Roman" w:hAnsi="Times New Roman" w:cs="Times New Roman"/>
                      <w:lang w:val="en-US" w:eastAsia="zh-CN"/>
                    </w:rPr>
                    <w:t>0.00796</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E82F6">
                  <w:pPr>
                    <w:pStyle w:val="25"/>
                    <w:bidi w:val="0"/>
                    <w:rPr>
                      <w:rFonts w:hint="default" w:ascii="Times New Roman" w:hAnsi="Times New Roman" w:cs="Times New Roman"/>
                    </w:rPr>
                  </w:pPr>
                  <w:r>
                    <w:rPr>
                      <w:rFonts w:hint="default" w:ascii="Times New Roman" w:hAnsi="Times New Roman" w:cs="Times New Roman"/>
                      <w:lang w:val="en-US" w:eastAsia="zh-CN"/>
                    </w:rPr>
                    <w:t>0.01929</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B8CD9">
                  <w:pPr>
                    <w:pStyle w:val="25"/>
                    <w:bidi w:val="0"/>
                    <w:rPr>
                      <w:rFonts w:hint="default" w:ascii="Times New Roman" w:hAnsi="Times New Roman" w:cs="Times New Roman"/>
                    </w:rPr>
                  </w:pPr>
                  <w:r>
                    <w:rPr>
                      <w:rFonts w:hint="default" w:ascii="Times New Roman" w:hAnsi="Times New Roman" w:cs="Times New Roman"/>
                      <w:lang w:val="en-US" w:eastAsia="zh-CN"/>
                    </w:rPr>
                    <w:t>0.00587</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CB371">
                  <w:pPr>
                    <w:pStyle w:val="25"/>
                    <w:bidi w:val="0"/>
                    <w:rPr>
                      <w:rFonts w:hint="default" w:ascii="Times New Roman" w:hAnsi="Times New Roman" w:cs="Times New Roman"/>
                    </w:rPr>
                  </w:pPr>
                  <w:r>
                    <w:rPr>
                      <w:rFonts w:hint="default" w:ascii="Times New Roman" w:hAnsi="Times New Roman" w:cs="Times New Roman"/>
                      <w:lang w:val="en-US" w:eastAsia="zh-CN"/>
                    </w:rPr>
                    <w:t>0.03312</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788E4">
                  <w:pPr>
                    <w:pStyle w:val="25"/>
                    <w:bidi w:val="0"/>
                    <w:rPr>
                      <w:rFonts w:hint="default" w:ascii="Times New Roman" w:hAnsi="Times New Roman" w:cs="Times New Roman"/>
                    </w:rPr>
                  </w:pPr>
                  <w:r>
                    <w:rPr>
                      <w:rFonts w:hint="default" w:ascii="Times New Roman" w:hAnsi="Times New Roman" w:cs="Times New Roman"/>
                      <w:lang w:val="en-US" w:eastAsia="zh-CN"/>
                    </w:rPr>
                    <w:t>0.03606</w:t>
                  </w:r>
                </w:p>
              </w:tc>
            </w:tr>
            <w:tr w14:paraId="2A612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E5B62">
                  <w:pPr>
                    <w:pStyle w:val="25"/>
                    <w:bidi w:val="0"/>
                    <w:rPr>
                      <w:rFonts w:hint="default" w:ascii="Times New Roman" w:hAnsi="Times New Roman" w:cs="Times New Roman"/>
                    </w:rPr>
                  </w:pPr>
                </w:p>
              </w:tc>
              <w:tc>
                <w:tcPr>
                  <w:tcW w:w="9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10D5A">
                  <w:pPr>
                    <w:pStyle w:val="25"/>
                    <w:bidi w:val="0"/>
                    <w:rPr>
                      <w:rFonts w:hint="default" w:ascii="Times New Roman" w:hAnsi="Times New Roman" w:cs="Times New Roman"/>
                    </w:rPr>
                  </w:pP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C426F">
                  <w:pPr>
                    <w:pStyle w:val="25"/>
                    <w:bidi w:val="0"/>
                    <w:rPr>
                      <w:rFonts w:hint="default" w:ascii="Times New Roman" w:hAnsi="Times New Roman" w:cs="Times New Roman"/>
                    </w:rPr>
                  </w:pPr>
                  <w:r>
                    <w:rPr>
                      <w:rFonts w:hint="default" w:ascii="Times New Roman" w:hAnsi="Times New Roman" w:cs="Times New Roman"/>
                      <w:lang w:val="en-US" w:eastAsia="zh-CN"/>
                    </w:rPr>
                    <w:t>t/a</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14091">
                  <w:pPr>
                    <w:pStyle w:val="25"/>
                    <w:bidi w:val="0"/>
                    <w:rPr>
                      <w:rFonts w:hint="default" w:ascii="Times New Roman" w:hAnsi="Times New Roman" w:cs="Times New Roman"/>
                    </w:rPr>
                  </w:pPr>
                  <w:r>
                    <w:rPr>
                      <w:rFonts w:hint="default" w:ascii="Times New Roman" w:hAnsi="Times New Roman" w:cs="Times New Roman"/>
                      <w:lang w:val="en-US" w:eastAsia="zh-CN"/>
                    </w:rPr>
                    <w:t>0.06975</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FEA76">
                  <w:pPr>
                    <w:pStyle w:val="25"/>
                    <w:bidi w:val="0"/>
                    <w:rPr>
                      <w:rFonts w:hint="default" w:ascii="Times New Roman" w:hAnsi="Times New Roman" w:cs="Times New Roman"/>
                    </w:rPr>
                  </w:pPr>
                  <w:r>
                    <w:rPr>
                      <w:rFonts w:hint="default" w:ascii="Times New Roman" w:hAnsi="Times New Roman" w:cs="Times New Roman"/>
                      <w:lang w:val="en-US" w:eastAsia="zh-CN"/>
                    </w:rPr>
                    <w:t>0.16896</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7F4FC">
                  <w:pPr>
                    <w:pStyle w:val="25"/>
                    <w:bidi w:val="0"/>
                    <w:rPr>
                      <w:rFonts w:hint="default" w:ascii="Times New Roman" w:hAnsi="Times New Roman" w:cs="Times New Roman"/>
                    </w:rPr>
                  </w:pPr>
                  <w:r>
                    <w:rPr>
                      <w:rFonts w:hint="default" w:ascii="Times New Roman" w:hAnsi="Times New Roman" w:cs="Times New Roman"/>
                      <w:lang w:val="en-US" w:eastAsia="zh-CN"/>
                    </w:rPr>
                    <w:t>0.05145</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17182">
                  <w:pPr>
                    <w:pStyle w:val="25"/>
                    <w:bidi w:val="0"/>
                    <w:rPr>
                      <w:rFonts w:hint="default" w:ascii="Times New Roman" w:hAnsi="Times New Roman" w:cs="Times New Roman"/>
                    </w:rPr>
                  </w:pPr>
                  <w:r>
                    <w:rPr>
                      <w:rFonts w:hint="default" w:ascii="Times New Roman" w:hAnsi="Times New Roman" w:cs="Times New Roman"/>
                      <w:lang w:val="en-US" w:eastAsia="zh-CN"/>
                    </w:rPr>
                    <w:t>0.29016</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F11C2">
                  <w:pPr>
                    <w:pStyle w:val="25"/>
                    <w:bidi w:val="0"/>
                    <w:rPr>
                      <w:rFonts w:hint="default" w:ascii="Times New Roman" w:hAnsi="Times New Roman" w:cs="Times New Roman"/>
                    </w:rPr>
                  </w:pPr>
                  <w:r>
                    <w:rPr>
                      <w:rFonts w:hint="default" w:ascii="Times New Roman" w:hAnsi="Times New Roman" w:cs="Times New Roman"/>
                      <w:lang w:val="en-US" w:eastAsia="zh-CN"/>
                    </w:rPr>
                    <w:t>0.31592</w:t>
                  </w:r>
                </w:p>
              </w:tc>
            </w:tr>
            <w:tr w14:paraId="114CD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6C5A7">
                  <w:pPr>
                    <w:pStyle w:val="25"/>
                    <w:bidi w:val="0"/>
                    <w:rPr>
                      <w:rFonts w:hint="default" w:ascii="Times New Roman" w:hAnsi="Times New Roman" w:cs="Times New Roman"/>
                    </w:rPr>
                  </w:pPr>
                </w:p>
              </w:tc>
              <w:tc>
                <w:tcPr>
                  <w:tcW w:w="15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5AB102">
                  <w:pPr>
                    <w:pStyle w:val="25"/>
                    <w:bidi w:val="0"/>
                    <w:rPr>
                      <w:rFonts w:hint="default" w:ascii="Times New Roman" w:hAnsi="Times New Roman" w:cs="Times New Roman"/>
                    </w:rPr>
                  </w:pPr>
                  <w:r>
                    <w:rPr>
                      <w:rFonts w:hint="default" w:ascii="Times New Roman" w:hAnsi="Times New Roman" w:cs="Times New Roman"/>
                      <w:lang w:val="en-US" w:eastAsia="zh-CN"/>
                    </w:rPr>
                    <w:t>收集率</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119FC">
                  <w:pPr>
                    <w:pStyle w:val="25"/>
                    <w:bidi w:val="0"/>
                    <w:rPr>
                      <w:rFonts w:hint="default" w:ascii="Times New Roman" w:hAnsi="Times New Roman" w:cs="Times New Roman"/>
                    </w:rPr>
                  </w:pPr>
                  <w:r>
                    <w:rPr>
                      <w:rFonts w:hint="default" w:ascii="Times New Roman" w:hAnsi="Times New Roman" w:cs="Times New Roman"/>
                      <w:lang w:val="en-US" w:eastAsia="zh-CN"/>
                    </w:rPr>
                    <w:t>95%</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B7754">
                  <w:pPr>
                    <w:pStyle w:val="25"/>
                    <w:bidi w:val="0"/>
                    <w:rPr>
                      <w:rFonts w:hint="default" w:ascii="Times New Roman" w:hAnsi="Times New Roman" w:cs="Times New Roman"/>
                    </w:rPr>
                  </w:pPr>
                  <w:r>
                    <w:rPr>
                      <w:rFonts w:hint="default" w:ascii="Times New Roman" w:hAnsi="Times New Roman" w:cs="Times New Roman"/>
                      <w:lang w:val="en-US" w:eastAsia="zh-CN"/>
                    </w:rPr>
                    <w:t>95%</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32FA2">
                  <w:pPr>
                    <w:pStyle w:val="25"/>
                    <w:bidi w:val="0"/>
                    <w:rPr>
                      <w:rFonts w:hint="default" w:ascii="Times New Roman" w:hAnsi="Times New Roman" w:cs="Times New Roman"/>
                    </w:rPr>
                  </w:pPr>
                  <w:r>
                    <w:rPr>
                      <w:rFonts w:hint="default" w:ascii="Times New Roman" w:hAnsi="Times New Roman" w:cs="Times New Roman"/>
                      <w:lang w:val="en-US" w:eastAsia="zh-CN"/>
                    </w:rPr>
                    <w:t>95%</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E52A2">
                  <w:pPr>
                    <w:pStyle w:val="25"/>
                    <w:bidi w:val="0"/>
                    <w:rPr>
                      <w:rFonts w:hint="eastAsia" w:ascii="Times New Roman" w:hAnsi="Times New Roman" w:eastAsia="宋体" w:cs="Times New Roman"/>
                      <w:lang w:val="en-US" w:eastAsia="zh-CN"/>
                    </w:rPr>
                  </w:pPr>
                  <w:r>
                    <w:rPr>
                      <w:rFonts w:hint="eastAsia" w:ascii="Times New Roman" w:cs="Times New Roman"/>
                      <w:lang w:val="en-US" w:eastAsia="zh-CN"/>
                    </w:rPr>
                    <w:t>/</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98E47">
                  <w:pPr>
                    <w:pStyle w:val="25"/>
                    <w:bidi w:val="0"/>
                    <w:rPr>
                      <w:rFonts w:hint="eastAsia" w:ascii="Times New Roman" w:hAnsi="Times New Roman" w:eastAsia="宋体" w:cs="Times New Roman"/>
                      <w:lang w:val="en-US" w:eastAsia="zh-CN"/>
                    </w:rPr>
                  </w:pPr>
                  <w:r>
                    <w:rPr>
                      <w:rFonts w:hint="eastAsia" w:ascii="Times New Roman" w:cs="Times New Roman"/>
                      <w:lang w:val="en-US" w:eastAsia="zh-CN"/>
                    </w:rPr>
                    <w:t>/</w:t>
                  </w:r>
                </w:p>
              </w:tc>
            </w:tr>
            <w:tr w14:paraId="766A8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F88E6">
                  <w:pPr>
                    <w:pStyle w:val="25"/>
                    <w:bidi w:val="0"/>
                    <w:rPr>
                      <w:rFonts w:hint="default" w:ascii="Times New Roman" w:hAnsi="Times New Roman" w:cs="Times New Roman"/>
                    </w:rPr>
                  </w:pPr>
                </w:p>
              </w:tc>
              <w:tc>
                <w:tcPr>
                  <w:tcW w:w="15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13855">
                  <w:pPr>
                    <w:pStyle w:val="25"/>
                    <w:bidi w:val="0"/>
                    <w:rPr>
                      <w:rFonts w:hint="default" w:ascii="Times New Roman" w:hAnsi="Times New Roman" w:cs="Times New Roman"/>
                    </w:rPr>
                  </w:pPr>
                  <w:r>
                    <w:rPr>
                      <w:rFonts w:hint="default" w:ascii="Times New Roman" w:hAnsi="Times New Roman" w:cs="Times New Roman"/>
                      <w:lang w:val="en-US" w:eastAsia="zh-CN"/>
                    </w:rPr>
                    <w:t>去除效率</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ADBFA">
                  <w:pPr>
                    <w:pStyle w:val="25"/>
                    <w:bidi w:val="0"/>
                    <w:rPr>
                      <w:rFonts w:hint="default" w:ascii="Times New Roman" w:hAnsi="Times New Roman" w:cs="Times New Roman"/>
                    </w:rPr>
                  </w:pPr>
                  <w:r>
                    <w:rPr>
                      <w:rFonts w:hint="default" w:ascii="Times New Roman" w:hAnsi="Times New Roman" w:cs="Times New Roman"/>
                      <w:lang w:val="en-US" w:eastAsia="zh-CN"/>
                    </w:rPr>
                    <w:t>90%</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FF8DC">
                  <w:pPr>
                    <w:pStyle w:val="25"/>
                    <w:bidi w:val="0"/>
                    <w:rPr>
                      <w:rFonts w:hint="default" w:ascii="Times New Roman" w:hAnsi="Times New Roman" w:cs="Times New Roman"/>
                    </w:rPr>
                  </w:pPr>
                  <w:r>
                    <w:rPr>
                      <w:rFonts w:hint="default" w:ascii="Times New Roman" w:hAnsi="Times New Roman" w:cs="Times New Roman"/>
                      <w:lang w:val="en-US" w:eastAsia="zh-CN"/>
                    </w:rPr>
                    <w:t>90%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587CF">
                  <w:pPr>
                    <w:pStyle w:val="25"/>
                    <w:bidi w:val="0"/>
                    <w:rPr>
                      <w:rFonts w:hint="default" w:ascii="Times New Roman" w:hAnsi="Times New Roman" w:cs="Times New Roman"/>
                    </w:rPr>
                  </w:pPr>
                  <w:r>
                    <w:rPr>
                      <w:rFonts w:hint="default" w:ascii="Times New Roman" w:hAnsi="Times New Roman" w:cs="Times New Roman"/>
                      <w:lang w:val="en-US" w:eastAsia="zh-CN"/>
                    </w:rPr>
                    <w:t>90%</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41AA1">
                  <w:pPr>
                    <w:pStyle w:val="25"/>
                    <w:bidi w:val="0"/>
                    <w:rPr>
                      <w:rFonts w:hint="eastAsia" w:ascii="Times New Roman" w:hAnsi="Times New Roman" w:eastAsia="宋体" w:cs="Times New Roman"/>
                      <w:lang w:val="en-US" w:eastAsia="zh-CN"/>
                    </w:rPr>
                  </w:pPr>
                  <w:r>
                    <w:rPr>
                      <w:rFonts w:hint="eastAsia" w:ascii="Times New Roman" w:cs="Times New Roman"/>
                      <w:lang w:val="en-US" w:eastAsia="zh-CN"/>
                    </w:rPr>
                    <w:t>/</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744E8">
                  <w:pPr>
                    <w:pStyle w:val="25"/>
                    <w:bidi w:val="0"/>
                    <w:rPr>
                      <w:rFonts w:hint="eastAsia" w:ascii="Times New Roman" w:hAnsi="Times New Roman" w:eastAsia="宋体" w:cs="Times New Roman"/>
                      <w:lang w:val="en-US" w:eastAsia="zh-CN"/>
                    </w:rPr>
                  </w:pPr>
                  <w:r>
                    <w:rPr>
                      <w:rFonts w:hint="eastAsia" w:ascii="Times New Roman" w:cs="Times New Roman"/>
                      <w:lang w:val="en-US" w:eastAsia="zh-CN"/>
                    </w:rPr>
                    <w:t>/</w:t>
                  </w:r>
                </w:p>
              </w:tc>
            </w:tr>
            <w:tr w14:paraId="0C0B3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CA103">
                  <w:pPr>
                    <w:pStyle w:val="25"/>
                    <w:bidi w:val="0"/>
                    <w:rPr>
                      <w:rFonts w:hint="default" w:ascii="Times New Roman" w:hAnsi="Times New Roman" w:cs="Times New Roman"/>
                    </w:rPr>
                  </w:pPr>
                </w:p>
              </w:tc>
              <w:tc>
                <w:tcPr>
                  <w:tcW w:w="9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E40AE5">
                  <w:pPr>
                    <w:pStyle w:val="25"/>
                    <w:bidi w:val="0"/>
                    <w:rPr>
                      <w:rFonts w:hint="default" w:ascii="Times New Roman" w:hAnsi="Times New Roman" w:cs="Times New Roman"/>
                    </w:rPr>
                  </w:pPr>
                  <w:r>
                    <w:rPr>
                      <w:rFonts w:hint="default" w:ascii="Times New Roman" w:hAnsi="Times New Roman" w:cs="Times New Roman"/>
                      <w:lang w:val="en-US" w:eastAsia="zh-CN"/>
                    </w:rPr>
                    <w:t>有组织排放量</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5E35C">
                  <w:pPr>
                    <w:pStyle w:val="25"/>
                    <w:bidi w:val="0"/>
                    <w:rPr>
                      <w:rFonts w:hint="default" w:ascii="Times New Roman" w:hAnsi="Times New Roman" w:cs="Times New Roman"/>
                    </w:rPr>
                  </w:pPr>
                  <w:r>
                    <w:rPr>
                      <w:rFonts w:hint="default" w:ascii="Times New Roman" w:hAnsi="Times New Roman" w:cs="Times New Roman"/>
                      <w:lang w:val="en-US" w:eastAsia="zh-CN"/>
                    </w:rPr>
                    <w:t>kg/h</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85733">
                  <w:pPr>
                    <w:pStyle w:val="25"/>
                    <w:bidi w:val="0"/>
                    <w:rPr>
                      <w:rFonts w:hint="default" w:ascii="Times New Roman" w:hAnsi="Times New Roman" w:cs="Times New Roman"/>
                    </w:rPr>
                  </w:pPr>
                  <w:r>
                    <w:rPr>
                      <w:rFonts w:hint="default" w:ascii="Times New Roman" w:hAnsi="Times New Roman" w:cs="Times New Roman"/>
                      <w:lang w:val="en-US" w:eastAsia="zh-CN"/>
                    </w:rPr>
                    <w:t>0.00076</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09DD6">
                  <w:pPr>
                    <w:pStyle w:val="25"/>
                    <w:bidi w:val="0"/>
                    <w:rPr>
                      <w:rFonts w:hint="default" w:ascii="Times New Roman" w:hAnsi="Times New Roman" w:cs="Times New Roman"/>
                    </w:rPr>
                  </w:pPr>
                  <w:r>
                    <w:rPr>
                      <w:rFonts w:hint="default" w:ascii="Times New Roman" w:hAnsi="Times New Roman" w:cs="Times New Roman"/>
                      <w:lang w:val="en-US" w:eastAsia="zh-CN"/>
                    </w:rPr>
                    <w:t>0.00183</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E4D5E">
                  <w:pPr>
                    <w:pStyle w:val="25"/>
                    <w:bidi w:val="0"/>
                    <w:rPr>
                      <w:rFonts w:hint="default" w:ascii="Times New Roman" w:hAnsi="Times New Roman" w:cs="Times New Roman"/>
                    </w:rPr>
                  </w:pPr>
                  <w:r>
                    <w:rPr>
                      <w:rFonts w:hint="default" w:ascii="Times New Roman" w:hAnsi="Times New Roman" w:cs="Times New Roman"/>
                      <w:lang w:val="en-US" w:eastAsia="zh-CN"/>
                    </w:rPr>
                    <w:t>0.00056</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1D152">
                  <w:pPr>
                    <w:pStyle w:val="25"/>
                    <w:bidi w:val="0"/>
                    <w:rPr>
                      <w:rFonts w:hint="default" w:ascii="Times New Roman" w:hAnsi="Times New Roman" w:cs="Times New Roman"/>
                    </w:rPr>
                  </w:pPr>
                  <w:r>
                    <w:rPr>
                      <w:rFonts w:hint="default" w:ascii="Times New Roman" w:hAnsi="Times New Roman" w:cs="Times New Roman"/>
                      <w:lang w:val="en-US" w:eastAsia="zh-CN"/>
                    </w:rPr>
                    <w:t>0.00315</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8E03A">
                  <w:pPr>
                    <w:pStyle w:val="25"/>
                    <w:bidi w:val="0"/>
                    <w:rPr>
                      <w:rFonts w:hint="default" w:ascii="Times New Roman" w:hAnsi="Times New Roman" w:cs="Times New Roman"/>
                    </w:rPr>
                  </w:pPr>
                  <w:r>
                    <w:rPr>
                      <w:rFonts w:hint="default" w:ascii="Times New Roman" w:hAnsi="Times New Roman" w:cs="Times New Roman"/>
                      <w:lang w:val="en-US" w:eastAsia="zh-CN"/>
                    </w:rPr>
                    <w:t>0.00368</w:t>
                  </w:r>
                </w:p>
              </w:tc>
            </w:tr>
            <w:tr w14:paraId="7FCD7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F21CF">
                  <w:pPr>
                    <w:pStyle w:val="25"/>
                    <w:bidi w:val="0"/>
                    <w:rPr>
                      <w:rFonts w:hint="default" w:ascii="Times New Roman" w:hAnsi="Times New Roman" w:cs="Times New Roman"/>
                    </w:rPr>
                  </w:pPr>
                </w:p>
              </w:tc>
              <w:tc>
                <w:tcPr>
                  <w:tcW w:w="9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5CA17">
                  <w:pPr>
                    <w:pStyle w:val="25"/>
                    <w:bidi w:val="0"/>
                    <w:rPr>
                      <w:rFonts w:hint="default" w:ascii="Times New Roman" w:hAnsi="Times New Roman" w:cs="Times New Roman"/>
                    </w:rPr>
                  </w:pP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D11BE">
                  <w:pPr>
                    <w:pStyle w:val="25"/>
                    <w:bidi w:val="0"/>
                    <w:rPr>
                      <w:rFonts w:hint="default" w:ascii="Times New Roman" w:hAnsi="Times New Roman" w:cs="Times New Roman"/>
                    </w:rPr>
                  </w:pPr>
                  <w:r>
                    <w:rPr>
                      <w:rFonts w:hint="default" w:ascii="Times New Roman" w:hAnsi="Times New Roman" w:cs="Times New Roman"/>
                      <w:lang w:val="en-US" w:eastAsia="zh-CN"/>
                    </w:rPr>
                    <w:t>t/a</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7B0BB">
                  <w:pPr>
                    <w:pStyle w:val="25"/>
                    <w:bidi w:val="0"/>
                    <w:rPr>
                      <w:rFonts w:hint="default" w:ascii="Times New Roman" w:hAnsi="Times New Roman" w:cs="Times New Roman"/>
                    </w:rPr>
                  </w:pPr>
                  <w:r>
                    <w:rPr>
                      <w:rFonts w:hint="default" w:ascii="Times New Roman" w:hAnsi="Times New Roman" w:cs="Times New Roman"/>
                      <w:lang w:val="en-US" w:eastAsia="zh-CN"/>
                    </w:rPr>
                    <w:t>0.00663</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08BF7">
                  <w:pPr>
                    <w:pStyle w:val="25"/>
                    <w:bidi w:val="0"/>
                    <w:rPr>
                      <w:rFonts w:hint="default" w:ascii="Times New Roman" w:hAnsi="Times New Roman" w:cs="Times New Roman"/>
                    </w:rPr>
                  </w:pPr>
                  <w:r>
                    <w:rPr>
                      <w:rFonts w:hint="default" w:ascii="Times New Roman" w:hAnsi="Times New Roman" w:cs="Times New Roman"/>
                      <w:lang w:val="en-US" w:eastAsia="zh-CN"/>
                    </w:rPr>
                    <w:t>0.01605</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851F9">
                  <w:pPr>
                    <w:pStyle w:val="25"/>
                    <w:bidi w:val="0"/>
                    <w:rPr>
                      <w:rFonts w:hint="default" w:ascii="Times New Roman" w:hAnsi="Times New Roman" w:cs="Times New Roman"/>
                    </w:rPr>
                  </w:pPr>
                  <w:r>
                    <w:rPr>
                      <w:rFonts w:hint="default" w:ascii="Times New Roman" w:hAnsi="Times New Roman" w:cs="Times New Roman"/>
                      <w:lang w:val="en-US" w:eastAsia="zh-CN"/>
                    </w:rPr>
                    <w:t>0.00489</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46667">
                  <w:pPr>
                    <w:pStyle w:val="25"/>
                    <w:bidi w:val="0"/>
                    <w:rPr>
                      <w:rFonts w:hint="default" w:ascii="Times New Roman" w:hAnsi="Times New Roman" w:cs="Times New Roman"/>
                    </w:rPr>
                  </w:pPr>
                  <w:r>
                    <w:rPr>
                      <w:rFonts w:hint="default" w:ascii="Times New Roman" w:hAnsi="Times New Roman" w:cs="Times New Roman"/>
                      <w:lang w:val="en-US" w:eastAsia="zh-CN"/>
                    </w:rPr>
                    <w:t>0.02757</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ED495">
                  <w:pPr>
                    <w:pStyle w:val="25"/>
                    <w:bidi w:val="0"/>
                    <w:rPr>
                      <w:rFonts w:hint="default" w:ascii="Times New Roman" w:hAnsi="Times New Roman" w:cs="Times New Roman"/>
                    </w:rPr>
                  </w:pPr>
                  <w:r>
                    <w:rPr>
                      <w:rFonts w:hint="default" w:ascii="Times New Roman" w:hAnsi="Times New Roman" w:cs="Times New Roman"/>
                      <w:lang w:val="en-US" w:eastAsia="zh-CN"/>
                    </w:rPr>
                    <w:t>0.03220</w:t>
                  </w:r>
                </w:p>
              </w:tc>
            </w:tr>
            <w:tr w14:paraId="086BE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C918F">
                  <w:pPr>
                    <w:pStyle w:val="25"/>
                    <w:bidi w:val="0"/>
                    <w:rPr>
                      <w:rFonts w:hint="default" w:ascii="Times New Roman" w:hAnsi="Times New Roman" w:cs="Times New Roman"/>
                    </w:rPr>
                  </w:pPr>
                </w:p>
              </w:tc>
              <w:tc>
                <w:tcPr>
                  <w:tcW w:w="9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25CD3">
                  <w:pPr>
                    <w:pStyle w:val="25"/>
                    <w:bidi w:val="0"/>
                    <w:rPr>
                      <w:rFonts w:hint="default" w:ascii="Times New Roman" w:hAnsi="Times New Roman" w:cs="Times New Roman"/>
                    </w:rPr>
                  </w:pPr>
                  <w:r>
                    <w:rPr>
                      <w:rFonts w:hint="default" w:ascii="Times New Roman" w:hAnsi="Times New Roman" w:cs="Times New Roman"/>
                      <w:lang w:val="en-US" w:eastAsia="zh-CN"/>
                    </w:rPr>
                    <w:t>无组织排放量</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96CEA">
                  <w:pPr>
                    <w:pStyle w:val="25"/>
                    <w:bidi w:val="0"/>
                    <w:rPr>
                      <w:rFonts w:hint="default" w:ascii="Times New Roman" w:hAnsi="Times New Roman" w:cs="Times New Roman"/>
                    </w:rPr>
                  </w:pPr>
                  <w:r>
                    <w:rPr>
                      <w:rFonts w:hint="default" w:ascii="Times New Roman" w:hAnsi="Times New Roman" w:cs="Times New Roman"/>
                      <w:lang w:val="en-US" w:eastAsia="zh-CN"/>
                    </w:rPr>
                    <w:t>kg/h</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763FD">
                  <w:pPr>
                    <w:pStyle w:val="25"/>
                    <w:bidi w:val="0"/>
                    <w:rPr>
                      <w:rFonts w:hint="default" w:ascii="Times New Roman" w:hAnsi="Times New Roman" w:cs="Times New Roman"/>
                    </w:rPr>
                  </w:pPr>
                  <w:r>
                    <w:rPr>
                      <w:rFonts w:hint="default" w:ascii="Times New Roman" w:hAnsi="Times New Roman" w:cs="Times New Roman"/>
                      <w:lang w:val="en-US" w:eastAsia="zh-CN"/>
                    </w:rPr>
                    <w:t>0.00040</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1068">
                  <w:pPr>
                    <w:pStyle w:val="25"/>
                    <w:bidi w:val="0"/>
                    <w:rPr>
                      <w:rFonts w:hint="default" w:ascii="Times New Roman" w:hAnsi="Times New Roman" w:cs="Times New Roman"/>
                    </w:rPr>
                  </w:pPr>
                  <w:r>
                    <w:rPr>
                      <w:rFonts w:hint="default" w:ascii="Times New Roman" w:hAnsi="Times New Roman" w:cs="Times New Roman"/>
                      <w:lang w:val="en-US" w:eastAsia="zh-CN"/>
                    </w:rPr>
                    <w:t>0.00096</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B9F10">
                  <w:pPr>
                    <w:pStyle w:val="25"/>
                    <w:bidi w:val="0"/>
                    <w:rPr>
                      <w:rFonts w:hint="default" w:ascii="Times New Roman" w:hAnsi="Times New Roman" w:cs="Times New Roman"/>
                    </w:rPr>
                  </w:pPr>
                  <w:r>
                    <w:rPr>
                      <w:rFonts w:hint="default" w:ascii="Times New Roman" w:hAnsi="Times New Roman" w:cs="Times New Roman"/>
                      <w:lang w:val="en-US" w:eastAsia="zh-CN"/>
                    </w:rPr>
                    <w:t>0.00029</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446C1">
                  <w:pPr>
                    <w:pStyle w:val="25"/>
                    <w:bidi w:val="0"/>
                    <w:rPr>
                      <w:rFonts w:hint="default" w:ascii="Times New Roman" w:hAnsi="Times New Roman" w:cs="Times New Roman"/>
                    </w:rPr>
                  </w:pPr>
                  <w:r>
                    <w:rPr>
                      <w:rFonts w:hint="default" w:ascii="Times New Roman" w:hAnsi="Times New Roman" w:cs="Times New Roman"/>
                      <w:lang w:val="en-US" w:eastAsia="zh-CN"/>
                    </w:rPr>
                    <w:t>0.00166</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45C3D">
                  <w:pPr>
                    <w:pStyle w:val="25"/>
                    <w:bidi w:val="0"/>
                    <w:rPr>
                      <w:rFonts w:hint="default" w:ascii="Times New Roman" w:hAnsi="Times New Roman" w:cs="Times New Roman"/>
                    </w:rPr>
                  </w:pPr>
                  <w:r>
                    <w:rPr>
                      <w:rFonts w:hint="default" w:ascii="Times New Roman" w:hAnsi="Times New Roman" w:cs="Times New Roman"/>
                      <w:lang w:val="en-US" w:eastAsia="zh-CN"/>
                    </w:rPr>
                    <w:t>0.00195</w:t>
                  </w:r>
                </w:p>
              </w:tc>
            </w:tr>
            <w:tr w14:paraId="01714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850C7">
                  <w:pPr>
                    <w:pStyle w:val="25"/>
                    <w:bidi w:val="0"/>
                    <w:rPr>
                      <w:rFonts w:hint="default" w:ascii="Times New Roman" w:hAnsi="Times New Roman" w:cs="Times New Roman"/>
                    </w:rPr>
                  </w:pPr>
                </w:p>
              </w:tc>
              <w:tc>
                <w:tcPr>
                  <w:tcW w:w="9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C2A9F">
                  <w:pPr>
                    <w:pStyle w:val="25"/>
                    <w:bidi w:val="0"/>
                    <w:rPr>
                      <w:rFonts w:hint="default" w:ascii="Times New Roman" w:hAnsi="Times New Roman" w:cs="Times New Roman"/>
                    </w:rPr>
                  </w:pP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3FE4F">
                  <w:pPr>
                    <w:pStyle w:val="25"/>
                    <w:bidi w:val="0"/>
                    <w:rPr>
                      <w:rFonts w:hint="default" w:ascii="Times New Roman" w:hAnsi="Times New Roman" w:cs="Times New Roman"/>
                    </w:rPr>
                  </w:pPr>
                  <w:r>
                    <w:rPr>
                      <w:rFonts w:hint="default" w:ascii="Times New Roman" w:hAnsi="Times New Roman" w:cs="Times New Roman"/>
                      <w:lang w:val="en-US" w:eastAsia="zh-CN"/>
                    </w:rPr>
                    <w:t>t/a</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57C4D">
                  <w:pPr>
                    <w:pStyle w:val="25"/>
                    <w:bidi w:val="0"/>
                    <w:rPr>
                      <w:rFonts w:hint="default" w:ascii="Times New Roman" w:hAnsi="Times New Roman" w:cs="Times New Roman"/>
                    </w:rPr>
                  </w:pPr>
                  <w:r>
                    <w:rPr>
                      <w:rFonts w:hint="default" w:ascii="Times New Roman" w:hAnsi="Times New Roman" w:cs="Times New Roman"/>
                      <w:lang w:val="en-US" w:eastAsia="zh-CN"/>
                    </w:rPr>
                    <w:t>0.00349</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4EF61">
                  <w:pPr>
                    <w:pStyle w:val="25"/>
                    <w:bidi w:val="0"/>
                    <w:rPr>
                      <w:rFonts w:hint="default" w:ascii="Times New Roman" w:hAnsi="Times New Roman" w:cs="Times New Roman"/>
                    </w:rPr>
                  </w:pPr>
                  <w:r>
                    <w:rPr>
                      <w:rFonts w:hint="default" w:ascii="Times New Roman" w:hAnsi="Times New Roman" w:cs="Times New Roman"/>
                      <w:lang w:val="en-US" w:eastAsia="zh-CN"/>
                    </w:rPr>
                    <w:t>0.00845</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A16C0">
                  <w:pPr>
                    <w:pStyle w:val="25"/>
                    <w:bidi w:val="0"/>
                    <w:rPr>
                      <w:rFonts w:hint="default" w:ascii="Times New Roman" w:hAnsi="Times New Roman" w:cs="Times New Roman"/>
                    </w:rPr>
                  </w:pPr>
                  <w:r>
                    <w:rPr>
                      <w:rFonts w:hint="default" w:ascii="Times New Roman" w:hAnsi="Times New Roman" w:cs="Times New Roman"/>
                      <w:lang w:val="en-US" w:eastAsia="zh-CN"/>
                    </w:rPr>
                    <w:t>0.00257</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44EDB">
                  <w:pPr>
                    <w:pStyle w:val="25"/>
                    <w:bidi w:val="0"/>
                    <w:rPr>
                      <w:rFonts w:hint="default" w:ascii="Times New Roman" w:hAnsi="Times New Roman" w:cs="Times New Roman"/>
                    </w:rPr>
                  </w:pPr>
                  <w:r>
                    <w:rPr>
                      <w:rFonts w:hint="default" w:ascii="Times New Roman" w:hAnsi="Times New Roman" w:cs="Times New Roman"/>
                      <w:lang w:val="en-US" w:eastAsia="zh-CN"/>
                    </w:rPr>
                    <w:t>0.01451</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3240E">
                  <w:pPr>
                    <w:pStyle w:val="25"/>
                    <w:bidi w:val="0"/>
                    <w:rPr>
                      <w:rFonts w:hint="default" w:ascii="Times New Roman" w:hAnsi="Times New Roman" w:cs="Times New Roman"/>
                    </w:rPr>
                  </w:pPr>
                  <w:r>
                    <w:rPr>
                      <w:rFonts w:hint="default" w:ascii="Times New Roman" w:hAnsi="Times New Roman" w:cs="Times New Roman"/>
                      <w:lang w:val="en-US" w:eastAsia="zh-CN"/>
                    </w:rPr>
                    <w:t>0.01708</w:t>
                  </w:r>
                </w:p>
              </w:tc>
            </w:tr>
            <w:tr w14:paraId="32A16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46AB59">
                  <w:pPr>
                    <w:pStyle w:val="25"/>
                    <w:bidi w:val="0"/>
                    <w:rPr>
                      <w:rFonts w:hint="default" w:ascii="Times New Roman" w:hAnsi="Times New Roman" w:cs="Times New Roman"/>
                    </w:rPr>
                  </w:pPr>
                  <w:r>
                    <w:rPr>
                      <w:rFonts w:hint="default" w:ascii="Times New Roman" w:hAnsi="Times New Roman" w:cs="Times New Roman"/>
                      <w:lang w:val="en-US" w:eastAsia="zh-CN"/>
                    </w:rPr>
                    <w:t>H</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S</w:t>
                  </w:r>
                </w:p>
              </w:tc>
              <w:tc>
                <w:tcPr>
                  <w:tcW w:w="9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548E0">
                  <w:pPr>
                    <w:pStyle w:val="25"/>
                    <w:bidi w:val="0"/>
                    <w:rPr>
                      <w:rFonts w:hint="default" w:ascii="Times New Roman" w:hAnsi="Times New Roman" w:cs="Times New Roman"/>
                    </w:rPr>
                  </w:pPr>
                  <w:r>
                    <w:rPr>
                      <w:rFonts w:hint="default" w:ascii="Times New Roman" w:hAnsi="Times New Roman" w:cs="Times New Roman"/>
                      <w:lang w:val="en-US" w:eastAsia="zh-CN"/>
                    </w:rPr>
                    <w:t>源强</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961A3">
                  <w:pPr>
                    <w:pStyle w:val="25"/>
                    <w:bidi w:val="0"/>
                    <w:rPr>
                      <w:rFonts w:hint="default" w:ascii="Times New Roman" w:hAnsi="Times New Roman" w:cs="Times New Roman"/>
                    </w:rPr>
                  </w:pPr>
                  <w:r>
                    <w:rPr>
                      <w:rFonts w:hint="default" w:ascii="Times New Roman" w:hAnsi="Times New Roman" w:cs="Times New Roman"/>
                      <w:lang w:val="en-US" w:eastAsia="zh-CN"/>
                    </w:rPr>
                    <w:t>mg/s·</w:t>
                  </w:r>
                  <w:r>
                    <w:rPr>
                      <w:rFonts w:hint="eastAsia" w:ascii="Times New Roman" w:hAnsi="Times New Roman" w:cs="Times New Roman"/>
                      <w:lang w:val="en-US" w:eastAsia="zh-CN"/>
                    </w:rPr>
                    <w:t>m</w:t>
                  </w:r>
                  <w:r>
                    <w:rPr>
                      <w:rFonts w:hint="eastAsia" w:ascii="Times New Roman" w:hAnsi="Times New Roman" w:cs="Times New Roman"/>
                      <w:vertAlign w:val="superscript"/>
                      <w:lang w:val="en-US" w:eastAsia="zh-CN"/>
                    </w:rPr>
                    <w:t>2</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BC8DD">
                  <w:pPr>
                    <w:pStyle w:val="25"/>
                    <w:bidi w:val="0"/>
                    <w:rPr>
                      <w:rFonts w:hint="default" w:ascii="Times New Roman" w:hAnsi="Times New Roman" w:cs="Times New Roman"/>
                    </w:rPr>
                  </w:pPr>
                  <w:r>
                    <w:rPr>
                      <w:rFonts w:hint="default" w:ascii="Times New Roman" w:hAnsi="Times New Roman" w:cs="Times New Roman"/>
                      <w:lang w:val="en-US" w:eastAsia="zh-CN"/>
                    </w:rPr>
                    <w:t>0.00109</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F316E">
                  <w:pPr>
                    <w:pStyle w:val="25"/>
                    <w:bidi w:val="0"/>
                    <w:rPr>
                      <w:rFonts w:hint="default" w:ascii="Times New Roman" w:hAnsi="Times New Roman" w:cs="Times New Roman"/>
                    </w:rPr>
                  </w:pPr>
                  <w:r>
                    <w:rPr>
                      <w:rFonts w:hint="default" w:ascii="Times New Roman" w:hAnsi="Times New Roman" w:cs="Times New Roman"/>
                      <w:lang w:val="en-US" w:eastAsia="zh-CN"/>
                    </w:rPr>
                    <w:t>0.00082</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2FBD2">
                  <w:pPr>
                    <w:pStyle w:val="25"/>
                    <w:bidi w:val="0"/>
                    <w:rPr>
                      <w:rFonts w:hint="default" w:ascii="Times New Roman" w:hAnsi="Times New Roman" w:cs="Times New Roman"/>
                    </w:rPr>
                  </w:pPr>
                  <w:r>
                    <w:rPr>
                      <w:rFonts w:hint="default" w:ascii="Times New Roman" w:hAnsi="Times New Roman" w:cs="Times New Roman"/>
                      <w:lang w:val="en-US" w:eastAsia="zh-CN"/>
                    </w:rPr>
                    <w:t>0.00528</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FE14C">
                  <w:pPr>
                    <w:pStyle w:val="25"/>
                    <w:bidi w:val="0"/>
                    <w:rPr>
                      <w:rFonts w:hint="default" w:ascii="Times New Roman" w:hAnsi="Times New Roman" w:cs="Times New Roman"/>
                    </w:rPr>
                  </w:pPr>
                  <w:r>
                    <w:rPr>
                      <w:rFonts w:hint="default" w:ascii="Times New Roman" w:hAnsi="Times New Roman" w:cs="Times New Roman"/>
                      <w:lang w:val="en-US" w:eastAsia="zh-CN"/>
                    </w:rPr>
                    <w:t>0.00719</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3F985">
                  <w:pPr>
                    <w:pStyle w:val="25"/>
                    <w:bidi w:val="0"/>
                    <w:rPr>
                      <w:rFonts w:hint="default" w:ascii="Times New Roman" w:hAnsi="Times New Roman" w:cs="Times New Roman"/>
                    </w:rPr>
                  </w:pPr>
                  <w:r>
                    <w:rPr>
                      <w:rFonts w:hint="default" w:ascii="Times New Roman" w:hAnsi="Times New Roman" w:cs="Times New Roman"/>
                      <w:lang w:val="en-US" w:eastAsia="zh-CN"/>
                    </w:rPr>
                    <w:t>0.01770</w:t>
                  </w:r>
                </w:p>
              </w:tc>
            </w:tr>
            <w:tr w14:paraId="602F1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5F82A">
                  <w:pPr>
                    <w:pStyle w:val="25"/>
                    <w:bidi w:val="0"/>
                    <w:rPr>
                      <w:rFonts w:hint="default" w:ascii="Times New Roman" w:hAnsi="Times New Roman" w:cs="Times New Roman"/>
                    </w:rPr>
                  </w:pPr>
                </w:p>
              </w:tc>
              <w:tc>
                <w:tcPr>
                  <w:tcW w:w="9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9EBD0">
                  <w:pPr>
                    <w:pStyle w:val="25"/>
                    <w:bidi w:val="0"/>
                    <w:rPr>
                      <w:rFonts w:hint="default" w:ascii="Times New Roman" w:hAnsi="Times New Roman" w:cs="Times New Roman"/>
                    </w:rPr>
                  </w:pPr>
                  <w:r>
                    <w:rPr>
                      <w:rFonts w:hint="default" w:ascii="Times New Roman" w:hAnsi="Times New Roman" w:cs="Times New Roman"/>
                      <w:lang w:val="en-US" w:eastAsia="zh-CN"/>
                    </w:rPr>
                    <w:t>产生量</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E348D">
                  <w:pPr>
                    <w:pStyle w:val="25"/>
                    <w:bidi w:val="0"/>
                    <w:rPr>
                      <w:rFonts w:hint="default" w:ascii="Times New Roman" w:hAnsi="Times New Roman" w:cs="Times New Roman"/>
                    </w:rPr>
                  </w:pPr>
                  <w:r>
                    <w:rPr>
                      <w:rFonts w:hint="default" w:ascii="Times New Roman" w:hAnsi="Times New Roman" w:cs="Times New Roman"/>
                      <w:lang w:val="en-US" w:eastAsia="zh-CN"/>
                    </w:rPr>
                    <w:t>kg/h</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7A92B">
                  <w:pPr>
                    <w:pStyle w:val="25"/>
                    <w:bidi w:val="0"/>
                    <w:rPr>
                      <w:rFonts w:hint="default" w:ascii="Times New Roman" w:hAnsi="Times New Roman" w:cs="Times New Roman"/>
                    </w:rPr>
                  </w:pPr>
                  <w:r>
                    <w:rPr>
                      <w:rFonts w:hint="default" w:ascii="Times New Roman" w:hAnsi="Times New Roman" w:cs="Times New Roman"/>
                      <w:lang w:val="en-US" w:eastAsia="zh-CN"/>
                    </w:rPr>
                    <w:t>0.0009</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39799">
                  <w:pPr>
                    <w:pStyle w:val="25"/>
                    <w:bidi w:val="0"/>
                    <w:rPr>
                      <w:rFonts w:hint="default" w:ascii="Times New Roman" w:hAnsi="Times New Roman" w:cs="Times New Roman"/>
                    </w:rPr>
                  </w:pPr>
                  <w:r>
                    <w:rPr>
                      <w:rFonts w:hint="default" w:ascii="Times New Roman" w:hAnsi="Times New Roman" w:cs="Times New Roman"/>
                      <w:lang w:val="en-US" w:eastAsia="zh-CN"/>
                    </w:rPr>
                    <w:t>0.0021</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CA395">
                  <w:pPr>
                    <w:pStyle w:val="25"/>
                    <w:bidi w:val="0"/>
                    <w:rPr>
                      <w:rFonts w:hint="default" w:ascii="Times New Roman" w:hAnsi="Times New Roman" w:cs="Times New Roman"/>
                    </w:rPr>
                  </w:pPr>
                  <w:r>
                    <w:rPr>
                      <w:rFonts w:hint="default" w:ascii="Times New Roman" w:hAnsi="Times New Roman" w:cs="Times New Roman"/>
                      <w:lang w:val="en-US" w:eastAsia="zh-CN"/>
                    </w:rPr>
                    <w:t>0.0006</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1233E">
                  <w:pPr>
                    <w:pStyle w:val="25"/>
                    <w:bidi w:val="0"/>
                    <w:rPr>
                      <w:rFonts w:hint="default" w:ascii="Times New Roman" w:hAnsi="Times New Roman" w:cs="Times New Roman"/>
                    </w:rPr>
                  </w:pPr>
                  <w:r>
                    <w:rPr>
                      <w:rFonts w:hint="default" w:ascii="Times New Roman" w:hAnsi="Times New Roman" w:cs="Times New Roman"/>
                      <w:lang w:val="en-US" w:eastAsia="zh-CN"/>
                    </w:rPr>
                    <w:t>0.00365</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AF274">
                  <w:pPr>
                    <w:pStyle w:val="25"/>
                    <w:bidi w:val="0"/>
                    <w:rPr>
                      <w:rFonts w:hint="default" w:ascii="Times New Roman" w:hAnsi="Times New Roman" w:cs="Times New Roman"/>
                    </w:rPr>
                  </w:pPr>
                  <w:r>
                    <w:rPr>
                      <w:rFonts w:hint="default" w:ascii="Times New Roman" w:hAnsi="Times New Roman" w:cs="Times New Roman"/>
                      <w:lang w:val="en-US" w:eastAsia="zh-CN"/>
                    </w:rPr>
                    <w:t>0.00422</w:t>
                  </w:r>
                </w:p>
              </w:tc>
            </w:tr>
            <w:tr w14:paraId="7BCCE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0B69F">
                  <w:pPr>
                    <w:pStyle w:val="25"/>
                    <w:bidi w:val="0"/>
                    <w:rPr>
                      <w:rFonts w:hint="default" w:ascii="Times New Roman" w:hAnsi="Times New Roman" w:cs="Times New Roman"/>
                    </w:rPr>
                  </w:pPr>
                </w:p>
              </w:tc>
              <w:tc>
                <w:tcPr>
                  <w:tcW w:w="9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24CE1">
                  <w:pPr>
                    <w:pStyle w:val="25"/>
                    <w:bidi w:val="0"/>
                    <w:rPr>
                      <w:rFonts w:hint="default" w:ascii="Times New Roman" w:hAnsi="Times New Roman" w:cs="Times New Roman"/>
                    </w:rPr>
                  </w:pP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E9E11">
                  <w:pPr>
                    <w:pStyle w:val="25"/>
                    <w:bidi w:val="0"/>
                    <w:rPr>
                      <w:rFonts w:hint="default" w:ascii="Times New Roman" w:hAnsi="Times New Roman" w:cs="Times New Roman"/>
                    </w:rPr>
                  </w:pPr>
                  <w:r>
                    <w:rPr>
                      <w:rFonts w:hint="default" w:ascii="Times New Roman" w:hAnsi="Times New Roman" w:cs="Times New Roman"/>
                      <w:lang w:val="en-US" w:eastAsia="zh-CN"/>
                    </w:rPr>
                    <w:t>t/a</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B14AD">
                  <w:pPr>
                    <w:pStyle w:val="25"/>
                    <w:bidi w:val="0"/>
                    <w:rPr>
                      <w:rFonts w:hint="default" w:ascii="Times New Roman" w:hAnsi="Times New Roman" w:cs="Times New Roman"/>
                    </w:rPr>
                  </w:pPr>
                  <w:r>
                    <w:rPr>
                      <w:rFonts w:hint="default" w:ascii="Times New Roman" w:hAnsi="Times New Roman" w:cs="Times New Roman"/>
                      <w:lang w:val="en-US" w:eastAsia="zh-CN"/>
                    </w:rPr>
                    <w:t>0.0077</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B820E">
                  <w:pPr>
                    <w:pStyle w:val="25"/>
                    <w:bidi w:val="0"/>
                    <w:rPr>
                      <w:rFonts w:hint="default" w:ascii="Times New Roman" w:hAnsi="Times New Roman" w:cs="Times New Roman"/>
                    </w:rPr>
                  </w:pPr>
                  <w:r>
                    <w:rPr>
                      <w:rFonts w:hint="default" w:ascii="Times New Roman" w:hAnsi="Times New Roman" w:cs="Times New Roman"/>
                      <w:lang w:val="en-US" w:eastAsia="zh-CN"/>
                    </w:rPr>
                    <w:t>0.0187</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4AC7A">
                  <w:pPr>
                    <w:pStyle w:val="25"/>
                    <w:bidi w:val="0"/>
                    <w:rPr>
                      <w:rFonts w:hint="default" w:ascii="Times New Roman" w:hAnsi="Times New Roman" w:cs="Times New Roman"/>
                    </w:rPr>
                  </w:pPr>
                  <w:r>
                    <w:rPr>
                      <w:rFonts w:hint="default" w:ascii="Times New Roman" w:hAnsi="Times New Roman" w:cs="Times New Roman"/>
                      <w:lang w:val="en-US" w:eastAsia="zh-CN"/>
                    </w:rPr>
                    <w:t>0.0055</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075F3">
                  <w:pPr>
                    <w:pStyle w:val="25"/>
                    <w:bidi w:val="0"/>
                    <w:rPr>
                      <w:rFonts w:hint="default" w:ascii="Times New Roman" w:hAnsi="Times New Roman" w:cs="Times New Roman"/>
                    </w:rPr>
                  </w:pPr>
                  <w:r>
                    <w:rPr>
                      <w:rFonts w:hint="default" w:ascii="Times New Roman" w:hAnsi="Times New Roman" w:cs="Times New Roman"/>
                      <w:lang w:val="en-US" w:eastAsia="zh-CN"/>
                    </w:rPr>
                    <w:t>0.03195</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FEE13">
                  <w:pPr>
                    <w:pStyle w:val="25"/>
                    <w:bidi w:val="0"/>
                    <w:rPr>
                      <w:rFonts w:hint="default" w:ascii="Times New Roman" w:hAnsi="Times New Roman" w:cs="Times New Roman"/>
                    </w:rPr>
                  </w:pPr>
                  <w:r>
                    <w:rPr>
                      <w:rFonts w:hint="default" w:ascii="Times New Roman" w:hAnsi="Times New Roman" w:cs="Times New Roman"/>
                      <w:lang w:val="en-US" w:eastAsia="zh-CN"/>
                    </w:rPr>
                    <w:t>0.03698</w:t>
                  </w:r>
                </w:p>
              </w:tc>
            </w:tr>
            <w:tr w14:paraId="0505D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9F9F8">
                  <w:pPr>
                    <w:pStyle w:val="25"/>
                    <w:bidi w:val="0"/>
                    <w:rPr>
                      <w:rFonts w:hint="default" w:ascii="Times New Roman" w:hAnsi="Times New Roman" w:cs="Times New Roman"/>
                    </w:rPr>
                  </w:pPr>
                </w:p>
              </w:tc>
              <w:tc>
                <w:tcPr>
                  <w:tcW w:w="15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A7677">
                  <w:pPr>
                    <w:pStyle w:val="25"/>
                    <w:bidi w:val="0"/>
                    <w:rPr>
                      <w:rFonts w:hint="default" w:ascii="Times New Roman" w:hAnsi="Times New Roman" w:cs="Times New Roman"/>
                    </w:rPr>
                  </w:pPr>
                  <w:r>
                    <w:rPr>
                      <w:rFonts w:hint="default" w:ascii="Times New Roman" w:hAnsi="Times New Roman" w:cs="Times New Roman"/>
                      <w:lang w:val="en-US" w:eastAsia="zh-CN"/>
                    </w:rPr>
                    <w:t>收集率</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7A6E5">
                  <w:pPr>
                    <w:pStyle w:val="25"/>
                    <w:bidi w:val="0"/>
                    <w:rPr>
                      <w:rFonts w:hint="default" w:ascii="Times New Roman" w:hAnsi="Times New Roman" w:cs="Times New Roman"/>
                    </w:rPr>
                  </w:pPr>
                  <w:r>
                    <w:rPr>
                      <w:rFonts w:hint="default" w:ascii="Times New Roman" w:hAnsi="Times New Roman" w:cs="Times New Roman"/>
                      <w:lang w:val="en-US" w:eastAsia="zh-CN"/>
                    </w:rPr>
                    <w:t>95%</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02530">
                  <w:pPr>
                    <w:pStyle w:val="25"/>
                    <w:bidi w:val="0"/>
                    <w:rPr>
                      <w:rFonts w:hint="default" w:ascii="Times New Roman" w:hAnsi="Times New Roman" w:cs="Times New Roman"/>
                    </w:rPr>
                  </w:pPr>
                  <w:r>
                    <w:rPr>
                      <w:rFonts w:hint="default" w:ascii="Times New Roman" w:hAnsi="Times New Roman" w:cs="Times New Roman"/>
                      <w:lang w:val="en-US" w:eastAsia="zh-CN"/>
                    </w:rPr>
                    <w:t>95%</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B991A">
                  <w:pPr>
                    <w:pStyle w:val="25"/>
                    <w:bidi w:val="0"/>
                    <w:rPr>
                      <w:rFonts w:hint="default" w:ascii="Times New Roman" w:hAnsi="Times New Roman" w:cs="Times New Roman"/>
                    </w:rPr>
                  </w:pPr>
                  <w:r>
                    <w:rPr>
                      <w:rFonts w:hint="default" w:ascii="Times New Roman" w:hAnsi="Times New Roman" w:cs="Times New Roman"/>
                      <w:lang w:val="en-US" w:eastAsia="zh-CN"/>
                    </w:rPr>
                    <w:t>95%</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C3FC5">
                  <w:pPr>
                    <w:pStyle w:val="25"/>
                    <w:bidi w:val="0"/>
                    <w:rPr>
                      <w:rFonts w:hint="eastAsia" w:ascii="Times New Roman" w:hAnsi="Times New Roman" w:eastAsia="宋体" w:cs="Times New Roman"/>
                      <w:lang w:val="en-US" w:eastAsia="zh-CN"/>
                    </w:rPr>
                  </w:pPr>
                  <w:r>
                    <w:rPr>
                      <w:rFonts w:hint="eastAsia" w:ascii="Times New Roman" w:cs="Times New Roman"/>
                      <w:lang w:val="en-US" w:eastAsia="zh-CN"/>
                    </w:rPr>
                    <w:t>/</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410AA">
                  <w:pPr>
                    <w:pStyle w:val="25"/>
                    <w:bidi w:val="0"/>
                    <w:rPr>
                      <w:rFonts w:hint="eastAsia" w:ascii="Times New Roman" w:hAnsi="Times New Roman" w:eastAsia="宋体" w:cs="Times New Roman"/>
                      <w:lang w:val="en-US" w:eastAsia="zh-CN"/>
                    </w:rPr>
                  </w:pPr>
                  <w:r>
                    <w:rPr>
                      <w:rFonts w:hint="eastAsia" w:ascii="Times New Roman" w:cs="Times New Roman"/>
                      <w:lang w:val="en-US" w:eastAsia="zh-CN"/>
                    </w:rPr>
                    <w:t>/</w:t>
                  </w:r>
                </w:p>
              </w:tc>
            </w:tr>
            <w:tr w14:paraId="50E91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48A08">
                  <w:pPr>
                    <w:pStyle w:val="25"/>
                    <w:bidi w:val="0"/>
                    <w:rPr>
                      <w:rFonts w:hint="default" w:ascii="Times New Roman" w:hAnsi="Times New Roman" w:cs="Times New Roman"/>
                    </w:rPr>
                  </w:pPr>
                </w:p>
              </w:tc>
              <w:tc>
                <w:tcPr>
                  <w:tcW w:w="15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CAB0E">
                  <w:pPr>
                    <w:pStyle w:val="25"/>
                    <w:bidi w:val="0"/>
                    <w:rPr>
                      <w:rFonts w:hint="default" w:ascii="Times New Roman" w:hAnsi="Times New Roman" w:cs="Times New Roman"/>
                    </w:rPr>
                  </w:pPr>
                  <w:r>
                    <w:rPr>
                      <w:rFonts w:hint="default" w:ascii="Times New Roman" w:hAnsi="Times New Roman" w:cs="Times New Roman"/>
                      <w:lang w:val="en-US" w:eastAsia="zh-CN"/>
                    </w:rPr>
                    <w:t>去除效率</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37282">
                  <w:pPr>
                    <w:pStyle w:val="25"/>
                    <w:bidi w:val="0"/>
                    <w:rPr>
                      <w:rFonts w:hint="default" w:ascii="Times New Roman" w:hAnsi="Times New Roman" w:cs="Times New Roman"/>
                    </w:rPr>
                  </w:pPr>
                  <w:r>
                    <w:rPr>
                      <w:rFonts w:hint="default" w:ascii="Times New Roman" w:hAnsi="Times New Roman" w:cs="Times New Roman"/>
                      <w:lang w:val="en-US" w:eastAsia="zh-CN"/>
                    </w:rPr>
                    <w:t>90%</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0D376">
                  <w:pPr>
                    <w:pStyle w:val="25"/>
                    <w:bidi w:val="0"/>
                    <w:rPr>
                      <w:rFonts w:hint="default" w:ascii="Times New Roman" w:hAnsi="Times New Roman" w:cs="Times New Roman"/>
                    </w:rPr>
                  </w:pPr>
                  <w:r>
                    <w:rPr>
                      <w:rFonts w:hint="default" w:ascii="Times New Roman" w:hAnsi="Times New Roman" w:cs="Times New Roman"/>
                      <w:lang w:val="en-US" w:eastAsia="zh-CN"/>
                    </w:rPr>
                    <w:t>90%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4E10C">
                  <w:pPr>
                    <w:pStyle w:val="25"/>
                    <w:bidi w:val="0"/>
                    <w:rPr>
                      <w:rFonts w:hint="default" w:ascii="Times New Roman" w:hAnsi="Times New Roman" w:cs="Times New Roman"/>
                    </w:rPr>
                  </w:pPr>
                  <w:r>
                    <w:rPr>
                      <w:rFonts w:hint="default" w:ascii="Times New Roman" w:hAnsi="Times New Roman" w:cs="Times New Roman"/>
                      <w:lang w:val="en-US" w:eastAsia="zh-CN"/>
                    </w:rPr>
                    <w:t>90%</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58A6C">
                  <w:pPr>
                    <w:pStyle w:val="25"/>
                    <w:bidi w:val="0"/>
                    <w:rPr>
                      <w:rFonts w:hint="eastAsia" w:ascii="Times New Roman" w:hAnsi="Times New Roman" w:eastAsia="宋体" w:cs="Times New Roman"/>
                      <w:lang w:val="en-US" w:eastAsia="zh-CN"/>
                    </w:rPr>
                  </w:pPr>
                  <w:r>
                    <w:rPr>
                      <w:rFonts w:hint="eastAsia" w:ascii="Times New Roman" w:cs="Times New Roman"/>
                      <w:lang w:val="en-US" w:eastAsia="zh-CN"/>
                    </w:rPr>
                    <w:t>/</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EAAE4">
                  <w:pPr>
                    <w:pStyle w:val="25"/>
                    <w:bidi w:val="0"/>
                    <w:rPr>
                      <w:rFonts w:hint="eastAsia" w:ascii="Times New Roman" w:hAnsi="Times New Roman" w:eastAsia="宋体" w:cs="Times New Roman"/>
                      <w:lang w:val="en-US" w:eastAsia="zh-CN"/>
                    </w:rPr>
                  </w:pPr>
                  <w:r>
                    <w:rPr>
                      <w:rFonts w:hint="eastAsia" w:ascii="Times New Roman" w:cs="Times New Roman"/>
                      <w:lang w:val="en-US" w:eastAsia="zh-CN"/>
                    </w:rPr>
                    <w:t>/</w:t>
                  </w:r>
                </w:p>
              </w:tc>
            </w:tr>
            <w:tr w14:paraId="30CD5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BF768">
                  <w:pPr>
                    <w:pStyle w:val="25"/>
                    <w:bidi w:val="0"/>
                    <w:rPr>
                      <w:rFonts w:hint="default" w:ascii="Times New Roman" w:hAnsi="Times New Roman" w:cs="Times New Roman"/>
                    </w:rPr>
                  </w:pPr>
                </w:p>
              </w:tc>
              <w:tc>
                <w:tcPr>
                  <w:tcW w:w="9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0F91A2">
                  <w:pPr>
                    <w:pStyle w:val="25"/>
                    <w:bidi w:val="0"/>
                    <w:rPr>
                      <w:rFonts w:hint="default" w:ascii="Times New Roman" w:hAnsi="Times New Roman" w:cs="Times New Roman"/>
                    </w:rPr>
                  </w:pPr>
                  <w:r>
                    <w:rPr>
                      <w:rFonts w:hint="default" w:ascii="Times New Roman" w:hAnsi="Times New Roman" w:cs="Times New Roman"/>
                      <w:lang w:val="en-US" w:eastAsia="zh-CN"/>
                    </w:rPr>
                    <w:t>有组织排放量</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AD04A">
                  <w:pPr>
                    <w:pStyle w:val="25"/>
                    <w:bidi w:val="0"/>
                    <w:rPr>
                      <w:rFonts w:hint="default" w:ascii="Times New Roman" w:hAnsi="Times New Roman" w:cs="Times New Roman"/>
                    </w:rPr>
                  </w:pPr>
                  <w:r>
                    <w:rPr>
                      <w:rFonts w:hint="default" w:ascii="Times New Roman" w:hAnsi="Times New Roman" w:cs="Times New Roman"/>
                      <w:lang w:val="en-US" w:eastAsia="zh-CN"/>
                    </w:rPr>
                    <w:t>kg/h</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0C118">
                  <w:pPr>
                    <w:pStyle w:val="25"/>
                    <w:bidi w:val="0"/>
                    <w:rPr>
                      <w:rFonts w:hint="default" w:ascii="Times New Roman" w:hAnsi="Times New Roman" w:cs="Times New Roman"/>
                    </w:rPr>
                  </w:pPr>
                  <w:r>
                    <w:rPr>
                      <w:rFonts w:hint="default" w:ascii="Times New Roman" w:hAnsi="Times New Roman" w:cs="Times New Roman"/>
                      <w:lang w:val="en-US" w:eastAsia="zh-CN"/>
                    </w:rPr>
                    <w:t>0.00008</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E837D">
                  <w:pPr>
                    <w:pStyle w:val="25"/>
                    <w:bidi w:val="0"/>
                    <w:rPr>
                      <w:rFonts w:hint="default" w:ascii="Times New Roman" w:hAnsi="Times New Roman" w:cs="Times New Roman"/>
                    </w:rPr>
                  </w:pPr>
                  <w:r>
                    <w:rPr>
                      <w:rFonts w:hint="default" w:ascii="Times New Roman" w:hAnsi="Times New Roman" w:cs="Times New Roman"/>
                      <w:lang w:val="en-US" w:eastAsia="zh-CN"/>
                    </w:rPr>
                    <w:t>0.00020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307DC">
                  <w:pPr>
                    <w:pStyle w:val="25"/>
                    <w:bidi w:val="0"/>
                    <w:rPr>
                      <w:rFonts w:hint="default" w:ascii="Times New Roman" w:hAnsi="Times New Roman" w:cs="Times New Roman"/>
                    </w:rPr>
                  </w:pPr>
                  <w:r>
                    <w:rPr>
                      <w:rFonts w:hint="default" w:ascii="Times New Roman" w:hAnsi="Times New Roman" w:cs="Times New Roman"/>
                      <w:lang w:val="en-US" w:eastAsia="zh-CN"/>
                    </w:rPr>
                    <w:t>0.00006</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C7EF7">
                  <w:pPr>
                    <w:pStyle w:val="25"/>
                    <w:bidi w:val="0"/>
                    <w:rPr>
                      <w:rFonts w:hint="default" w:ascii="Times New Roman" w:hAnsi="Times New Roman" w:cs="Times New Roman"/>
                    </w:rPr>
                  </w:pPr>
                  <w:r>
                    <w:rPr>
                      <w:rFonts w:hint="default" w:ascii="Times New Roman" w:hAnsi="Times New Roman" w:cs="Times New Roman"/>
                      <w:lang w:val="en-US" w:eastAsia="zh-CN"/>
                    </w:rPr>
                    <w:t>0.00035</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8B924">
                  <w:pPr>
                    <w:pStyle w:val="25"/>
                    <w:bidi w:val="0"/>
                    <w:rPr>
                      <w:rFonts w:hint="default" w:ascii="Times New Roman" w:hAnsi="Times New Roman" w:cs="Times New Roman"/>
                    </w:rPr>
                  </w:pPr>
                  <w:r>
                    <w:rPr>
                      <w:rFonts w:hint="default" w:ascii="Times New Roman" w:hAnsi="Times New Roman" w:cs="Times New Roman"/>
                      <w:lang w:val="en-US" w:eastAsia="zh-CN"/>
                    </w:rPr>
                    <w:t>0.00045</w:t>
                  </w:r>
                </w:p>
              </w:tc>
            </w:tr>
            <w:tr w14:paraId="1EE2F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67574">
                  <w:pPr>
                    <w:pStyle w:val="25"/>
                    <w:bidi w:val="0"/>
                    <w:rPr>
                      <w:rFonts w:hint="default" w:ascii="Times New Roman" w:hAnsi="Times New Roman" w:cs="Times New Roman"/>
                    </w:rPr>
                  </w:pPr>
                </w:p>
              </w:tc>
              <w:tc>
                <w:tcPr>
                  <w:tcW w:w="9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9B52F">
                  <w:pPr>
                    <w:pStyle w:val="25"/>
                    <w:bidi w:val="0"/>
                    <w:rPr>
                      <w:rFonts w:hint="default" w:ascii="Times New Roman" w:hAnsi="Times New Roman" w:cs="Times New Roman"/>
                    </w:rPr>
                  </w:pP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4487E">
                  <w:pPr>
                    <w:pStyle w:val="25"/>
                    <w:bidi w:val="0"/>
                    <w:rPr>
                      <w:rFonts w:hint="default" w:ascii="Times New Roman" w:hAnsi="Times New Roman" w:cs="Times New Roman"/>
                    </w:rPr>
                  </w:pPr>
                  <w:r>
                    <w:rPr>
                      <w:rFonts w:hint="default" w:ascii="Times New Roman" w:hAnsi="Times New Roman" w:cs="Times New Roman"/>
                      <w:lang w:val="en-US" w:eastAsia="zh-CN"/>
                    </w:rPr>
                    <w:t>t/a</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FEF26">
                  <w:pPr>
                    <w:pStyle w:val="25"/>
                    <w:bidi w:val="0"/>
                    <w:rPr>
                      <w:rFonts w:hint="default" w:ascii="Times New Roman" w:hAnsi="Times New Roman" w:cs="Times New Roman"/>
                    </w:rPr>
                  </w:pPr>
                  <w:r>
                    <w:rPr>
                      <w:rFonts w:hint="default" w:ascii="Times New Roman" w:hAnsi="Times New Roman" w:cs="Times New Roman"/>
                      <w:lang w:val="en-US" w:eastAsia="zh-CN"/>
                    </w:rPr>
                    <w:t>0.00073</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47221">
                  <w:pPr>
                    <w:pStyle w:val="25"/>
                    <w:bidi w:val="0"/>
                    <w:rPr>
                      <w:rFonts w:hint="default" w:ascii="Times New Roman" w:hAnsi="Times New Roman" w:cs="Times New Roman"/>
                    </w:rPr>
                  </w:pPr>
                  <w:r>
                    <w:rPr>
                      <w:rFonts w:hint="default" w:ascii="Times New Roman" w:hAnsi="Times New Roman" w:cs="Times New Roman"/>
                      <w:lang w:val="en-US" w:eastAsia="zh-CN"/>
                    </w:rPr>
                    <w:t>0.00178</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05806">
                  <w:pPr>
                    <w:pStyle w:val="25"/>
                    <w:bidi w:val="0"/>
                    <w:rPr>
                      <w:rFonts w:hint="default" w:ascii="Times New Roman" w:hAnsi="Times New Roman" w:cs="Times New Roman"/>
                    </w:rPr>
                  </w:pPr>
                  <w:r>
                    <w:rPr>
                      <w:rFonts w:hint="default" w:ascii="Times New Roman" w:hAnsi="Times New Roman" w:cs="Times New Roman"/>
                      <w:lang w:val="en-US" w:eastAsia="zh-CN"/>
                    </w:rPr>
                    <w:t>0.00052</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93E51">
                  <w:pPr>
                    <w:pStyle w:val="25"/>
                    <w:bidi w:val="0"/>
                    <w:rPr>
                      <w:rFonts w:hint="default" w:ascii="Times New Roman" w:hAnsi="Times New Roman" w:cs="Times New Roman"/>
                    </w:rPr>
                  </w:pPr>
                  <w:r>
                    <w:rPr>
                      <w:rFonts w:hint="default" w:ascii="Times New Roman" w:hAnsi="Times New Roman" w:cs="Times New Roman"/>
                      <w:lang w:val="en-US" w:eastAsia="zh-CN"/>
                    </w:rPr>
                    <w:t>0.00304</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C0097">
                  <w:pPr>
                    <w:pStyle w:val="25"/>
                    <w:bidi w:val="0"/>
                    <w:rPr>
                      <w:rFonts w:hint="default" w:ascii="Times New Roman" w:hAnsi="Times New Roman" w:cs="Times New Roman"/>
                    </w:rPr>
                  </w:pPr>
                  <w:r>
                    <w:rPr>
                      <w:rFonts w:hint="default" w:ascii="Times New Roman" w:hAnsi="Times New Roman" w:cs="Times New Roman"/>
                      <w:lang w:val="en-US" w:eastAsia="zh-CN"/>
                    </w:rPr>
                    <w:t>0.00394</w:t>
                  </w:r>
                </w:p>
              </w:tc>
            </w:tr>
            <w:tr w14:paraId="3CA2F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88D37">
                  <w:pPr>
                    <w:pStyle w:val="25"/>
                    <w:bidi w:val="0"/>
                    <w:rPr>
                      <w:rFonts w:hint="default" w:ascii="Times New Roman" w:hAnsi="Times New Roman" w:cs="Times New Roman"/>
                    </w:rPr>
                  </w:pPr>
                </w:p>
              </w:tc>
              <w:tc>
                <w:tcPr>
                  <w:tcW w:w="9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0D073D">
                  <w:pPr>
                    <w:pStyle w:val="25"/>
                    <w:bidi w:val="0"/>
                    <w:rPr>
                      <w:rFonts w:hint="default" w:ascii="Times New Roman" w:hAnsi="Times New Roman" w:cs="Times New Roman"/>
                    </w:rPr>
                  </w:pPr>
                  <w:r>
                    <w:rPr>
                      <w:rFonts w:hint="default" w:ascii="Times New Roman" w:hAnsi="Times New Roman" w:cs="Times New Roman"/>
                      <w:lang w:val="en-US" w:eastAsia="zh-CN"/>
                    </w:rPr>
                    <w:t>无组织排放量</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AA11C">
                  <w:pPr>
                    <w:pStyle w:val="25"/>
                    <w:bidi w:val="0"/>
                    <w:rPr>
                      <w:rFonts w:hint="default" w:ascii="Times New Roman" w:hAnsi="Times New Roman" w:cs="Times New Roman"/>
                    </w:rPr>
                  </w:pPr>
                  <w:r>
                    <w:rPr>
                      <w:rFonts w:hint="default" w:ascii="Times New Roman" w:hAnsi="Times New Roman" w:cs="Times New Roman"/>
                      <w:lang w:val="en-US" w:eastAsia="zh-CN"/>
                    </w:rPr>
                    <w:t>kg/h</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C12F3">
                  <w:pPr>
                    <w:pStyle w:val="25"/>
                    <w:bidi w:val="0"/>
                    <w:rPr>
                      <w:rFonts w:hint="default" w:ascii="Times New Roman" w:hAnsi="Times New Roman" w:cs="Times New Roman"/>
                    </w:rPr>
                  </w:pPr>
                  <w:r>
                    <w:rPr>
                      <w:rFonts w:hint="default" w:ascii="Times New Roman" w:hAnsi="Times New Roman" w:cs="Times New Roman"/>
                      <w:lang w:val="en-US" w:eastAsia="zh-CN"/>
                    </w:rPr>
                    <w:t>0.00004</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7F48A">
                  <w:pPr>
                    <w:pStyle w:val="25"/>
                    <w:bidi w:val="0"/>
                    <w:rPr>
                      <w:rFonts w:hint="default" w:ascii="Times New Roman" w:hAnsi="Times New Roman" w:cs="Times New Roman"/>
                    </w:rPr>
                  </w:pPr>
                  <w:r>
                    <w:rPr>
                      <w:rFonts w:hint="default" w:ascii="Times New Roman" w:hAnsi="Times New Roman" w:cs="Times New Roman"/>
                      <w:lang w:val="en-US" w:eastAsia="zh-CN"/>
                    </w:rPr>
                    <w:t>0.00011</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5815A">
                  <w:pPr>
                    <w:pStyle w:val="25"/>
                    <w:bidi w:val="0"/>
                    <w:rPr>
                      <w:rFonts w:hint="default" w:ascii="Times New Roman" w:hAnsi="Times New Roman" w:cs="Times New Roman"/>
                    </w:rPr>
                  </w:pPr>
                  <w:r>
                    <w:rPr>
                      <w:rFonts w:hint="default" w:ascii="Times New Roman" w:hAnsi="Times New Roman" w:cs="Times New Roman"/>
                      <w:lang w:val="en-US" w:eastAsia="zh-CN"/>
                    </w:rPr>
                    <w:t>0.00003</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CCF04">
                  <w:pPr>
                    <w:pStyle w:val="25"/>
                    <w:bidi w:val="0"/>
                    <w:rPr>
                      <w:rFonts w:hint="default" w:ascii="Times New Roman" w:hAnsi="Times New Roman" w:cs="Times New Roman"/>
                    </w:rPr>
                  </w:pPr>
                  <w:r>
                    <w:rPr>
                      <w:rFonts w:hint="default" w:ascii="Times New Roman" w:hAnsi="Times New Roman" w:cs="Times New Roman"/>
                      <w:lang w:val="en-US" w:eastAsia="zh-CN"/>
                    </w:rPr>
                    <w:t>0.00018</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77C67">
                  <w:pPr>
                    <w:pStyle w:val="25"/>
                    <w:bidi w:val="0"/>
                    <w:rPr>
                      <w:rFonts w:hint="default" w:ascii="Times New Roman" w:hAnsi="Times New Roman" w:cs="Times New Roman"/>
                    </w:rPr>
                  </w:pPr>
                  <w:r>
                    <w:rPr>
                      <w:rFonts w:hint="default" w:ascii="Times New Roman" w:hAnsi="Times New Roman" w:cs="Times New Roman"/>
                      <w:lang w:val="en-US" w:eastAsia="zh-CN"/>
                    </w:rPr>
                    <w:t>0.00024</w:t>
                  </w:r>
                </w:p>
              </w:tc>
            </w:tr>
            <w:tr w14:paraId="12E1D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63178">
                  <w:pPr>
                    <w:pStyle w:val="25"/>
                    <w:bidi w:val="0"/>
                    <w:rPr>
                      <w:rFonts w:hint="default" w:ascii="Times New Roman" w:hAnsi="Times New Roman" w:cs="Times New Roman"/>
                    </w:rPr>
                  </w:pPr>
                </w:p>
              </w:tc>
              <w:tc>
                <w:tcPr>
                  <w:tcW w:w="9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72672">
                  <w:pPr>
                    <w:pStyle w:val="25"/>
                    <w:bidi w:val="0"/>
                    <w:rPr>
                      <w:rFonts w:hint="default" w:ascii="Times New Roman" w:hAnsi="Times New Roman" w:cs="Times New Roman"/>
                    </w:rPr>
                  </w:pP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1F1A0">
                  <w:pPr>
                    <w:pStyle w:val="25"/>
                    <w:bidi w:val="0"/>
                    <w:rPr>
                      <w:rFonts w:hint="default" w:ascii="Times New Roman" w:hAnsi="Times New Roman" w:cs="Times New Roman"/>
                    </w:rPr>
                  </w:pPr>
                  <w:r>
                    <w:rPr>
                      <w:rFonts w:hint="default" w:ascii="Times New Roman" w:hAnsi="Times New Roman" w:cs="Times New Roman"/>
                      <w:lang w:val="en-US" w:eastAsia="zh-CN"/>
                    </w:rPr>
                    <w:t>t/a</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4205C">
                  <w:pPr>
                    <w:pStyle w:val="25"/>
                    <w:bidi w:val="0"/>
                    <w:rPr>
                      <w:rFonts w:hint="default" w:ascii="Times New Roman" w:hAnsi="Times New Roman" w:cs="Times New Roman"/>
                    </w:rPr>
                  </w:pPr>
                  <w:r>
                    <w:rPr>
                      <w:rFonts w:hint="default" w:ascii="Times New Roman" w:hAnsi="Times New Roman" w:cs="Times New Roman"/>
                      <w:lang w:val="en-US" w:eastAsia="zh-CN"/>
                    </w:rPr>
                    <w:t>0.00039</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AE8F7">
                  <w:pPr>
                    <w:pStyle w:val="25"/>
                    <w:bidi w:val="0"/>
                    <w:rPr>
                      <w:rFonts w:hint="default" w:ascii="Times New Roman" w:hAnsi="Times New Roman" w:cs="Times New Roman"/>
                    </w:rPr>
                  </w:pPr>
                  <w:r>
                    <w:rPr>
                      <w:rFonts w:hint="default" w:ascii="Times New Roman" w:hAnsi="Times New Roman" w:cs="Times New Roman"/>
                      <w:lang w:val="en-US" w:eastAsia="zh-CN"/>
                    </w:rPr>
                    <w:t>0.00093</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2F911">
                  <w:pPr>
                    <w:pStyle w:val="25"/>
                    <w:bidi w:val="0"/>
                    <w:rPr>
                      <w:rFonts w:hint="default" w:ascii="Times New Roman" w:hAnsi="Times New Roman" w:cs="Times New Roman"/>
                    </w:rPr>
                  </w:pPr>
                  <w:r>
                    <w:rPr>
                      <w:rFonts w:hint="default" w:ascii="Times New Roman" w:hAnsi="Times New Roman" w:cs="Times New Roman"/>
                      <w:lang w:val="en-US" w:eastAsia="zh-CN"/>
                    </w:rPr>
                    <w:t>0.00028</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9A93F">
                  <w:pPr>
                    <w:pStyle w:val="25"/>
                    <w:bidi w:val="0"/>
                    <w:rPr>
                      <w:rFonts w:hint="default" w:ascii="Times New Roman" w:hAnsi="Times New Roman" w:cs="Times New Roman"/>
                    </w:rPr>
                  </w:pPr>
                  <w:r>
                    <w:rPr>
                      <w:rFonts w:hint="default" w:ascii="Times New Roman" w:hAnsi="Times New Roman" w:cs="Times New Roman"/>
                      <w:lang w:val="en-US" w:eastAsia="zh-CN"/>
                    </w:rPr>
                    <w:t>0.00160</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FF2BA">
                  <w:pPr>
                    <w:pStyle w:val="25"/>
                    <w:bidi w:val="0"/>
                    <w:rPr>
                      <w:rFonts w:hint="default" w:ascii="Times New Roman" w:hAnsi="Times New Roman" w:cs="Times New Roman"/>
                    </w:rPr>
                  </w:pPr>
                  <w:r>
                    <w:rPr>
                      <w:rFonts w:hint="default" w:ascii="Times New Roman" w:hAnsi="Times New Roman" w:cs="Times New Roman"/>
                      <w:lang w:val="en-US" w:eastAsia="zh-CN"/>
                    </w:rPr>
                    <w:t>0.00210</w:t>
                  </w:r>
                </w:p>
              </w:tc>
            </w:tr>
          </w:tbl>
          <w:p w14:paraId="7C06DA7B">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2.</w:t>
            </w:r>
            <w:r>
              <w:rPr>
                <w:rFonts w:hint="eastAsia"/>
                <w:sz w:val="24"/>
                <w:szCs w:val="24"/>
              </w:rPr>
              <w:t>1.2治理设施及排放情况</w:t>
            </w:r>
          </w:p>
          <w:p w14:paraId="582686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本项目针对不同区域采用离子除臭</w:t>
            </w:r>
            <w:r>
              <w:rPr>
                <w:rFonts w:hint="eastAsia"/>
                <w:sz w:val="24"/>
                <w:szCs w:val="24"/>
                <w:lang w:val="en-US" w:eastAsia="zh-CN"/>
              </w:rPr>
              <w:t>或</w:t>
            </w:r>
            <w:r>
              <w:rPr>
                <w:rFonts w:hint="eastAsia"/>
                <w:sz w:val="24"/>
                <w:szCs w:val="24"/>
              </w:rPr>
              <w:t>生物除臭的组合工艺：</w:t>
            </w:r>
          </w:p>
          <w:p w14:paraId="1EBFDC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预处理区（臭气量约3000m</w:t>
            </w:r>
            <w:r>
              <w:rPr>
                <w:rFonts w:hint="eastAsia"/>
                <w:sz w:val="24"/>
                <w:szCs w:val="24"/>
                <w:vertAlign w:val="superscript"/>
              </w:rPr>
              <w:t>3</w:t>
            </w:r>
            <w:r>
              <w:rPr>
                <w:rFonts w:hint="eastAsia"/>
                <w:sz w:val="24"/>
                <w:szCs w:val="24"/>
              </w:rPr>
              <w:t>/h）：设置1套离子除臭装置，处理后经15m高排气筒（DA001）排放；</w:t>
            </w:r>
          </w:p>
          <w:p w14:paraId="2A906F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生化处理区及污泥处理区（臭气量约15000m</w:t>
            </w:r>
            <w:r>
              <w:rPr>
                <w:rFonts w:hint="eastAsia"/>
                <w:sz w:val="24"/>
                <w:szCs w:val="24"/>
                <w:vertAlign w:val="superscript"/>
              </w:rPr>
              <w:t>3</w:t>
            </w:r>
            <w:r>
              <w:rPr>
                <w:rFonts w:hint="eastAsia"/>
                <w:sz w:val="24"/>
                <w:szCs w:val="24"/>
              </w:rPr>
              <w:t>/h）：设置1套生物除臭装置，处理后经15m高排气筒（DA002）排放。</w:t>
            </w:r>
          </w:p>
          <w:p w14:paraId="1C5E2A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有组织恶臭收集效率</w:t>
            </w:r>
            <w:r>
              <w:rPr>
                <w:b w:val="0"/>
                <w:color w:val="000000"/>
                <w:sz w:val="24"/>
                <w:szCs w:val="24"/>
              </w:rPr>
              <w:t>预处理区</w:t>
            </w:r>
            <w:r>
              <w:rPr>
                <w:rFonts w:hint="eastAsia"/>
                <w:sz w:val="24"/>
                <w:szCs w:val="24"/>
              </w:rPr>
              <w:t>按</w:t>
            </w:r>
            <w:r>
              <w:rPr>
                <w:rFonts w:hint="eastAsia"/>
                <w:sz w:val="24"/>
                <w:szCs w:val="24"/>
                <w:lang w:val="en-US" w:eastAsia="zh-CN"/>
              </w:rPr>
              <w:t>90</w:t>
            </w:r>
            <w:r>
              <w:rPr>
                <w:rFonts w:hint="eastAsia"/>
                <w:sz w:val="24"/>
                <w:szCs w:val="24"/>
              </w:rPr>
              <w:t>%计，生化处理区</w:t>
            </w:r>
            <w:r>
              <w:rPr>
                <w:rFonts w:hint="eastAsia"/>
                <w:sz w:val="24"/>
                <w:szCs w:val="24"/>
                <w:lang w:eastAsia="zh-CN"/>
              </w:rPr>
              <w:t>、</w:t>
            </w:r>
            <w:r>
              <w:rPr>
                <w:rFonts w:hint="eastAsia"/>
                <w:sz w:val="24"/>
                <w:szCs w:val="24"/>
              </w:rPr>
              <w:t>污泥处理区收集效率按9</w:t>
            </w:r>
            <w:r>
              <w:rPr>
                <w:rFonts w:hint="eastAsia"/>
                <w:sz w:val="24"/>
                <w:szCs w:val="24"/>
                <w:lang w:val="en-US" w:eastAsia="zh-CN"/>
              </w:rPr>
              <w:t>5</w:t>
            </w:r>
            <w:r>
              <w:rPr>
                <w:rFonts w:hint="eastAsia"/>
                <w:sz w:val="24"/>
                <w:szCs w:val="24"/>
              </w:rPr>
              <w:t>%计，离子除臭去除效率≥80%，生物除臭去除效率≥90%。</w:t>
            </w:r>
          </w:p>
          <w:p w14:paraId="107E2789">
            <w:pPr>
              <w:pStyle w:val="23"/>
              <w:bidi w:val="0"/>
              <w:rPr>
                <w:rFonts w:hint="eastAsia"/>
                <w:lang w:val="en-US" w:eastAsia="zh-CN"/>
              </w:rPr>
            </w:pPr>
            <w:r>
              <w:rPr>
                <w:rFonts w:hint="eastAsia"/>
                <w:lang w:val="en-US" w:eastAsia="zh-CN"/>
              </w:rPr>
              <w:t>表4-4治理设施及排放情况</w:t>
            </w:r>
          </w:p>
          <w:tbl>
            <w:tblPr>
              <w:tblStyle w:val="1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0"/>
              <w:gridCol w:w="1110"/>
              <w:gridCol w:w="1624"/>
              <w:gridCol w:w="1172"/>
              <w:gridCol w:w="1172"/>
              <w:gridCol w:w="1556"/>
            </w:tblGrid>
            <w:tr w14:paraId="77C85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8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ADD2CC">
                  <w:pPr>
                    <w:jc w:val="center"/>
                    <w:rPr>
                      <w:b w:val="0"/>
                      <w:color w:val="000000"/>
                    </w:rPr>
                  </w:pPr>
                  <w:r>
                    <w:rPr>
                      <w:b w:val="0"/>
                      <w:color w:val="000000"/>
                    </w:rPr>
                    <w:t>产臭单元</w:t>
                  </w:r>
                </w:p>
              </w:tc>
              <w:tc>
                <w:tcPr>
                  <w:tcW w:w="6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0F25E9">
                  <w:pPr>
                    <w:jc w:val="center"/>
                    <w:rPr>
                      <w:b w:val="0"/>
                      <w:color w:val="000000"/>
                    </w:rPr>
                  </w:pPr>
                  <w:r>
                    <w:rPr>
                      <w:b w:val="0"/>
                      <w:color w:val="000000"/>
                    </w:rPr>
                    <w:t>治理工艺</w:t>
                  </w:r>
                </w:p>
              </w:tc>
              <w:tc>
                <w:tcPr>
                  <w:tcW w:w="10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DC34F3">
                  <w:pPr>
                    <w:jc w:val="center"/>
                    <w:rPr>
                      <w:rFonts w:hint="default" w:eastAsiaTheme="minorEastAsia"/>
                      <w:b w:val="0"/>
                      <w:color w:val="000000"/>
                      <w:lang w:val="en-US" w:eastAsia="zh-CN"/>
                    </w:rPr>
                  </w:pPr>
                  <w:r>
                    <w:rPr>
                      <w:b w:val="0"/>
                      <w:color w:val="000000"/>
                    </w:rPr>
                    <w:t>设计风量</w:t>
                  </w:r>
                  <w:r>
                    <w:rPr>
                      <w:rFonts w:hint="eastAsia"/>
                      <w:b w:val="0"/>
                      <w:color w:val="000000"/>
                      <w:lang w:val="en-US" w:eastAsia="zh-CN"/>
                    </w:rPr>
                    <w:t>m</w:t>
                  </w:r>
                  <w:r>
                    <w:rPr>
                      <w:rFonts w:hint="eastAsia"/>
                      <w:sz w:val="21"/>
                      <w:szCs w:val="21"/>
                      <w:vertAlign w:val="superscript"/>
                    </w:rPr>
                    <w:t>3</w:t>
                  </w:r>
                  <w:r>
                    <w:rPr>
                      <w:rFonts w:hint="eastAsia"/>
                      <w:b w:val="0"/>
                      <w:color w:val="000000"/>
                      <w:lang w:val="en-US" w:eastAsia="zh-CN"/>
                    </w:rPr>
                    <w:t>/h</w:t>
                  </w: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219B93">
                  <w:pPr>
                    <w:jc w:val="center"/>
                    <w:rPr>
                      <w:b w:val="0"/>
                      <w:color w:val="000000"/>
                    </w:rPr>
                  </w:pPr>
                  <w:r>
                    <w:rPr>
                      <w:b w:val="0"/>
                      <w:color w:val="000000"/>
                    </w:rPr>
                    <w:t>收集效率</w:t>
                  </w: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2EFE25">
                  <w:pPr>
                    <w:jc w:val="center"/>
                    <w:rPr>
                      <w:b w:val="0"/>
                      <w:color w:val="000000"/>
                    </w:rPr>
                  </w:pPr>
                  <w:r>
                    <w:rPr>
                      <w:b w:val="0"/>
                      <w:color w:val="000000"/>
                    </w:rPr>
                    <w:t>去除效率</w:t>
                  </w:r>
                </w:p>
              </w:tc>
              <w:tc>
                <w:tcPr>
                  <w:tcW w:w="9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AAE71">
                  <w:pPr>
                    <w:jc w:val="center"/>
                    <w:rPr>
                      <w:b w:val="0"/>
                      <w:color w:val="000000"/>
                    </w:rPr>
                  </w:pPr>
                  <w:r>
                    <w:rPr>
                      <w:b w:val="0"/>
                      <w:color w:val="000000"/>
                    </w:rPr>
                    <w:t>排放方式</w:t>
                  </w:r>
                </w:p>
              </w:tc>
            </w:tr>
            <w:tr w14:paraId="6A692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8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3D884">
                  <w:pPr>
                    <w:jc w:val="center"/>
                    <w:rPr>
                      <w:b w:val="0"/>
                      <w:color w:val="000000"/>
                    </w:rPr>
                  </w:pPr>
                  <w:r>
                    <w:rPr>
                      <w:b w:val="0"/>
                      <w:color w:val="000000"/>
                    </w:rPr>
                    <w:t>预处理区</w:t>
                  </w:r>
                </w:p>
              </w:tc>
              <w:tc>
                <w:tcPr>
                  <w:tcW w:w="6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19A119">
                  <w:pPr>
                    <w:jc w:val="center"/>
                    <w:rPr>
                      <w:b w:val="0"/>
                      <w:color w:val="000000"/>
                    </w:rPr>
                  </w:pPr>
                  <w:r>
                    <w:rPr>
                      <w:b w:val="0"/>
                      <w:color w:val="000000"/>
                    </w:rPr>
                    <w:t>离子除臭</w:t>
                  </w:r>
                </w:p>
              </w:tc>
              <w:tc>
                <w:tcPr>
                  <w:tcW w:w="10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B04E7">
                  <w:pPr>
                    <w:jc w:val="center"/>
                    <w:rPr>
                      <w:b w:val="0"/>
                      <w:color w:val="000000"/>
                    </w:rPr>
                  </w:pPr>
                  <w:r>
                    <w:rPr>
                      <w:b w:val="0"/>
                      <w:color w:val="000000"/>
                    </w:rPr>
                    <w:t>3000</w:t>
                  </w: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76875">
                  <w:pPr>
                    <w:jc w:val="center"/>
                    <w:rPr>
                      <w:b w:val="0"/>
                      <w:color w:val="000000"/>
                    </w:rPr>
                  </w:pPr>
                  <w:r>
                    <w:rPr>
                      <w:b w:val="0"/>
                      <w:color w:val="000000"/>
                    </w:rPr>
                    <w:t>90%</w:t>
                  </w:r>
                </w:p>
              </w:tc>
              <w:tc>
                <w:tcPr>
                  <w:tcW w:w="7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BEE1B0">
                  <w:pPr>
                    <w:jc w:val="center"/>
                    <w:rPr>
                      <w:b w:val="0"/>
                      <w:color w:val="000000"/>
                    </w:rPr>
                  </w:pPr>
                  <w:r>
                    <w:rPr>
                      <w:b w:val="0"/>
                      <w:color w:val="000000"/>
                    </w:rPr>
                    <w:t>80%</w:t>
                  </w:r>
                </w:p>
              </w:tc>
              <w:tc>
                <w:tcPr>
                  <w:tcW w:w="980" w:type="pct"/>
                  <w:vMerge w:val="restart"/>
                  <w:tcBorders>
                    <w:top w:val="single" w:color="000000" w:sz="4" w:space="0"/>
                    <w:left w:val="single" w:color="000000" w:sz="4" w:space="0"/>
                    <w:right w:val="single" w:color="000000" w:sz="4" w:space="0"/>
                  </w:tcBorders>
                  <w:shd w:val="clear" w:color="auto" w:fill="FFFFFF"/>
                  <w:vAlign w:val="center"/>
                </w:tcPr>
                <w:p w14:paraId="0AFBE484">
                  <w:pPr>
                    <w:jc w:val="center"/>
                    <w:rPr>
                      <w:rFonts w:hint="default" w:eastAsia="宋体"/>
                      <w:b w:val="0"/>
                      <w:color w:val="000000"/>
                      <w:lang w:val="en-US" w:eastAsia="zh-CN"/>
                    </w:rPr>
                  </w:pPr>
                  <w:r>
                    <w:rPr>
                      <w:rFonts w:hint="eastAsia"/>
                      <w:b w:val="0"/>
                      <w:color w:val="000000"/>
                      <w:lang w:val="en-US" w:eastAsia="zh-CN"/>
                    </w:rPr>
                    <w:t>经15m高排气筒排放</w:t>
                  </w:r>
                </w:p>
              </w:tc>
            </w:tr>
            <w:tr w14:paraId="3D91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8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4F4A0">
                  <w:pPr>
                    <w:jc w:val="center"/>
                    <w:rPr>
                      <w:b w:val="0"/>
                      <w:color w:val="000000"/>
                    </w:rPr>
                  </w:pPr>
                  <w:r>
                    <w:rPr>
                      <w:b w:val="0"/>
                      <w:color w:val="000000"/>
                    </w:rPr>
                    <w:t>生化处理区</w:t>
                  </w:r>
                </w:p>
              </w:tc>
              <w:tc>
                <w:tcPr>
                  <w:tcW w:w="699" w:type="pct"/>
                  <w:vMerge w:val="restart"/>
                  <w:tcBorders>
                    <w:top w:val="single" w:color="000000" w:sz="4" w:space="0"/>
                    <w:left w:val="single" w:color="000000" w:sz="4" w:space="0"/>
                    <w:right w:val="single" w:color="000000" w:sz="4" w:space="0"/>
                  </w:tcBorders>
                  <w:shd w:val="clear" w:color="auto" w:fill="FFFFFF"/>
                  <w:vAlign w:val="center"/>
                </w:tcPr>
                <w:p w14:paraId="253196E3">
                  <w:pPr>
                    <w:jc w:val="center"/>
                    <w:rPr>
                      <w:b w:val="0"/>
                      <w:color w:val="000000"/>
                    </w:rPr>
                  </w:pPr>
                  <w:r>
                    <w:rPr>
                      <w:b w:val="0"/>
                      <w:color w:val="000000"/>
                    </w:rPr>
                    <w:t>生物除臭</w:t>
                  </w:r>
                </w:p>
              </w:tc>
              <w:tc>
                <w:tcPr>
                  <w:tcW w:w="1023" w:type="pct"/>
                  <w:vMerge w:val="restart"/>
                  <w:tcBorders>
                    <w:top w:val="single" w:color="000000" w:sz="4" w:space="0"/>
                    <w:left w:val="single" w:color="000000" w:sz="4" w:space="0"/>
                    <w:right w:val="single" w:color="000000" w:sz="4" w:space="0"/>
                  </w:tcBorders>
                  <w:shd w:val="clear" w:color="auto" w:fill="FFFFFF"/>
                  <w:vAlign w:val="center"/>
                </w:tcPr>
                <w:p w14:paraId="484428D2">
                  <w:pPr>
                    <w:jc w:val="center"/>
                    <w:rPr>
                      <w:b w:val="0"/>
                      <w:color w:val="000000"/>
                    </w:rPr>
                  </w:pPr>
                  <w:r>
                    <w:rPr>
                      <w:b w:val="0"/>
                      <w:color w:val="000000"/>
                    </w:rPr>
                    <w:t>15000</w:t>
                  </w:r>
                </w:p>
              </w:tc>
              <w:tc>
                <w:tcPr>
                  <w:tcW w:w="738" w:type="pct"/>
                  <w:vMerge w:val="restart"/>
                  <w:tcBorders>
                    <w:top w:val="single" w:color="000000" w:sz="4" w:space="0"/>
                    <w:left w:val="single" w:color="000000" w:sz="4" w:space="0"/>
                    <w:right w:val="single" w:color="000000" w:sz="4" w:space="0"/>
                  </w:tcBorders>
                  <w:shd w:val="clear" w:color="auto" w:fill="FFFFFF"/>
                  <w:vAlign w:val="center"/>
                </w:tcPr>
                <w:p w14:paraId="48016075">
                  <w:pPr>
                    <w:jc w:val="center"/>
                    <w:rPr>
                      <w:b w:val="0"/>
                      <w:color w:val="000000"/>
                    </w:rPr>
                  </w:pPr>
                  <w:r>
                    <w:rPr>
                      <w:b w:val="0"/>
                      <w:color w:val="000000"/>
                    </w:rPr>
                    <w:t>95%</w:t>
                  </w:r>
                </w:p>
              </w:tc>
              <w:tc>
                <w:tcPr>
                  <w:tcW w:w="738" w:type="pct"/>
                  <w:vMerge w:val="restart"/>
                  <w:tcBorders>
                    <w:top w:val="single" w:color="000000" w:sz="4" w:space="0"/>
                    <w:left w:val="single" w:color="000000" w:sz="4" w:space="0"/>
                    <w:right w:val="single" w:color="000000" w:sz="4" w:space="0"/>
                  </w:tcBorders>
                  <w:shd w:val="clear" w:color="auto" w:fill="FFFFFF"/>
                  <w:vAlign w:val="center"/>
                </w:tcPr>
                <w:p w14:paraId="329B5CF5">
                  <w:pPr>
                    <w:jc w:val="center"/>
                    <w:rPr>
                      <w:b w:val="0"/>
                      <w:color w:val="000000"/>
                    </w:rPr>
                  </w:pPr>
                  <w:r>
                    <w:rPr>
                      <w:b w:val="0"/>
                      <w:color w:val="000000"/>
                    </w:rPr>
                    <w:t>90%</w:t>
                  </w:r>
                </w:p>
              </w:tc>
              <w:tc>
                <w:tcPr>
                  <w:tcW w:w="980" w:type="pct"/>
                  <w:vMerge w:val="continue"/>
                  <w:tcBorders>
                    <w:left w:val="single" w:color="000000" w:sz="4" w:space="0"/>
                    <w:right w:val="single" w:color="000000" w:sz="4" w:space="0"/>
                  </w:tcBorders>
                  <w:shd w:val="clear" w:color="auto" w:fill="FFFFFF"/>
                  <w:vAlign w:val="center"/>
                </w:tcPr>
                <w:p w14:paraId="2FF25908">
                  <w:pPr>
                    <w:jc w:val="center"/>
                    <w:rPr>
                      <w:b w:val="0"/>
                      <w:color w:val="000000"/>
                    </w:rPr>
                  </w:pPr>
                </w:p>
              </w:tc>
            </w:tr>
            <w:tr w14:paraId="206E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8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DB67D">
                  <w:pPr>
                    <w:jc w:val="center"/>
                    <w:rPr>
                      <w:b w:val="0"/>
                      <w:color w:val="000000"/>
                    </w:rPr>
                  </w:pPr>
                  <w:r>
                    <w:rPr>
                      <w:b w:val="0"/>
                      <w:color w:val="000000"/>
                    </w:rPr>
                    <w:t>污泥处理区</w:t>
                  </w:r>
                </w:p>
              </w:tc>
              <w:tc>
                <w:tcPr>
                  <w:tcW w:w="699" w:type="pct"/>
                  <w:vMerge w:val="continue"/>
                  <w:tcBorders>
                    <w:left w:val="single" w:color="000000" w:sz="4" w:space="0"/>
                    <w:bottom w:val="single" w:color="000000" w:sz="4" w:space="0"/>
                    <w:right w:val="single" w:color="000000" w:sz="4" w:space="0"/>
                  </w:tcBorders>
                  <w:shd w:val="clear" w:color="auto" w:fill="FFFFFF"/>
                  <w:vAlign w:val="center"/>
                </w:tcPr>
                <w:p w14:paraId="495D13E3">
                  <w:pPr>
                    <w:jc w:val="center"/>
                    <w:rPr>
                      <w:b w:val="0"/>
                      <w:color w:val="000000"/>
                    </w:rPr>
                  </w:pPr>
                </w:p>
              </w:tc>
              <w:tc>
                <w:tcPr>
                  <w:tcW w:w="1023" w:type="pct"/>
                  <w:vMerge w:val="continue"/>
                  <w:tcBorders>
                    <w:left w:val="single" w:color="000000" w:sz="4" w:space="0"/>
                    <w:bottom w:val="single" w:color="000000" w:sz="4" w:space="0"/>
                    <w:right w:val="single" w:color="000000" w:sz="4" w:space="0"/>
                  </w:tcBorders>
                  <w:shd w:val="clear" w:color="auto" w:fill="FFFFFF"/>
                  <w:vAlign w:val="center"/>
                </w:tcPr>
                <w:p w14:paraId="566DC885">
                  <w:pPr>
                    <w:jc w:val="center"/>
                    <w:rPr>
                      <w:b w:val="0"/>
                      <w:color w:val="000000"/>
                    </w:rPr>
                  </w:pPr>
                </w:p>
              </w:tc>
              <w:tc>
                <w:tcPr>
                  <w:tcW w:w="738" w:type="pct"/>
                  <w:vMerge w:val="continue"/>
                  <w:tcBorders>
                    <w:left w:val="single" w:color="000000" w:sz="4" w:space="0"/>
                    <w:bottom w:val="single" w:color="000000" w:sz="4" w:space="0"/>
                    <w:right w:val="single" w:color="000000" w:sz="4" w:space="0"/>
                  </w:tcBorders>
                  <w:shd w:val="clear" w:color="auto" w:fill="FFFFFF"/>
                  <w:vAlign w:val="center"/>
                </w:tcPr>
                <w:p w14:paraId="34A13AF0">
                  <w:pPr>
                    <w:jc w:val="center"/>
                    <w:rPr>
                      <w:b w:val="0"/>
                      <w:color w:val="000000"/>
                    </w:rPr>
                  </w:pPr>
                </w:p>
              </w:tc>
              <w:tc>
                <w:tcPr>
                  <w:tcW w:w="738" w:type="pct"/>
                  <w:vMerge w:val="continue"/>
                  <w:tcBorders>
                    <w:left w:val="single" w:color="000000" w:sz="4" w:space="0"/>
                    <w:bottom w:val="single" w:color="000000" w:sz="4" w:space="0"/>
                    <w:right w:val="single" w:color="000000" w:sz="4" w:space="0"/>
                  </w:tcBorders>
                  <w:shd w:val="clear" w:color="auto" w:fill="FFFFFF"/>
                  <w:vAlign w:val="center"/>
                </w:tcPr>
                <w:p w14:paraId="713F0280">
                  <w:pPr>
                    <w:jc w:val="center"/>
                    <w:rPr>
                      <w:b w:val="0"/>
                      <w:color w:val="000000"/>
                    </w:rPr>
                  </w:pPr>
                </w:p>
              </w:tc>
              <w:tc>
                <w:tcPr>
                  <w:tcW w:w="980" w:type="pct"/>
                  <w:vMerge w:val="continue"/>
                  <w:tcBorders>
                    <w:left w:val="single" w:color="000000" w:sz="4" w:space="0"/>
                    <w:bottom w:val="single" w:color="000000" w:sz="4" w:space="0"/>
                    <w:right w:val="single" w:color="000000" w:sz="4" w:space="0"/>
                  </w:tcBorders>
                  <w:shd w:val="clear" w:color="auto" w:fill="FFFFFF"/>
                  <w:vAlign w:val="center"/>
                </w:tcPr>
                <w:p w14:paraId="5F599096">
                  <w:pPr>
                    <w:jc w:val="center"/>
                    <w:rPr>
                      <w:b w:val="0"/>
                      <w:color w:val="000000"/>
                    </w:rPr>
                  </w:pPr>
                </w:p>
              </w:tc>
            </w:tr>
          </w:tbl>
          <w:p w14:paraId="479CF54D">
            <w:pPr>
              <w:pStyle w:val="23"/>
              <w:keepNext w:val="0"/>
              <w:keepLines w:val="0"/>
              <w:pageBreakBefore w:val="0"/>
              <w:widowControl w:val="0"/>
              <w:kinsoku/>
              <w:wordWrap/>
              <w:overflowPunct/>
              <w:topLinePunct w:val="0"/>
              <w:autoSpaceDE/>
              <w:autoSpaceDN/>
              <w:bidi w:val="0"/>
              <w:adjustRightInd/>
              <w:snapToGrid/>
              <w:spacing w:before="157" w:beforeLines="50"/>
              <w:textAlignment w:val="auto"/>
              <w:rPr>
                <w:rFonts w:hint="eastAsia"/>
                <w:lang w:val="en-US" w:eastAsia="zh-CN"/>
              </w:rPr>
            </w:pPr>
            <w:r>
              <w:rPr>
                <w:rFonts w:hint="eastAsia"/>
                <w:lang w:val="en-US" w:eastAsia="zh-CN"/>
              </w:rPr>
              <w:t>表4-5 有组织废气排放情况</w:t>
            </w:r>
          </w:p>
          <w:tbl>
            <w:tblPr>
              <w:tblStyle w:val="15"/>
              <w:tblW w:w="794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6"/>
              <w:gridCol w:w="659"/>
              <w:gridCol w:w="1050"/>
              <w:gridCol w:w="1195"/>
              <w:gridCol w:w="1050"/>
              <w:gridCol w:w="1195"/>
              <w:gridCol w:w="1019"/>
              <w:gridCol w:w="927"/>
            </w:tblGrid>
            <w:tr w14:paraId="77FB4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552"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3E29BBC7">
                  <w:pPr>
                    <w:pStyle w:val="25"/>
                    <w:bidi w:val="0"/>
                    <w:jc w:val="center"/>
                    <w:rPr>
                      <w:rFonts w:hint="default" w:ascii="Times New Roman" w:hAnsi="Times New Roman" w:cs="Times New Roman"/>
                    </w:rPr>
                  </w:pPr>
                  <w:r>
                    <w:rPr>
                      <w:rFonts w:hint="default" w:ascii="Times New Roman" w:hAnsi="Times New Roman" w:cs="Times New Roman"/>
                      <w:lang w:val="en-US" w:eastAsia="zh-CN"/>
                    </w:rPr>
                    <w:t>排放口</w:t>
                  </w:r>
                </w:p>
              </w:tc>
              <w:tc>
                <w:tcPr>
                  <w:tcW w:w="434" w:type="pct"/>
                  <w:tcBorders>
                    <w:top w:val="single" w:color="000000" w:sz="8" w:space="0"/>
                    <w:left w:val="nil"/>
                    <w:bottom w:val="single" w:color="000000" w:sz="8" w:space="0"/>
                    <w:right w:val="single" w:color="000000" w:sz="8" w:space="0"/>
                  </w:tcBorders>
                  <w:shd w:val="clear" w:color="auto" w:fill="FFFFFF"/>
                  <w:vAlign w:val="center"/>
                </w:tcPr>
                <w:p w14:paraId="1E1E1601">
                  <w:pPr>
                    <w:pStyle w:val="25"/>
                    <w:bidi w:val="0"/>
                    <w:jc w:val="center"/>
                    <w:rPr>
                      <w:rFonts w:hint="default" w:ascii="Times New Roman" w:hAnsi="Times New Roman" w:cs="Times New Roman"/>
                    </w:rPr>
                  </w:pPr>
                  <w:r>
                    <w:rPr>
                      <w:rFonts w:hint="default" w:ascii="Times New Roman" w:hAnsi="Times New Roman" w:cs="Times New Roman"/>
                      <w:lang w:val="en-US" w:eastAsia="zh-CN"/>
                    </w:rPr>
                    <w:t>污染物</w:t>
                  </w:r>
                </w:p>
              </w:tc>
              <w:tc>
                <w:tcPr>
                  <w:tcW w:w="680" w:type="pct"/>
                  <w:tcBorders>
                    <w:top w:val="single" w:color="000000" w:sz="8" w:space="0"/>
                    <w:left w:val="nil"/>
                    <w:bottom w:val="single" w:color="000000" w:sz="8" w:space="0"/>
                    <w:right w:val="single" w:color="000000" w:sz="8" w:space="0"/>
                  </w:tcBorders>
                  <w:shd w:val="clear" w:color="auto" w:fill="FFFFFF"/>
                  <w:vAlign w:val="center"/>
                </w:tcPr>
                <w:p w14:paraId="06A175C8">
                  <w:pPr>
                    <w:pStyle w:val="25"/>
                    <w:bidi w:val="0"/>
                    <w:jc w:val="center"/>
                    <w:rPr>
                      <w:rFonts w:hint="default" w:ascii="Times New Roman" w:hAnsi="Times New Roman" w:cs="Times New Roman"/>
                    </w:rPr>
                  </w:pPr>
                  <w:r>
                    <w:rPr>
                      <w:rFonts w:hint="default" w:ascii="Times New Roman" w:hAnsi="Times New Roman" w:cs="Times New Roman"/>
                      <w:lang w:val="en-US" w:eastAsia="zh-CN"/>
                    </w:rPr>
                    <w:t>产生量</w:t>
                  </w:r>
                  <w:r>
                    <w:rPr>
                      <w:rFonts w:hint="eastAsia" w:ascii="Times New Roman" w:cs="Times New Roman"/>
                      <w:lang w:val="en-US" w:eastAsia="zh-CN"/>
                    </w:rPr>
                    <w:t>（</w:t>
                  </w:r>
                  <w:r>
                    <w:rPr>
                      <w:rFonts w:hint="default" w:ascii="Times New Roman" w:hAnsi="Times New Roman" w:cs="Times New Roman"/>
                      <w:lang w:val="en-US" w:eastAsia="zh-CN"/>
                    </w:rPr>
                    <w:t>t/a</w:t>
                  </w:r>
                  <w:r>
                    <w:rPr>
                      <w:rFonts w:hint="eastAsia" w:ascii="Times New Roman" w:cs="Times New Roman"/>
                      <w:lang w:val="en-US" w:eastAsia="zh-CN"/>
                    </w:rPr>
                    <w:t>）</w:t>
                  </w:r>
                </w:p>
              </w:tc>
              <w:tc>
                <w:tcPr>
                  <w:tcW w:w="689" w:type="pct"/>
                  <w:tcBorders>
                    <w:top w:val="single" w:color="000000" w:sz="8" w:space="0"/>
                    <w:left w:val="nil"/>
                    <w:bottom w:val="single" w:color="000000" w:sz="8" w:space="0"/>
                    <w:right w:val="single" w:color="000000" w:sz="8" w:space="0"/>
                  </w:tcBorders>
                  <w:shd w:val="clear" w:color="auto" w:fill="FFFFFF"/>
                  <w:vAlign w:val="center"/>
                </w:tcPr>
                <w:p w14:paraId="22044424">
                  <w:pPr>
                    <w:pStyle w:val="25"/>
                    <w:bidi w:val="0"/>
                    <w:jc w:val="center"/>
                    <w:rPr>
                      <w:rFonts w:hint="default" w:ascii="Times New Roman" w:hAnsi="Times New Roman" w:cs="Times New Roman"/>
                    </w:rPr>
                  </w:pPr>
                  <w:r>
                    <w:rPr>
                      <w:rFonts w:hint="default" w:ascii="Times New Roman" w:hAnsi="Times New Roman" w:cs="Times New Roman"/>
                      <w:lang w:val="en-US" w:eastAsia="zh-CN"/>
                    </w:rPr>
                    <w:t>产生浓度</w:t>
                  </w:r>
                  <w:r>
                    <w:rPr>
                      <w:rFonts w:hint="eastAsia" w:ascii="Times New Roman" w:cs="Times New Roman"/>
                      <w:lang w:val="en-US" w:eastAsia="zh-CN"/>
                    </w:rPr>
                    <w:t>（</w:t>
                  </w:r>
                  <w:r>
                    <w:rPr>
                      <w:rFonts w:hint="default" w:ascii="Times New Roman" w:hAnsi="Times New Roman" w:cs="Times New Roman"/>
                      <w:lang w:val="en-US" w:eastAsia="zh-CN"/>
                    </w:rPr>
                    <w:t>mg/</w:t>
                  </w:r>
                  <w:r>
                    <w:rPr>
                      <w:rFonts w:hint="eastAsia" w:ascii="Times New Roman" w:hAnsi="Times New Roman" w:cs="Times New Roman"/>
                      <w:lang w:val="en-US" w:eastAsia="zh-CN"/>
                    </w:rPr>
                    <w:t>m</w:t>
                  </w:r>
                  <w:r>
                    <w:rPr>
                      <w:rFonts w:hint="eastAsia" w:ascii="Times New Roman" w:hAnsi="Times New Roman" w:cs="Times New Roman"/>
                      <w:vertAlign w:val="superscript"/>
                      <w:lang w:val="en-US" w:eastAsia="zh-CN"/>
                    </w:rPr>
                    <w:t>3</w:t>
                  </w:r>
                  <w:r>
                    <w:rPr>
                      <w:rFonts w:hint="eastAsia" w:ascii="Times New Roman" w:cs="Times New Roman"/>
                      <w:lang w:val="en-US" w:eastAsia="zh-CN"/>
                    </w:rPr>
                    <w:t>）</w:t>
                  </w:r>
                </w:p>
              </w:tc>
              <w:tc>
                <w:tcPr>
                  <w:tcW w:w="680" w:type="pct"/>
                  <w:tcBorders>
                    <w:top w:val="single" w:color="000000" w:sz="8" w:space="0"/>
                    <w:left w:val="nil"/>
                    <w:bottom w:val="single" w:color="000000" w:sz="8" w:space="0"/>
                    <w:right w:val="single" w:color="000000" w:sz="8" w:space="0"/>
                  </w:tcBorders>
                  <w:shd w:val="clear" w:color="auto" w:fill="FFFFFF"/>
                  <w:vAlign w:val="center"/>
                </w:tcPr>
                <w:p w14:paraId="4D98DFFF">
                  <w:pPr>
                    <w:pStyle w:val="25"/>
                    <w:bidi w:val="0"/>
                    <w:jc w:val="center"/>
                    <w:rPr>
                      <w:rFonts w:hint="default" w:ascii="Times New Roman" w:hAnsi="Times New Roman" w:cs="Times New Roman"/>
                    </w:rPr>
                  </w:pPr>
                  <w:r>
                    <w:rPr>
                      <w:rFonts w:hint="default" w:ascii="Times New Roman" w:hAnsi="Times New Roman" w:cs="Times New Roman"/>
                      <w:lang w:val="en-US" w:eastAsia="zh-CN"/>
                    </w:rPr>
                    <w:t>产生速率</w:t>
                  </w:r>
                  <w:r>
                    <w:rPr>
                      <w:rFonts w:hint="eastAsia" w:ascii="Times New Roman" w:cs="Times New Roman"/>
                      <w:lang w:val="en-US" w:eastAsia="zh-CN"/>
                    </w:rPr>
                    <w:t>（</w:t>
                  </w:r>
                  <w:r>
                    <w:rPr>
                      <w:rFonts w:hint="default" w:ascii="Times New Roman" w:hAnsi="Times New Roman" w:cs="Times New Roman"/>
                      <w:lang w:val="en-US" w:eastAsia="zh-CN"/>
                    </w:rPr>
                    <w:t>kg/h</w:t>
                  </w:r>
                  <w:r>
                    <w:rPr>
                      <w:rFonts w:hint="eastAsia" w:ascii="Times New Roman" w:cs="Times New Roman"/>
                      <w:lang w:val="en-US" w:eastAsia="zh-CN"/>
                    </w:rPr>
                    <w:t>）</w:t>
                  </w:r>
                </w:p>
              </w:tc>
              <w:tc>
                <w:tcPr>
                  <w:tcW w:w="698" w:type="pct"/>
                  <w:tcBorders>
                    <w:top w:val="single" w:color="000000" w:sz="8" w:space="0"/>
                    <w:left w:val="nil"/>
                    <w:bottom w:val="single" w:color="000000" w:sz="8" w:space="0"/>
                    <w:right w:val="single" w:color="000000" w:sz="8" w:space="0"/>
                  </w:tcBorders>
                  <w:shd w:val="clear" w:color="auto" w:fill="FFFFFF"/>
                  <w:vAlign w:val="center"/>
                </w:tcPr>
                <w:p w14:paraId="09283D29">
                  <w:pPr>
                    <w:pStyle w:val="25"/>
                    <w:bidi w:val="0"/>
                    <w:jc w:val="center"/>
                    <w:rPr>
                      <w:rFonts w:hint="default" w:ascii="Times New Roman" w:hAnsi="Times New Roman" w:cs="Times New Roman"/>
                    </w:rPr>
                  </w:pPr>
                  <w:r>
                    <w:rPr>
                      <w:rFonts w:hint="default" w:ascii="Times New Roman" w:hAnsi="Times New Roman" w:cs="Times New Roman"/>
                      <w:lang w:val="en-US" w:eastAsia="zh-CN"/>
                    </w:rPr>
                    <w:t>排放浓度</w:t>
                  </w:r>
                  <w:r>
                    <w:rPr>
                      <w:rFonts w:hint="eastAsia" w:ascii="Times New Roman" w:cs="Times New Roman"/>
                      <w:lang w:val="en-US" w:eastAsia="zh-CN"/>
                    </w:rPr>
                    <w:t>（</w:t>
                  </w:r>
                  <w:r>
                    <w:rPr>
                      <w:rFonts w:hint="default" w:ascii="Times New Roman" w:hAnsi="Times New Roman" w:cs="Times New Roman"/>
                      <w:lang w:val="en-US" w:eastAsia="zh-CN"/>
                    </w:rPr>
                    <w:t>mg/</w:t>
                  </w:r>
                  <w:r>
                    <w:rPr>
                      <w:rFonts w:hint="eastAsia" w:ascii="Times New Roman" w:hAnsi="Times New Roman" w:cs="Times New Roman"/>
                      <w:lang w:val="en-US" w:eastAsia="zh-CN"/>
                    </w:rPr>
                    <w:t>m</w:t>
                  </w:r>
                  <w:r>
                    <w:rPr>
                      <w:rFonts w:hint="eastAsia" w:ascii="Times New Roman" w:hAnsi="Times New Roman" w:cs="Times New Roman"/>
                      <w:vertAlign w:val="superscript"/>
                      <w:lang w:val="en-US" w:eastAsia="zh-CN"/>
                    </w:rPr>
                    <w:t>3</w:t>
                  </w:r>
                  <w:r>
                    <w:rPr>
                      <w:rFonts w:hint="eastAsia" w:ascii="Times New Roman" w:cs="Times New Roman"/>
                      <w:lang w:val="en-US" w:eastAsia="zh-CN"/>
                    </w:rPr>
                    <w:t>）</w:t>
                  </w:r>
                </w:p>
              </w:tc>
              <w:tc>
                <w:tcPr>
                  <w:tcW w:w="661" w:type="pct"/>
                  <w:tcBorders>
                    <w:top w:val="single" w:color="000000" w:sz="8" w:space="0"/>
                    <w:left w:val="nil"/>
                    <w:bottom w:val="single" w:color="000000" w:sz="8" w:space="0"/>
                    <w:right w:val="single" w:color="000000" w:sz="8" w:space="0"/>
                  </w:tcBorders>
                  <w:shd w:val="clear" w:color="auto" w:fill="FFFFFF"/>
                  <w:vAlign w:val="center"/>
                </w:tcPr>
                <w:p w14:paraId="4ECB670B">
                  <w:pPr>
                    <w:pStyle w:val="25"/>
                    <w:bidi w:val="0"/>
                    <w:jc w:val="center"/>
                    <w:rPr>
                      <w:rFonts w:hint="default" w:ascii="Times New Roman" w:hAnsi="Times New Roman" w:cs="Times New Roman"/>
                    </w:rPr>
                  </w:pPr>
                  <w:r>
                    <w:rPr>
                      <w:rFonts w:hint="default" w:ascii="Times New Roman" w:hAnsi="Times New Roman" w:cs="Times New Roman"/>
                      <w:lang w:val="en-US" w:eastAsia="zh-CN"/>
                    </w:rPr>
                    <w:t>排放速率</w:t>
                  </w:r>
                  <w:r>
                    <w:rPr>
                      <w:rFonts w:hint="eastAsia" w:ascii="Times New Roman" w:cs="Times New Roman"/>
                      <w:lang w:val="en-US" w:eastAsia="zh-CN"/>
                    </w:rPr>
                    <w:t>（</w:t>
                  </w:r>
                  <w:r>
                    <w:rPr>
                      <w:rFonts w:hint="default" w:ascii="Times New Roman" w:hAnsi="Times New Roman" w:cs="Times New Roman"/>
                      <w:lang w:val="en-US" w:eastAsia="zh-CN"/>
                    </w:rPr>
                    <w:t>kg/h</w:t>
                  </w:r>
                  <w:r>
                    <w:rPr>
                      <w:rFonts w:hint="eastAsia" w:ascii="Times New Roman" w:cs="Times New Roman"/>
                      <w:lang w:val="en-US" w:eastAsia="zh-CN"/>
                    </w:rPr>
                    <w:t>）</w:t>
                  </w:r>
                </w:p>
              </w:tc>
              <w:tc>
                <w:tcPr>
                  <w:tcW w:w="603" w:type="pct"/>
                  <w:tcBorders>
                    <w:top w:val="single" w:color="000000" w:sz="8" w:space="0"/>
                    <w:left w:val="nil"/>
                    <w:bottom w:val="single" w:color="000000" w:sz="8" w:space="0"/>
                    <w:right w:val="single" w:color="000000" w:sz="8" w:space="0"/>
                  </w:tcBorders>
                  <w:shd w:val="clear" w:color="auto" w:fill="FFFFFF"/>
                  <w:vAlign w:val="center"/>
                </w:tcPr>
                <w:p w14:paraId="0BAB6A2B">
                  <w:pPr>
                    <w:pStyle w:val="25"/>
                    <w:bidi w:val="0"/>
                    <w:jc w:val="center"/>
                    <w:rPr>
                      <w:rFonts w:hint="default" w:ascii="Times New Roman" w:hAnsi="Times New Roman" w:cs="Times New Roman"/>
                    </w:rPr>
                  </w:pPr>
                  <w:r>
                    <w:rPr>
                      <w:rFonts w:hint="default" w:ascii="Times New Roman" w:hAnsi="Times New Roman" w:cs="Times New Roman"/>
                      <w:lang w:val="en-US" w:eastAsia="zh-CN"/>
                    </w:rPr>
                    <w:t>排放量</w:t>
                  </w:r>
                  <w:r>
                    <w:rPr>
                      <w:rFonts w:hint="eastAsia" w:ascii="Times New Roman" w:cs="Times New Roman"/>
                      <w:lang w:val="en-US" w:eastAsia="zh-CN"/>
                    </w:rPr>
                    <w:t>（</w:t>
                  </w:r>
                  <w:r>
                    <w:rPr>
                      <w:rFonts w:hint="default" w:ascii="Times New Roman" w:hAnsi="Times New Roman" w:cs="Times New Roman"/>
                      <w:lang w:val="en-US" w:eastAsia="zh-CN"/>
                    </w:rPr>
                    <w:t>t/a</w:t>
                  </w:r>
                  <w:r>
                    <w:rPr>
                      <w:rFonts w:hint="eastAsia" w:ascii="Times New Roman" w:cs="Times New Roman"/>
                      <w:lang w:val="en-US" w:eastAsia="zh-CN"/>
                    </w:rPr>
                    <w:t>）</w:t>
                  </w:r>
                </w:p>
              </w:tc>
            </w:tr>
            <w:tr w14:paraId="68075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552" w:type="pct"/>
                  <w:vMerge w:val="restart"/>
                  <w:tcBorders>
                    <w:top w:val="nil"/>
                    <w:left w:val="single" w:color="000000" w:sz="8" w:space="0"/>
                    <w:bottom w:val="single" w:color="000000" w:sz="8" w:space="0"/>
                    <w:right w:val="single" w:color="000000" w:sz="8" w:space="0"/>
                  </w:tcBorders>
                  <w:shd w:val="clear" w:color="auto" w:fill="FFFFFF"/>
                  <w:vAlign w:val="center"/>
                </w:tcPr>
                <w:p w14:paraId="1F403D14">
                  <w:pPr>
                    <w:pStyle w:val="25"/>
                    <w:bidi w:val="0"/>
                    <w:jc w:val="center"/>
                    <w:rPr>
                      <w:rFonts w:hint="default" w:ascii="Times New Roman" w:hAnsi="Times New Roman" w:cs="Times New Roman"/>
                    </w:rPr>
                  </w:pPr>
                  <w:r>
                    <w:rPr>
                      <w:rFonts w:hint="default" w:ascii="Times New Roman" w:hAnsi="Times New Roman" w:cs="Times New Roman"/>
                      <w:lang w:val="en-US" w:eastAsia="zh-CN"/>
                    </w:rPr>
                    <w:t>DA001</w:t>
                  </w:r>
                </w:p>
              </w:tc>
              <w:tc>
                <w:tcPr>
                  <w:tcW w:w="434" w:type="pct"/>
                  <w:tcBorders>
                    <w:top w:val="nil"/>
                    <w:left w:val="nil"/>
                    <w:bottom w:val="single" w:color="000000" w:sz="8" w:space="0"/>
                    <w:right w:val="single" w:color="000000" w:sz="8" w:space="0"/>
                  </w:tcBorders>
                  <w:shd w:val="clear" w:color="auto" w:fill="FFFFFF"/>
                  <w:vAlign w:val="center"/>
                </w:tcPr>
                <w:p w14:paraId="56E5A76C">
                  <w:pPr>
                    <w:pStyle w:val="25"/>
                    <w:bidi w:val="0"/>
                    <w:jc w:val="center"/>
                    <w:rPr>
                      <w:rFonts w:hint="default" w:ascii="Times New Roman" w:hAnsi="Times New Roman" w:cs="Times New Roman"/>
                      <w:lang w:val="en-US"/>
                    </w:rPr>
                  </w:pPr>
                  <w:r>
                    <w:rPr>
                      <w:rFonts w:hint="default" w:ascii="Times New Roman" w:hAnsi="Times New Roman" w:cs="Times New Roman"/>
                      <w:lang w:val="en-US" w:eastAsia="zh-CN"/>
                    </w:rPr>
                    <w:t>NH</w:t>
                  </w:r>
                  <w:r>
                    <w:rPr>
                      <w:rFonts w:hint="eastAsia" w:ascii="Times New Roman" w:hAnsi="Times New Roman" w:cs="Times New Roman"/>
                      <w:vertAlign w:val="subscript"/>
                      <w:lang w:val="en-US" w:eastAsia="zh-CN"/>
                    </w:rPr>
                    <w:t>3</w:t>
                  </w:r>
                </w:p>
              </w:tc>
              <w:tc>
                <w:tcPr>
                  <w:tcW w:w="680" w:type="pct"/>
                  <w:tcBorders>
                    <w:top w:val="nil"/>
                    <w:left w:val="nil"/>
                    <w:bottom w:val="single" w:color="000000" w:sz="8" w:space="0"/>
                    <w:right w:val="single" w:color="000000" w:sz="8" w:space="0"/>
                  </w:tcBorders>
                  <w:shd w:val="clear" w:color="auto" w:fill="FFFFFF"/>
                  <w:vAlign w:val="center"/>
                </w:tcPr>
                <w:p w14:paraId="5AD10D5C">
                  <w:pPr>
                    <w:pStyle w:val="25"/>
                    <w:bidi w:val="0"/>
                    <w:jc w:val="center"/>
                    <w:rPr>
                      <w:rFonts w:hint="default" w:ascii="Times New Roman" w:hAnsi="Times New Roman" w:cs="Times New Roman"/>
                    </w:rPr>
                  </w:pPr>
                  <w:r>
                    <w:rPr>
                      <w:rFonts w:hint="default" w:ascii="Times New Roman" w:hAnsi="Times New Roman" w:cs="Times New Roman"/>
                      <w:lang w:val="en-US" w:eastAsia="zh-CN"/>
                    </w:rPr>
                    <w:t>0.02319</w:t>
                  </w:r>
                </w:p>
              </w:tc>
              <w:tc>
                <w:tcPr>
                  <w:tcW w:w="689" w:type="pct"/>
                  <w:tcBorders>
                    <w:top w:val="nil"/>
                    <w:left w:val="nil"/>
                    <w:bottom w:val="single" w:color="000000" w:sz="8" w:space="0"/>
                    <w:right w:val="single" w:color="000000" w:sz="8" w:space="0"/>
                  </w:tcBorders>
                  <w:shd w:val="clear" w:color="auto" w:fill="FFFFFF"/>
                  <w:vAlign w:val="center"/>
                </w:tcPr>
                <w:p w14:paraId="52B577E6">
                  <w:pPr>
                    <w:pStyle w:val="25"/>
                    <w:bidi w:val="0"/>
                    <w:jc w:val="center"/>
                    <w:rPr>
                      <w:rFonts w:hint="default" w:ascii="Times New Roman" w:hAnsi="Times New Roman" w:cs="Times New Roman"/>
                    </w:rPr>
                  </w:pPr>
                  <w:r>
                    <w:rPr>
                      <w:rFonts w:hint="default" w:ascii="Times New Roman" w:hAnsi="Times New Roman" w:cs="Times New Roman"/>
                      <w:lang w:val="en-US" w:eastAsia="zh-CN"/>
                    </w:rPr>
                    <w:t>1.0734</w:t>
                  </w:r>
                </w:p>
              </w:tc>
              <w:tc>
                <w:tcPr>
                  <w:tcW w:w="680" w:type="pct"/>
                  <w:tcBorders>
                    <w:top w:val="nil"/>
                    <w:left w:val="nil"/>
                    <w:bottom w:val="single" w:color="000000" w:sz="8" w:space="0"/>
                    <w:right w:val="single" w:color="000000" w:sz="8" w:space="0"/>
                  </w:tcBorders>
                  <w:shd w:val="clear" w:color="auto" w:fill="FFFFFF"/>
                  <w:vAlign w:val="center"/>
                </w:tcPr>
                <w:p w14:paraId="069645AA">
                  <w:pPr>
                    <w:pStyle w:val="25"/>
                    <w:bidi w:val="0"/>
                    <w:jc w:val="center"/>
                    <w:rPr>
                      <w:rFonts w:hint="default" w:ascii="Times New Roman" w:hAnsi="Times New Roman" w:cs="Times New Roman"/>
                    </w:rPr>
                  </w:pPr>
                  <w:r>
                    <w:rPr>
                      <w:rFonts w:hint="default" w:ascii="Times New Roman" w:hAnsi="Times New Roman" w:cs="Times New Roman"/>
                      <w:lang w:val="en-US" w:eastAsia="zh-CN"/>
                    </w:rPr>
                    <w:t>0.00322</w:t>
                  </w:r>
                </w:p>
              </w:tc>
              <w:tc>
                <w:tcPr>
                  <w:tcW w:w="698" w:type="pct"/>
                  <w:tcBorders>
                    <w:top w:val="nil"/>
                    <w:left w:val="nil"/>
                    <w:bottom w:val="single" w:color="000000" w:sz="8" w:space="0"/>
                    <w:right w:val="single" w:color="000000" w:sz="8" w:space="0"/>
                  </w:tcBorders>
                  <w:shd w:val="clear" w:color="auto" w:fill="FFFFFF"/>
                  <w:vAlign w:val="center"/>
                </w:tcPr>
                <w:p w14:paraId="46F9A95E">
                  <w:pPr>
                    <w:pStyle w:val="25"/>
                    <w:bidi w:val="0"/>
                    <w:jc w:val="center"/>
                    <w:rPr>
                      <w:rFonts w:hint="default" w:ascii="Times New Roman" w:hAnsi="Times New Roman" w:cs="Times New Roman"/>
                    </w:rPr>
                  </w:pPr>
                  <w:r>
                    <w:rPr>
                      <w:rFonts w:hint="default" w:ascii="Times New Roman" w:hAnsi="Times New Roman" w:cs="Times New Roman"/>
                      <w:lang w:val="en-US" w:eastAsia="zh-CN"/>
                    </w:rPr>
                    <w:t>0.176</w:t>
                  </w:r>
                </w:p>
              </w:tc>
              <w:tc>
                <w:tcPr>
                  <w:tcW w:w="661" w:type="pct"/>
                  <w:tcBorders>
                    <w:top w:val="nil"/>
                    <w:left w:val="nil"/>
                    <w:bottom w:val="single" w:color="000000" w:sz="8" w:space="0"/>
                    <w:right w:val="single" w:color="000000" w:sz="8" w:space="0"/>
                  </w:tcBorders>
                  <w:shd w:val="clear" w:color="auto" w:fill="FFFFFF"/>
                  <w:vAlign w:val="center"/>
                </w:tcPr>
                <w:p w14:paraId="728A4DD1">
                  <w:pPr>
                    <w:pStyle w:val="25"/>
                    <w:bidi w:val="0"/>
                    <w:jc w:val="center"/>
                    <w:rPr>
                      <w:rFonts w:hint="default" w:ascii="Times New Roman" w:hAnsi="Times New Roman" w:cs="Times New Roman"/>
                    </w:rPr>
                  </w:pPr>
                  <w:r>
                    <w:rPr>
                      <w:rFonts w:hint="default" w:ascii="Times New Roman" w:hAnsi="Times New Roman" w:cs="Times New Roman"/>
                      <w:lang w:val="en-US" w:eastAsia="zh-CN"/>
                    </w:rPr>
                    <w:t>0.00053</w:t>
                  </w:r>
                </w:p>
              </w:tc>
              <w:tc>
                <w:tcPr>
                  <w:tcW w:w="603" w:type="pct"/>
                  <w:tcBorders>
                    <w:top w:val="nil"/>
                    <w:left w:val="nil"/>
                    <w:bottom w:val="single" w:color="000000" w:sz="8" w:space="0"/>
                    <w:right w:val="single" w:color="000000" w:sz="8" w:space="0"/>
                  </w:tcBorders>
                  <w:shd w:val="clear" w:color="auto" w:fill="FFFFFF"/>
                  <w:vAlign w:val="center"/>
                </w:tcPr>
                <w:p w14:paraId="4472A8BC">
                  <w:pPr>
                    <w:pStyle w:val="25"/>
                    <w:bidi w:val="0"/>
                    <w:jc w:val="center"/>
                    <w:rPr>
                      <w:rFonts w:hint="default" w:ascii="Times New Roman" w:hAnsi="Times New Roman" w:cs="Times New Roman"/>
                    </w:rPr>
                  </w:pPr>
                  <w:r>
                    <w:rPr>
                      <w:rFonts w:hint="default" w:ascii="Times New Roman" w:hAnsi="Times New Roman" w:cs="Times New Roman"/>
                      <w:lang w:val="en-US" w:eastAsia="zh-CN"/>
                    </w:rPr>
                    <w:t>0.00464</w:t>
                  </w:r>
                </w:p>
              </w:tc>
            </w:tr>
            <w:tr w14:paraId="42980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jc w:val="center"/>
              </w:trPr>
              <w:tc>
                <w:tcPr>
                  <w:tcW w:w="552" w:type="pct"/>
                  <w:vMerge w:val="continue"/>
                  <w:tcBorders>
                    <w:top w:val="nil"/>
                    <w:left w:val="single" w:color="000000" w:sz="8" w:space="0"/>
                    <w:bottom w:val="single" w:color="000000" w:sz="8" w:space="0"/>
                    <w:right w:val="single" w:color="000000" w:sz="8" w:space="0"/>
                  </w:tcBorders>
                  <w:shd w:val="clear" w:color="auto" w:fill="FFFFFF"/>
                  <w:vAlign w:val="center"/>
                </w:tcPr>
                <w:p w14:paraId="0FFB2BF8">
                  <w:pPr>
                    <w:pStyle w:val="25"/>
                    <w:bidi w:val="0"/>
                    <w:jc w:val="center"/>
                    <w:rPr>
                      <w:rFonts w:hint="default" w:ascii="Times New Roman" w:hAnsi="Times New Roman" w:cs="Times New Roman"/>
                    </w:rPr>
                  </w:pPr>
                </w:p>
              </w:tc>
              <w:tc>
                <w:tcPr>
                  <w:tcW w:w="434" w:type="pct"/>
                  <w:tcBorders>
                    <w:top w:val="nil"/>
                    <w:left w:val="nil"/>
                    <w:bottom w:val="single" w:color="000000" w:sz="8" w:space="0"/>
                    <w:right w:val="single" w:color="000000" w:sz="8" w:space="0"/>
                  </w:tcBorders>
                  <w:shd w:val="clear" w:color="auto" w:fill="FFFFFF"/>
                  <w:vAlign w:val="center"/>
                </w:tcPr>
                <w:p w14:paraId="6987ED47">
                  <w:pPr>
                    <w:pStyle w:val="25"/>
                    <w:bidi w:val="0"/>
                    <w:jc w:val="center"/>
                    <w:rPr>
                      <w:rFonts w:hint="default" w:ascii="Times New Roman" w:hAnsi="Times New Roman" w:cs="Times New Roman"/>
                    </w:rPr>
                  </w:pPr>
                  <w:r>
                    <w:rPr>
                      <w:rFonts w:hint="default" w:ascii="Times New Roman" w:hAnsi="Times New Roman" w:cs="Times New Roman"/>
                      <w:lang w:val="en-US" w:eastAsia="zh-CN"/>
                    </w:rPr>
                    <w:t>H</w:t>
                  </w:r>
                  <w:r>
                    <w:rPr>
                      <w:rFonts w:hint="eastAsia" w:ascii="Times New Roman" w:hAnsi="Times New Roman" w:cs="Times New Roman"/>
                      <w:vertAlign w:val="subscript"/>
                      <w:lang w:val="en-US" w:eastAsia="zh-CN"/>
                    </w:rPr>
                    <w:t>2</w:t>
                  </w:r>
                  <w:r>
                    <w:rPr>
                      <w:rFonts w:hint="default" w:ascii="Times New Roman" w:hAnsi="Times New Roman" w:cs="Times New Roman"/>
                      <w:lang w:val="en-US" w:eastAsia="zh-CN"/>
                    </w:rPr>
                    <w:t>S</w:t>
                  </w:r>
                </w:p>
              </w:tc>
              <w:tc>
                <w:tcPr>
                  <w:tcW w:w="680" w:type="pct"/>
                  <w:tcBorders>
                    <w:top w:val="nil"/>
                    <w:left w:val="nil"/>
                    <w:bottom w:val="single" w:color="000000" w:sz="8" w:space="0"/>
                    <w:right w:val="single" w:color="000000" w:sz="8" w:space="0"/>
                  </w:tcBorders>
                  <w:shd w:val="clear" w:color="auto" w:fill="FFFFFF"/>
                  <w:vAlign w:val="center"/>
                </w:tcPr>
                <w:p w14:paraId="1DD8A8BB">
                  <w:pPr>
                    <w:pStyle w:val="25"/>
                    <w:bidi w:val="0"/>
                    <w:jc w:val="center"/>
                    <w:rPr>
                      <w:rFonts w:hint="default" w:ascii="Times New Roman" w:hAnsi="Times New Roman" w:cs="Times New Roman"/>
                    </w:rPr>
                  </w:pPr>
                  <w:r>
                    <w:rPr>
                      <w:rFonts w:hint="default" w:ascii="Times New Roman" w:hAnsi="Times New Roman" w:cs="Times New Roman"/>
                      <w:lang w:val="en-US" w:eastAsia="zh-CN"/>
                    </w:rPr>
                    <w:t>0.00452</w:t>
                  </w:r>
                </w:p>
              </w:tc>
              <w:tc>
                <w:tcPr>
                  <w:tcW w:w="689" w:type="pct"/>
                  <w:tcBorders>
                    <w:top w:val="nil"/>
                    <w:left w:val="nil"/>
                    <w:bottom w:val="single" w:color="000000" w:sz="8" w:space="0"/>
                    <w:right w:val="single" w:color="000000" w:sz="8" w:space="0"/>
                  </w:tcBorders>
                  <w:shd w:val="clear" w:color="auto" w:fill="FFFFFF"/>
                  <w:vAlign w:val="center"/>
                </w:tcPr>
                <w:p w14:paraId="6609BC42">
                  <w:pPr>
                    <w:pStyle w:val="25"/>
                    <w:bidi w:val="0"/>
                    <w:jc w:val="center"/>
                    <w:rPr>
                      <w:rFonts w:hint="default" w:ascii="Times New Roman" w:hAnsi="Times New Roman" w:cs="Times New Roman"/>
                    </w:rPr>
                  </w:pPr>
                  <w:r>
                    <w:rPr>
                      <w:rFonts w:hint="default" w:ascii="Times New Roman" w:hAnsi="Times New Roman" w:cs="Times New Roman"/>
                      <w:lang w:val="en-US" w:eastAsia="zh-CN"/>
                    </w:rPr>
                    <w:t>0.2095</w:t>
                  </w:r>
                </w:p>
              </w:tc>
              <w:tc>
                <w:tcPr>
                  <w:tcW w:w="680" w:type="pct"/>
                  <w:tcBorders>
                    <w:top w:val="nil"/>
                    <w:left w:val="nil"/>
                    <w:bottom w:val="single" w:color="000000" w:sz="8" w:space="0"/>
                    <w:right w:val="single" w:color="000000" w:sz="8" w:space="0"/>
                  </w:tcBorders>
                  <w:shd w:val="clear" w:color="auto" w:fill="FFFFFF"/>
                  <w:vAlign w:val="center"/>
                </w:tcPr>
                <w:p w14:paraId="357C148C">
                  <w:pPr>
                    <w:pStyle w:val="25"/>
                    <w:bidi w:val="0"/>
                    <w:jc w:val="center"/>
                    <w:rPr>
                      <w:rFonts w:hint="default" w:ascii="Times New Roman" w:hAnsi="Times New Roman" w:cs="Times New Roman"/>
                    </w:rPr>
                  </w:pPr>
                  <w:r>
                    <w:rPr>
                      <w:rFonts w:hint="default" w:ascii="Times New Roman" w:hAnsi="Times New Roman" w:cs="Times New Roman"/>
                      <w:lang w:val="en-US" w:eastAsia="zh-CN"/>
                    </w:rPr>
                    <w:t>0.00063</w:t>
                  </w:r>
                </w:p>
              </w:tc>
              <w:tc>
                <w:tcPr>
                  <w:tcW w:w="698" w:type="pct"/>
                  <w:tcBorders>
                    <w:top w:val="nil"/>
                    <w:left w:val="nil"/>
                    <w:bottom w:val="single" w:color="000000" w:sz="8" w:space="0"/>
                    <w:right w:val="single" w:color="000000" w:sz="8" w:space="0"/>
                  </w:tcBorders>
                  <w:shd w:val="clear" w:color="auto" w:fill="FFFFFF"/>
                  <w:vAlign w:val="center"/>
                </w:tcPr>
                <w:p w14:paraId="4726063D">
                  <w:pPr>
                    <w:pStyle w:val="25"/>
                    <w:bidi w:val="0"/>
                    <w:jc w:val="center"/>
                    <w:rPr>
                      <w:rFonts w:hint="default" w:ascii="Times New Roman" w:hAnsi="Times New Roman" w:cs="Times New Roman"/>
                    </w:rPr>
                  </w:pPr>
                  <w:r>
                    <w:rPr>
                      <w:rFonts w:hint="default" w:ascii="Times New Roman" w:hAnsi="Times New Roman" w:cs="Times New Roman"/>
                      <w:lang w:val="en-US" w:eastAsia="zh-CN"/>
                    </w:rPr>
                    <w:t>0.034</w:t>
                  </w:r>
                </w:p>
              </w:tc>
              <w:tc>
                <w:tcPr>
                  <w:tcW w:w="661" w:type="pct"/>
                  <w:tcBorders>
                    <w:top w:val="nil"/>
                    <w:left w:val="nil"/>
                    <w:bottom w:val="single" w:color="000000" w:sz="8" w:space="0"/>
                    <w:right w:val="single" w:color="000000" w:sz="8" w:space="0"/>
                  </w:tcBorders>
                  <w:shd w:val="clear" w:color="auto" w:fill="FFFFFF"/>
                  <w:vAlign w:val="center"/>
                </w:tcPr>
                <w:p w14:paraId="592CFA63">
                  <w:pPr>
                    <w:pStyle w:val="25"/>
                    <w:bidi w:val="0"/>
                    <w:jc w:val="center"/>
                    <w:rPr>
                      <w:rFonts w:hint="default" w:ascii="Times New Roman" w:hAnsi="Times New Roman" w:cs="Times New Roman"/>
                    </w:rPr>
                  </w:pPr>
                  <w:r>
                    <w:rPr>
                      <w:rFonts w:hint="default" w:ascii="Times New Roman" w:hAnsi="Times New Roman" w:cs="Times New Roman"/>
                      <w:lang w:val="en-US" w:eastAsia="zh-CN"/>
                    </w:rPr>
                    <w:t>0.00010</w:t>
                  </w:r>
                </w:p>
              </w:tc>
              <w:tc>
                <w:tcPr>
                  <w:tcW w:w="603" w:type="pct"/>
                  <w:tcBorders>
                    <w:top w:val="nil"/>
                    <w:left w:val="nil"/>
                    <w:bottom w:val="single" w:color="000000" w:sz="8" w:space="0"/>
                    <w:right w:val="single" w:color="000000" w:sz="8" w:space="0"/>
                  </w:tcBorders>
                  <w:shd w:val="clear" w:color="auto" w:fill="FFFFFF"/>
                  <w:vAlign w:val="center"/>
                </w:tcPr>
                <w:p w14:paraId="18266A6C">
                  <w:pPr>
                    <w:pStyle w:val="25"/>
                    <w:bidi w:val="0"/>
                    <w:jc w:val="center"/>
                    <w:rPr>
                      <w:rFonts w:hint="default" w:ascii="Times New Roman" w:hAnsi="Times New Roman" w:cs="Times New Roman"/>
                    </w:rPr>
                  </w:pPr>
                  <w:r>
                    <w:rPr>
                      <w:rFonts w:hint="default" w:ascii="Times New Roman" w:hAnsi="Times New Roman" w:cs="Times New Roman"/>
                      <w:lang w:val="en-US" w:eastAsia="zh-CN"/>
                    </w:rPr>
                    <w:t>0.00090</w:t>
                  </w:r>
                </w:p>
              </w:tc>
            </w:tr>
            <w:tr w14:paraId="65242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jc w:val="center"/>
              </w:trPr>
              <w:tc>
                <w:tcPr>
                  <w:tcW w:w="552" w:type="pct"/>
                  <w:vMerge w:val="restart"/>
                  <w:tcBorders>
                    <w:top w:val="nil"/>
                    <w:left w:val="single" w:color="000000" w:sz="8" w:space="0"/>
                    <w:bottom w:val="single" w:color="000000" w:sz="8" w:space="0"/>
                    <w:right w:val="single" w:color="000000" w:sz="8" w:space="0"/>
                  </w:tcBorders>
                  <w:shd w:val="clear" w:color="auto" w:fill="FFFFFF"/>
                  <w:vAlign w:val="center"/>
                </w:tcPr>
                <w:p w14:paraId="255924B1">
                  <w:pPr>
                    <w:pStyle w:val="25"/>
                    <w:bidi w:val="0"/>
                    <w:jc w:val="center"/>
                    <w:rPr>
                      <w:rFonts w:hint="default" w:ascii="Times New Roman" w:hAnsi="Times New Roman" w:cs="Times New Roman"/>
                    </w:rPr>
                  </w:pPr>
                  <w:r>
                    <w:rPr>
                      <w:rFonts w:hint="default" w:ascii="Times New Roman" w:hAnsi="Times New Roman" w:cs="Times New Roman"/>
                      <w:lang w:val="en-US" w:eastAsia="zh-CN"/>
                    </w:rPr>
                    <w:t>DA002</w:t>
                  </w:r>
                </w:p>
              </w:tc>
              <w:tc>
                <w:tcPr>
                  <w:tcW w:w="434" w:type="pct"/>
                  <w:tcBorders>
                    <w:top w:val="nil"/>
                    <w:left w:val="nil"/>
                    <w:bottom w:val="single" w:color="000000" w:sz="8" w:space="0"/>
                    <w:right w:val="single" w:color="000000" w:sz="8" w:space="0"/>
                  </w:tcBorders>
                  <w:shd w:val="clear" w:color="auto" w:fill="FFFFFF"/>
                  <w:vAlign w:val="center"/>
                </w:tcPr>
                <w:p w14:paraId="0776F673">
                  <w:pPr>
                    <w:pStyle w:val="25"/>
                    <w:bidi w:val="0"/>
                    <w:jc w:val="center"/>
                    <w:rPr>
                      <w:rFonts w:hint="default" w:ascii="Times New Roman" w:hAnsi="Times New Roman" w:cs="Times New Roman"/>
                    </w:rPr>
                  </w:pPr>
                  <w:r>
                    <w:rPr>
                      <w:rFonts w:hint="default" w:ascii="Times New Roman" w:hAnsi="Times New Roman" w:cs="Times New Roman"/>
                      <w:lang w:val="en-US" w:eastAsia="zh-CN"/>
                    </w:rPr>
                    <w:t>NH</w:t>
                  </w:r>
                  <w:r>
                    <w:rPr>
                      <w:rFonts w:hint="eastAsia" w:ascii="Times New Roman" w:hAnsi="Times New Roman" w:cs="Times New Roman"/>
                      <w:vertAlign w:val="subscript"/>
                      <w:lang w:val="en-US" w:eastAsia="zh-CN"/>
                    </w:rPr>
                    <w:t>3</w:t>
                  </w:r>
                </w:p>
              </w:tc>
              <w:tc>
                <w:tcPr>
                  <w:tcW w:w="680" w:type="pct"/>
                  <w:tcBorders>
                    <w:top w:val="nil"/>
                    <w:left w:val="nil"/>
                    <w:bottom w:val="single" w:color="000000" w:sz="8" w:space="0"/>
                    <w:right w:val="single" w:color="000000" w:sz="8" w:space="0"/>
                  </w:tcBorders>
                  <w:shd w:val="clear" w:color="auto" w:fill="FFFFFF"/>
                  <w:vAlign w:val="center"/>
                </w:tcPr>
                <w:p w14:paraId="0A0CCD10">
                  <w:pPr>
                    <w:pStyle w:val="25"/>
                    <w:bidi w:val="0"/>
                    <w:jc w:val="center"/>
                    <w:rPr>
                      <w:rFonts w:hint="default" w:ascii="Times New Roman" w:hAnsi="Times New Roman" w:cs="Times New Roman"/>
                    </w:rPr>
                  </w:pPr>
                  <w:r>
                    <w:rPr>
                      <w:rFonts w:hint="default" w:ascii="Times New Roman" w:hAnsi="Times New Roman" w:cs="Times New Roman"/>
                      <w:lang w:val="en-US" w:eastAsia="zh-CN"/>
                    </w:rPr>
                    <w:t>0.27565</w:t>
                  </w:r>
                </w:p>
              </w:tc>
              <w:tc>
                <w:tcPr>
                  <w:tcW w:w="689" w:type="pct"/>
                  <w:tcBorders>
                    <w:top w:val="nil"/>
                    <w:left w:val="nil"/>
                    <w:bottom w:val="single" w:color="000000" w:sz="8" w:space="0"/>
                    <w:right w:val="single" w:color="000000" w:sz="8" w:space="0"/>
                  </w:tcBorders>
                  <w:shd w:val="clear" w:color="auto" w:fill="FFFFFF"/>
                  <w:vAlign w:val="center"/>
                </w:tcPr>
                <w:p w14:paraId="46F02B7D">
                  <w:pPr>
                    <w:pStyle w:val="25"/>
                    <w:bidi w:val="0"/>
                    <w:jc w:val="center"/>
                    <w:rPr>
                      <w:rFonts w:hint="default" w:ascii="Times New Roman" w:hAnsi="Times New Roman" w:cs="Times New Roman"/>
                    </w:rPr>
                  </w:pPr>
                  <w:r>
                    <w:rPr>
                      <w:rFonts w:hint="default" w:ascii="Times New Roman" w:hAnsi="Times New Roman" w:cs="Times New Roman"/>
                      <w:lang w:val="en-US" w:eastAsia="zh-CN"/>
                    </w:rPr>
                    <w:t>2.5523</w:t>
                  </w:r>
                </w:p>
              </w:tc>
              <w:tc>
                <w:tcPr>
                  <w:tcW w:w="680" w:type="pct"/>
                  <w:tcBorders>
                    <w:top w:val="nil"/>
                    <w:left w:val="nil"/>
                    <w:bottom w:val="single" w:color="000000" w:sz="8" w:space="0"/>
                    <w:right w:val="single" w:color="000000" w:sz="8" w:space="0"/>
                  </w:tcBorders>
                  <w:shd w:val="clear" w:color="auto" w:fill="FFFFFF"/>
                  <w:vAlign w:val="center"/>
                </w:tcPr>
                <w:p w14:paraId="40D7703B">
                  <w:pPr>
                    <w:pStyle w:val="25"/>
                    <w:bidi w:val="0"/>
                    <w:jc w:val="center"/>
                    <w:rPr>
                      <w:rFonts w:hint="default" w:ascii="Times New Roman" w:hAnsi="Times New Roman" w:cs="Times New Roman"/>
                    </w:rPr>
                  </w:pPr>
                  <w:r>
                    <w:rPr>
                      <w:rFonts w:hint="default" w:ascii="Times New Roman" w:hAnsi="Times New Roman" w:cs="Times New Roman"/>
                      <w:lang w:val="en-US" w:eastAsia="zh-CN"/>
                    </w:rPr>
                    <w:t>0.03828</w:t>
                  </w:r>
                </w:p>
              </w:tc>
              <w:tc>
                <w:tcPr>
                  <w:tcW w:w="698" w:type="pct"/>
                  <w:tcBorders>
                    <w:top w:val="nil"/>
                    <w:left w:val="nil"/>
                    <w:bottom w:val="single" w:color="000000" w:sz="8" w:space="0"/>
                    <w:right w:val="single" w:color="000000" w:sz="8" w:space="0"/>
                  </w:tcBorders>
                  <w:shd w:val="clear" w:color="auto" w:fill="FFFFFF"/>
                  <w:vAlign w:val="center"/>
                </w:tcPr>
                <w:p w14:paraId="326B43CC">
                  <w:pPr>
                    <w:pStyle w:val="25"/>
                    <w:bidi w:val="0"/>
                    <w:jc w:val="center"/>
                    <w:rPr>
                      <w:rFonts w:hint="default" w:ascii="Times New Roman" w:hAnsi="Times New Roman" w:cs="Times New Roman"/>
                    </w:rPr>
                  </w:pPr>
                  <w:r>
                    <w:rPr>
                      <w:rFonts w:hint="default" w:ascii="Times New Roman" w:hAnsi="Times New Roman" w:cs="Times New Roman"/>
                      <w:lang w:val="en-US" w:eastAsia="zh-CN"/>
                    </w:rPr>
                    <w:t>0.210</w:t>
                  </w:r>
                </w:p>
              </w:tc>
              <w:tc>
                <w:tcPr>
                  <w:tcW w:w="661" w:type="pct"/>
                  <w:tcBorders>
                    <w:top w:val="nil"/>
                    <w:left w:val="nil"/>
                    <w:bottom w:val="single" w:color="000000" w:sz="8" w:space="0"/>
                    <w:right w:val="single" w:color="000000" w:sz="8" w:space="0"/>
                  </w:tcBorders>
                  <w:shd w:val="clear" w:color="auto" w:fill="FFFFFF"/>
                  <w:vAlign w:val="center"/>
                </w:tcPr>
                <w:p w14:paraId="5B27986A">
                  <w:pPr>
                    <w:pStyle w:val="25"/>
                    <w:bidi w:val="0"/>
                    <w:jc w:val="center"/>
                    <w:rPr>
                      <w:rFonts w:hint="default" w:ascii="Times New Roman" w:hAnsi="Times New Roman" w:cs="Times New Roman"/>
                    </w:rPr>
                  </w:pPr>
                  <w:r>
                    <w:rPr>
                      <w:rFonts w:hint="default" w:ascii="Times New Roman" w:hAnsi="Times New Roman" w:cs="Times New Roman"/>
                      <w:lang w:val="en-US" w:eastAsia="zh-CN"/>
                    </w:rPr>
                    <w:t>0.00315</w:t>
                  </w:r>
                </w:p>
              </w:tc>
              <w:tc>
                <w:tcPr>
                  <w:tcW w:w="603" w:type="pct"/>
                  <w:tcBorders>
                    <w:top w:val="nil"/>
                    <w:left w:val="nil"/>
                    <w:bottom w:val="single" w:color="000000" w:sz="8" w:space="0"/>
                    <w:right w:val="single" w:color="000000" w:sz="8" w:space="0"/>
                  </w:tcBorders>
                  <w:shd w:val="clear" w:color="auto" w:fill="FFFFFF"/>
                  <w:vAlign w:val="center"/>
                </w:tcPr>
                <w:p w14:paraId="61A3B00A">
                  <w:pPr>
                    <w:pStyle w:val="25"/>
                    <w:bidi w:val="0"/>
                    <w:jc w:val="center"/>
                    <w:rPr>
                      <w:rFonts w:hint="default" w:ascii="Times New Roman" w:hAnsi="Times New Roman" w:cs="Times New Roman"/>
                    </w:rPr>
                  </w:pPr>
                  <w:r>
                    <w:rPr>
                      <w:rFonts w:hint="default" w:ascii="Times New Roman" w:hAnsi="Times New Roman" w:cs="Times New Roman"/>
                      <w:lang w:val="en-US" w:eastAsia="zh-CN"/>
                    </w:rPr>
                    <w:t>0.02757</w:t>
                  </w:r>
                </w:p>
              </w:tc>
            </w:tr>
            <w:tr w14:paraId="66505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jc w:val="center"/>
              </w:trPr>
              <w:tc>
                <w:tcPr>
                  <w:tcW w:w="552" w:type="pct"/>
                  <w:vMerge w:val="continue"/>
                  <w:tcBorders>
                    <w:top w:val="nil"/>
                    <w:left w:val="single" w:color="000000" w:sz="8" w:space="0"/>
                    <w:bottom w:val="single" w:color="000000" w:sz="8" w:space="0"/>
                    <w:right w:val="single" w:color="000000" w:sz="8" w:space="0"/>
                  </w:tcBorders>
                  <w:shd w:val="clear" w:color="auto" w:fill="FFFFFF"/>
                  <w:vAlign w:val="center"/>
                </w:tcPr>
                <w:p w14:paraId="77408E0C">
                  <w:pPr>
                    <w:pStyle w:val="25"/>
                    <w:bidi w:val="0"/>
                    <w:jc w:val="center"/>
                    <w:rPr>
                      <w:rFonts w:hint="default" w:ascii="Times New Roman" w:hAnsi="Times New Roman" w:cs="Times New Roman"/>
                    </w:rPr>
                  </w:pPr>
                </w:p>
              </w:tc>
              <w:tc>
                <w:tcPr>
                  <w:tcW w:w="434" w:type="pct"/>
                  <w:tcBorders>
                    <w:top w:val="nil"/>
                    <w:left w:val="nil"/>
                    <w:bottom w:val="single" w:color="000000" w:sz="8" w:space="0"/>
                    <w:right w:val="single" w:color="000000" w:sz="8" w:space="0"/>
                  </w:tcBorders>
                  <w:shd w:val="clear" w:color="auto" w:fill="FFFFFF"/>
                  <w:vAlign w:val="center"/>
                </w:tcPr>
                <w:p w14:paraId="1BB2ADCD">
                  <w:pPr>
                    <w:pStyle w:val="25"/>
                    <w:bidi w:val="0"/>
                    <w:jc w:val="center"/>
                    <w:rPr>
                      <w:rFonts w:hint="default" w:ascii="Times New Roman" w:hAnsi="Times New Roman" w:cs="Times New Roman"/>
                    </w:rPr>
                  </w:pPr>
                  <w:r>
                    <w:rPr>
                      <w:rFonts w:hint="default" w:ascii="Times New Roman" w:hAnsi="Times New Roman" w:cs="Times New Roman"/>
                      <w:lang w:val="en-US" w:eastAsia="zh-CN"/>
                    </w:rPr>
                    <w:t>H</w:t>
                  </w:r>
                  <w:r>
                    <w:rPr>
                      <w:rFonts w:hint="eastAsia" w:ascii="Times New Roman" w:hAnsi="Times New Roman" w:cs="Times New Roman"/>
                      <w:vertAlign w:val="subscript"/>
                      <w:lang w:val="en-US" w:eastAsia="zh-CN"/>
                    </w:rPr>
                    <w:t>2</w:t>
                  </w:r>
                  <w:r>
                    <w:rPr>
                      <w:rFonts w:hint="default" w:ascii="Times New Roman" w:hAnsi="Times New Roman" w:cs="Times New Roman"/>
                      <w:lang w:val="en-US" w:eastAsia="zh-CN"/>
                    </w:rPr>
                    <w:t>S</w:t>
                  </w:r>
                </w:p>
              </w:tc>
              <w:tc>
                <w:tcPr>
                  <w:tcW w:w="680" w:type="pct"/>
                  <w:tcBorders>
                    <w:top w:val="nil"/>
                    <w:left w:val="nil"/>
                    <w:bottom w:val="single" w:color="000000" w:sz="8" w:space="0"/>
                    <w:right w:val="single" w:color="000000" w:sz="8" w:space="0"/>
                  </w:tcBorders>
                  <w:shd w:val="clear" w:color="auto" w:fill="FFFFFF"/>
                  <w:vAlign w:val="center"/>
                </w:tcPr>
                <w:p w14:paraId="60230A0E">
                  <w:pPr>
                    <w:pStyle w:val="25"/>
                    <w:bidi w:val="0"/>
                    <w:jc w:val="center"/>
                    <w:rPr>
                      <w:rFonts w:hint="default" w:ascii="Times New Roman" w:hAnsi="Times New Roman" w:cs="Times New Roman"/>
                    </w:rPr>
                  </w:pPr>
                  <w:r>
                    <w:rPr>
                      <w:rFonts w:hint="default" w:ascii="Times New Roman" w:hAnsi="Times New Roman" w:cs="Times New Roman"/>
                      <w:lang w:val="en-US" w:eastAsia="zh-CN"/>
                    </w:rPr>
                    <w:t>0.03036</w:t>
                  </w:r>
                </w:p>
              </w:tc>
              <w:tc>
                <w:tcPr>
                  <w:tcW w:w="689" w:type="pct"/>
                  <w:tcBorders>
                    <w:top w:val="nil"/>
                    <w:left w:val="nil"/>
                    <w:bottom w:val="single" w:color="000000" w:sz="8" w:space="0"/>
                    <w:right w:val="single" w:color="000000" w:sz="8" w:space="0"/>
                  </w:tcBorders>
                  <w:shd w:val="clear" w:color="auto" w:fill="FFFFFF"/>
                  <w:vAlign w:val="center"/>
                </w:tcPr>
                <w:p w14:paraId="6B8EDB31">
                  <w:pPr>
                    <w:pStyle w:val="25"/>
                    <w:bidi w:val="0"/>
                    <w:jc w:val="center"/>
                    <w:rPr>
                      <w:rFonts w:hint="default" w:ascii="Times New Roman" w:hAnsi="Times New Roman" w:cs="Times New Roman"/>
                    </w:rPr>
                  </w:pPr>
                  <w:r>
                    <w:rPr>
                      <w:rFonts w:hint="default" w:ascii="Times New Roman" w:hAnsi="Times New Roman" w:cs="Times New Roman"/>
                      <w:lang w:val="en-US" w:eastAsia="zh-CN"/>
                    </w:rPr>
                    <w:t>0.2811</w:t>
                  </w:r>
                </w:p>
              </w:tc>
              <w:tc>
                <w:tcPr>
                  <w:tcW w:w="680" w:type="pct"/>
                  <w:tcBorders>
                    <w:top w:val="nil"/>
                    <w:left w:val="nil"/>
                    <w:bottom w:val="single" w:color="000000" w:sz="8" w:space="0"/>
                    <w:right w:val="single" w:color="000000" w:sz="8" w:space="0"/>
                  </w:tcBorders>
                  <w:shd w:val="clear" w:color="auto" w:fill="FFFFFF"/>
                  <w:vAlign w:val="center"/>
                </w:tcPr>
                <w:p w14:paraId="0E757716">
                  <w:pPr>
                    <w:pStyle w:val="25"/>
                    <w:bidi w:val="0"/>
                    <w:jc w:val="center"/>
                    <w:rPr>
                      <w:rFonts w:hint="default" w:ascii="Times New Roman" w:hAnsi="Times New Roman" w:cs="Times New Roman"/>
                    </w:rPr>
                  </w:pPr>
                  <w:r>
                    <w:rPr>
                      <w:rFonts w:hint="default" w:ascii="Times New Roman" w:hAnsi="Times New Roman" w:cs="Times New Roman"/>
                      <w:lang w:val="en-US" w:eastAsia="zh-CN"/>
                    </w:rPr>
                    <w:t>0.00422</w:t>
                  </w:r>
                </w:p>
              </w:tc>
              <w:tc>
                <w:tcPr>
                  <w:tcW w:w="698" w:type="pct"/>
                  <w:tcBorders>
                    <w:top w:val="nil"/>
                    <w:left w:val="nil"/>
                    <w:bottom w:val="single" w:color="000000" w:sz="8" w:space="0"/>
                    <w:right w:val="single" w:color="000000" w:sz="8" w:space="0"/>
                  </w:tcBorders>
                  <w:shd w:val="clear" w:color="auto" w:fill="FFFFFF"/>
                  <w:vAlign w:val="center"/>
                </w:tcPr>
                <w:p w14:paraId="12A21CC3">
                  <w:pPr>
                    <w:pStyle w:val="25"/>
                    <w:bidi w:val="0"/>
                    <w:jc w:val="center"/>
                    <w:rPr>
                      <w:rFonts w:hint="default" w:ascii="Times New Roman" w:hAnsi="Times New Roman" w:cs="Times New Roman"/>
                    </w:rPr>
                  </w:pPr>
                  <w:r>
                    <w:rPr>
                      <w:rFonts w:hint="default" w:ascii="Times New Roman" w:hAnsi="Times New Roman" w:cs="Times New Roman"/>
                      <w:lang w:val="en-US" w:eastAsia="zh-CN"/>
                    </w:rPr>
                    <w:t>0.023</w:t>
                  </w:r>
                </w:p>
              </w:tc>
              <w:tc>
                <w:tcPr>
                  <w:tcW w:w="661" w:type="pct"/>
                  <w:tcBorders>
                    <w:top w:val="nil"/>
                    <w:left w:val="nil"/>
                    <w:bottom w:val="single" w:color="000000" w:sz="8" w:space="0"/>
                    <w:right w:val="single" w:color="000000" w:sz="8" w:space="0"/>
                  </w:tcBorders>
                  <w:shd w:val="clear" w:color="auto" w:fill="FFFFFF"/>
                  <w:vAlign w:val="center"/>
                </w:tcPr>
                <w:p w14:paraId="22AEFF50">
                  <w:pPr>
                    <w:pStyle w:val="25"/>
                    <w:bidi w:val="0"/>
                    <w:jc w:val="center"/>
                    <w:rPr>
                      <w:rFonts w:hint="default" w:ascii="Times New Roman" w:hAnsi="Times New Roman" w:cs="Times New Roman"/>
                    </w:rPr>
                  </w:pPr>
                  <w:r>
                    <w:rPr>
                      <w:rFonts w:hint="default" w:ascii="Times New Roman" w:hAnsi="Times New Roman" w:cs="Times New Roman"/>
                      <w:lang w:val="en-US" w:eastAsia="zh-CN"/>
                    </w:rPr>
                    <w:t>0.00035</w:t>
                  </w:r>
                </w:p>
              </w:tc>
              <w:tc>
                <w:tcPr>
                  <w:tcW w:w="603" w:type="pct"/>
                  <w:tcBorders>
                    <w:top w:val="nil"/>
                    <w:left w:val="nil"/>
                    <w:bottom w:val="single" w:color="000000" w:sz="8" w:space="0"/>
                    <w:right w:val="single" w:color="000000" w:sz="8" w:space="0"/>
                  </w:tcBorders>
                  <w:shd w:val="clear" w:color="auto" w:fill="FFFFFF"/>
                  <w:vAlign w:val="center"/>
                </w:tcPr>
                <w:p w14:paraId="0976C918">
                  <w:pPr>
                    <w:pStyle w:val="25"/>
                    <w:bidi w:val="0"/>
                    <w:jc w:val="center"/>
                    <w:rPr>
                      <w:rFonts w:hint="default" w:ascii="Times New Roman" w:hAnsi="Times New Roman" w:cs="Times New Roman"/>
                    </w:rPr>
                  </w:pPr>
                  <w:r>
                    <w:rPr>
                      <w:rFonts w:hint="default" w:ascii="Times New Roman" w:hAnsi="Times New Roman" w:cs="Times New Roman"/>
                      <w:lang w:val="en-US" w:eastAsia="zh-CN"/>
                    </w:rPr>
                    <w:t>0.00304</w:t>
                  </w:r>
                </w:p>
              </w:tc>
            </w:tr>
            <w:tr w14:paraId="5C53D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552" w:type="pct"/>
                  <w:vMerge w:val="restart"/>
                  <w:tcBorders>
                    <w:top w:val="nil"/>
                    <w:left w:val="single" w:color="000000" w:sz="8" w:space="0"/>
                    <w:bottom w:val="single" w:color="000000" w:sz="8" w:space="0"/>
                    <w:right w:val="single" w:color="000000" w:sz="8" w:space="0"/>
                  </w:tcBorders>
                  <w:shd w:val="clear" w:color="auto" w:fill="FFFFFF"/>
                  <w:vAlign w:val="center"/>
                </w:tcPr>
                <w:p w14:paraId="7A1EFBA0">
                  <w:pPr>
                    <w:pStyle w:val="25"/>
                    <w:bidi w:val="0"/>
                    <w:jc w:val="center"/>
                    <w:rPr>
                      <w:rFonts w:hint="default" w:ascii="Times New Roman" w:hAnsi="Times New Roman" w:cs="Times New Roman"/>
                    </w:rPr>
                  </w:pPr>
                  <w:r>
                    <w:rPr>
                      <w:rFonts w:hint="default" w:ascii="Times New Roman" w:hAnsi="Times New Roman" w:cs="Times New Roman"/>
                      <w:lang w:val="en-US" w:eastAsia="zh-CN"/>
                    </w:rPr>
                    <w:t>合计</w:t>
                  </w:r>
                </w:p>
              </w:tc>
              <w:tc>
                <w:tcPr>
                  <w:tcW w:w="434" w:type="pct"/>
                  <w:tcBorders>
                    <w:top w:val="nil"/>
                    <w:left w:val="nil"/>
                    <w:bottom w:val="single" w:color="000000" w:sz="8" w:space="0"/>
                    <w:right w:val="single" w:color="000000" w:sz="8" w:space="0"/>
                  </w:tcBorders>
                  <w:shd w:val="clear" w:color="auto" w:fill="FFFFFF"/>
                  <w:vAlign w:val="center"/>
                </w:tcPr>
                <w:p w14:paraId="342C5DA3">
                  <w:pPr>
                    <w:pStyle w:val="25"/>
                    <w:bidi w:val="0"/>
                    <w:jc w:val="center"/>
                    <w:rPr>
                      <w:rFonts w:hint="default" w:ascii="Times New Roman" w:hAnsi="Times New Roman" w:cs="Times New Roman"/>
                    </w:rPr>
                  </w:pPr>
                  <w:r>
                    <w:rPr>
                      <w:rFonts w:hint="default" w:ascii="Times New Roman" w:hAnsi="Times New Roman" w:cs="Times New Roman"/>
                      <w:lang w:val="en-US" w:eastAsia="zh-CN"/>
                    </w:rPr>
                    <w:t>NH</w:t>
                  </w:r>
                  <w:r>
                    <w:rPr>
                      <w:rFonts w:hint="eastAsia" w:ascii="Times New Roman" w:hAnsi="Times New Roman" w:cs="Times New Roman"/>
                      <w:vertAlign w:val="subscript"/>
                      <w:lang w:val="en-US" w:eastAsia="zh-CN"/>
                    </w:rPr>
                    <w:t>3</w:t>
                  </w:r>
                </w:p>
              </w:tc>
              <w:tc>
                <w:tcPr>
                  <w:tcW w:w="680" w:type="pct"/>
                  <w:tcBorders>
                    <w:top w:val="nil"/>
                    <w:left w:val="nil"/>
                    <w:bottom w:val="single" w:color="000000" w:sz="8" w:space="0"/>
                    <w:right w:val="single" w:color="000000" w:sz="8" w:space="0"/>
                  </w:tcBorders>
                  <w:shd w:val="clear" w:color="auto" w:fill="FFFFFF"/>
                  <w:vAlign w:val="center"/>
                </w:tcPr>
                <w:p w14:paraId="2470707C">
                  <w:pPr>
                    <w:pStyle w:val="25"/>
                    <w:bidi w:val="0"/>
                    <w:jc w:val="center"/>
                    <w:rPr>
                      <w:rFonts w:hint="default" w:ascii="Times New Roman" w:hAnsi="Times New Roman" w:cs="Times New Roman"/>
                    </w:rPr>
                  </w:pPr>
                  <w:r>
                    <w:rPr>
                      <w:rFonts w:hint="default" w:ascii="Times New Roman" w:hAnsi="Times New Roman" w:cs="Times New Roman"/>
                      <w:lang w:val="en-US" w:eastAsia="zh-CN"/>
                    </w:rPr>
                    <w:t>0.29884</w:t>
                  </w:r>
                </w:p>
              </w:tc>
              <w:tc>
                <w:tcPr>
                  <w:tcW w:w="689" w:type="pct"/>
                  <w:tcBorders>
                    <w:top w:val="nil"/>
                    <w:left w:val="nil"/>
                    <w:bottom w:val="single" w:color="000000" w:sz="8" w:space="0"/>
                    <w:right w:val="single" w:color="000000" w:sz="8" w:space="0"/>
                  </w:tcBorders>
                  <w:shd w:val="clear" w:color="auto" w:fill="FFFFFF"/>
                  <w:vAlign w:val="center"/>
                </w:tcPr>
                <w:p w14:paraId="110388DB">
                  <w:pPr>
                    <w:bidi w:val="0"/>
                    <w:jc w:val="center"/>
                    <w:rPr>
                      <w:rFonts w:hint="eastAsia" w:ascii="Times New Roman" w:hAnsi="Times New Roman" w:eastAsia="宋体" w:cs="Times New Roman"/>
                      <w:lang w:val="en-US" w:eastAsia="zh-CN"/>
                    </w:rPr>
                  </w:pPr>
                  <w:r>
                    <w:rPr>
                      <w:rFonts w:hint="eastAsia" w:ascii="Times New Roman" w:cs="Times New Roman"/>
                      <w:lang w:val="en-US" w:eastAsia="zh-CN"/>
                    </w:rPr>
                    <w:t>/</w:t>
                  </w:r>
                </w:p>
              </w:tc>
              <w:tc>
                <w:tcPr>
                  <w:tcW w:w="680" w:type="pct"/>
                  <w:tcBorders>
                    <w:top w:val="nil"/>
                    <w:left w:val="nil"/>
                    <w:bottom w:val="single" w:color="000000" w:sz="8" w:space="0"/>
                    <w:right w:val="single" w:color="000000" w:sz="8" w:space="0"/>
                  </w:tcBorders>
                  <w:shd w:val="clear" w:color="auto" w:fill="FFFFFF"/>
                  <w:vAlign w:val="center"/>
                </w:tcPr>
                <w:p w14:paraId="19699AF3">
                  <w:pPr>
                    <w:bidi w:val="0"/>
                    <w:jc w:val="center"/>
                    <w:rPr>
                      <w:rFonts w:hint="default" w:ascii="Times New Roman" w:hAnsi="Times New Roman" w:cs="Times New Roman"/>
                    </w:rPr>
                  </w:pPr>
                  <w:r>
                    <w:rPr>
                      <w:rFonts w:hint="eastAsia" w:ascii="Times New Roman" w:cs="Times New Roman"/>
                      <w:lang w:val="en-US" w:eastAsia="zh-CN"/>
                    </w:rPr>
                    <w:t>/</w:t>
                  </w:r>
                </w:p>
              </w:tc>
              <w:tc>
                <w:tcPr>
                  <w:tcW w:w="698" w:type="pct"/>
                  <w:tcBorders>
                    <w:top w:val="nil"/>
                    <w:left w:val="nil"/>
                    <w:bottom w:val="single" w:color="000000" w:sz="8" w:space="0"/>
                    <w:right w:val="single" w:color="000000" w:sz="8" w:space="0"/>
                  </w:tcBorders>
                  <w:shd w:val="clear" w:color="auto" w:fill="FFFFFF"/>
                  <w:vAlign w:val="center"/>
                </w:tcPr>
                <w:p w14:paraId="5D928F8A">
                  <w:pPr>
                    <w:bidi w:val="0"/>
                    <w:jc w:val="center"/>
                    <w:rPr>
                      <w:rFonts w:hint="default" w:ascii="Times New Roman" w:hAnsi="Times New Roman" w:cs="Times New Roman"/>
                    </w:rPr>
                  </w:pPr>
                  <w:r>
                    <w:rPr>
                      <w:rFonts w:hint="eastAsia" w:ascii="Times New Roman" w:cs="Times New Roman"/>
                      <w:lang w:val="en-US" w:eastAsia="zh-CN"/>
                    </w:rPr>
                    <w:t>/</w:t>
                  </w:r>
                </w:p>
              </w:tc>
              <w:tc>
                <w:tcPr>
                  <w:tcW w:w="661" w:type="pct"/>
                  <w:tcBorders>
                    <w:top w:val="nil"/>
                    <w:left w:val="nil"/>
                    <w:bottom w:val="single" w:color="000000" w:sz="8" w:space="0"/>
                    <w:right w:val="single" w:color="000000" w:sz="8" w:space="0"/>
                  </w:tcBorders>
                  <w:shd w:val="clear" w:color="auto" w:fill="FFFFFF"/>
                  <w:vAlign w:val="center"/>
                </w:tcPr>
                <w:p w14:paraId="2F7E6A05">
                  <w:pPr>
                    <w:bidi w:val="0"/>
                    <w:jc w:val="center"/>
                    <w:rPr>
                      <w:rFonts w:hint="default" w:ascii="Times New Roman" w:hAnsi="Times New Roman" w:cs="Times New Roman"/>
                    </w:rPr>
                  </w:pPr>
                  <w:r>
                    <w:rPr>
                      <w:rFonts w:hint="eastAsia" w:ascii="Times New Roman" w:cs="Times New Roman"/>
                      <w:lang w:val="en-US" w:eastAsia="zh-CN"/>
                    </w:rPr>
                    <w:t>/</w:t>
                  </w:r>
                </w:p>
              </w:tc>
              <w:tc>
                <w:tcPr>
                  <w:tcW w:w="603" w:type="pct"/>
                  <w:tcBorders>
                    <w:top w:val="nil"/>
                    <w:left w:val="nil"/>
                    <w:bottom w:val="single" w:color="000000" w:sz="8" w:space="0"/>
                    <w:right w:val="single" w:color="000000" w:sz="8" w:space="0"/>
                  </w:tcBorders>
                  <w:shd w:val="clear" w:color="auto" w:fill="FFFFFF"/>
                  <w:vAlign w:val="center"/>
                </w:tcPr>
                <w:p w14:paraId="35DAF790">
                  <w:pPr>
                    <w:pStyle w:val="25"/>
                    <w:bidi w:val="0"/>
                    <w:jc w:val="center"/>
                    <w:rPr>
                      <w:rFonts w:hint="default" w:ascii="Times New Roman" w:hAnsi="Times New Roman" w:cs="Times New Roman"/>
                    </w:rPr>
                  </w:pPr>
                  <w:r>
                    <w:rPr>
                      <w:rFonts w:hint="default" w:ascii="Times New Roman" w:hAnsi="Times New Roman" w:cs="Times New Roman"/>
                      <w:lang w:val="en-US" w:eastAsia="zh-CN"/>
                    </w:rPr>
                    <w:t>0.03220</w:t>
                  </w:r>
                </w:p>
              </w:tc>
            </w:tr>
            <w:tr w14:paraId="73F00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jc w:val="center"/>
              </w:trPr>
              <w:tc>
                <w:tcPr>
                  <w:tcW w:w="552" w:type="pct"/>
                  <w:vMerge w:val="continue"/>
                  <w:tcBorders>
                    <w:top w:val="nil"/>
                    <w:left w:val="single" w:color="000000" w:sz="8" w:space="0"/>
                    <w:bottom w:val="single" w:color="000000" w:sz="8" w:space="0"/>
                    <w:right w:val="single" w:color="000000" w:sz="8" w:space="0"/>
                  </w:tcBorders>
                  <w:shd w:val="clear" w:color="auto" w:fill="FFFFFF"/>
                  <w:vAlign w:val="center"/>
                </w:tcPr>
                <w:p w14:paraId="0C72E6B1">
                  <w:pPr>
                    <w:pStyle w:val="25"/>
                    <w:bidi w:val="0"/>
                    <w:jc w:val="center"/>
                    <w:rPr>
                      <w:rFonts w:hint="default" w:ascii="Times New Roman" w:hAnsi="Times New Roman" w:cs="Times New Roman"/>
                    </w:rPr>
                  </w:pPr>
                </w:p>
              </w:tc>
              <w:tc>
                <w:tcPr>
                  <w:tcW w:w="434" w:type="pct"/>
                  <w:tcBorders>
                    <w:top w:val="nil"/>
                    <w:left w:val="nil"/>
                    <w:bottom w:val="single" w:color="000000" w:sz="8" w:space="0"/>
                    <w:right w:val="single" w:color="000000" w:sz="8" w:space="0"/>
                  </w:tcBorders>
                  <w:shd w:val="clear" w:color="auto" w:fill="FFFFFF"/>
                  <w:vAlign w:val="center"/>
                </w:tcPr>
                <w:p w14:paraId="3031CE0B">
                  <w:pPr>
                    <w:pStyle w:val="25"/>
                    <w:bidi w:val="0"/>
                    <w:jc w:val="center"/>
                    <w:rPr>
                      <w:rFonts w:hint="default" w:ascii="Times New Roman" w:hAnsi="Times New Roman" w:cs="Times New Roman"/>
                    </w:rPr>
                  </w:pPr>
                  <w:r>
                    <w:rPr>
                      <w:rFonts w:hint="default" w:ascii="Times New Roman" w:hAnsi="Times New Roman" w:cs="Times New Roman"/>
                      <w:lang w:val="en-US" w:eastAsia="zh-CN"/>
                    </w:rPr>
                    <w:t>H</w:t>
                  </w:r>
                  <w:r>
                    <w:rPr>
                      <w:rFonts w:hint="eastAsia" w:ascii="Times New Roman" w:hAnsi="Times New Roman" w:cs="Times New Roman"/>
                      <w:vertAlign w:val="subscript"/>
                      <w:lang w:val="en-US" w:eastAsia="zh-CN"/>
                    </w:rPr>
                    <w:t>2</w:t>
                  </w:r>
                  <w:r>
                    <w:rPr>
                      <w:rFonts w:hint="default" w:ascii="Times New Roman" w:hAnsi="Times New Roman" w:cs="Times New Roman"/>
                      <w:lang w:val="en-US" w:eastAsia="zh-CN"/>
                    </w:rPr>
                    <w:t>S</w:t>
                  </w:r>
                </w:p>
              </w:tc>
              <w:tc>
                <w:tcPr>
                  <w:tcW w:w="680" w:type="pct"/>
                  <w:tcBorders>
                    <w:top w:val="nil"/>
                    <w:left w:val="nil"/>
                    <w:bottom w:val="single" w:color="000000" w:sz="8" w:space="0"/>
                    <w:right w:val="single" w:color="000000" w:sz="8" w:space="0"/>
                  </w:tcBorders>
                  <w:shd w:val="clear" w:color="auto" w:fill="FFFFFF"/>
                  <w:vAlign w:val="center"/>
                </w:tcPr>
                <w:p w14:paraId="2955DB51">
                  <w:pPr>
                    <w:pStyle w:val="25"/>
                    <w:bidi w:val="0"/>
                    <w:jc w:val="center"/>
                    <w:rPr>
                      <w:rFonts w:hint="default" w:ascii="Times New Roman" w:hAnsi="Times New Roman" w:cs="Times New Roman"/>
                    </w:rPr>
                  </w:pPr>
                  <w:r>
                    <w:rPr>
                      <w:rFonts w:hint="default" w:ascii="Times New Roman" w:hAnsi="Times New Roman" w:cs="Times New Roman"/>
                      <w:lang w:val="en-US" w:eastAsia="zh-CN"/>
                    </w:rPr>
                    <w:t>0.03488</w:t>
                  </w:r>
                </w:p>
              </w:tc>
              <w:tc>
                <w:tcPr>
                  <w:tcW w:w="689" w:type="pct"/>
                  <w:tcBorders>
                    <w:top w:val="nil"/>
                    <w:left w:val="nil"/>
                    <w:bottom w:val="single" w:color="000000" w:sz="8" w:space="0"/>
                    <w:right w:val="single" w:color="000000" w:sz="8" w:space="0"/>
                  </w:tcBorders>
                  <w:shd w:val="clear" w:color="auto" w:fill="FFFFFF"/>
                  <w:vAlign w:val="center"/>
                </w:tcPr>
                <w:p w14:paraId="482B4D2C">
                  <w:pPr>
                    <w:bidi w:val="0"/>
                    <w:jc w:val="center"/>
                    <w:rPr>
                      <w:rFonts w:hint="default" w:ascii="Times New Roman" w:hAnsi="Times New Roman" w:cs="Times New Roman"/>
                    </w:rPr>
                  </w:pPr>
                  <w:r>
                    <w:rPr>
                      <w:rFonts w:hint="eastAsia" w:ascii="Times New Roman" w:cs="Times New Roman"/>
                      <w:lang w:val="en-US" w:eastAsia="zh-CN"/>
                    </w:rPr>
                    <w:t>/</w:t>
                  </w:r>
                </w:p>
              </w:tc>
              <w:tc>
                <w:tcPr>
                  <w:tcW w:w="680" w:type="pct"/>
                  <w:tcBorders>
                    <w:top w:val="nil"/>
                    <w:left w:val="nil"/>
                    <w:bottom w:val="single" w:color="000000" w:sz="8" w:space="0"/>
                    <w:right w:val="single" w:color="000000" w:sz="8" w:space="0"/>
                  </w:tcBorders>
                  <w:shd w:val="clear" w:color="auto" w:fill="FFFFFF"/>
                  <w:vAlign w:val="center"/>
                </w:tcPr>
                <w:p w14:paraId="0337E9C0">
                  <w:pPr>
                    <w:bidi w:val="0"/>
                    <w:jc w:val="center"/>
                    <w:rPr>
                      <w:rFonts w:hint="default" w:ascii="Times New Roman" w:hAnsi="Times New Roman" w:cs="Times New Roman"/>
                    </w:rPr>
                  </w:pPr>
                  <w:r>
                    <w:rPr>
                      <w:rFonts w:hint="eastAsia" w:ascii="Times New Roman" w:cs="Times New Roman"/>
                      <w:lang w:val="en-US" w:eastAsia="zh-CN"/>
                    </w:rPr>
                    <w:t>/</w:t>
                  </w:r>
                </w:p>
              </w:tc>
              <w:tc>
                <w:tcPr>
                  <w:tcW w:w="698" w:type="pct"/>
                  <w:tcBorders>
                    <w:top w:val="nil"/>
                    <w:left w:val="nil"/>
                    <w:bottom w:val="single" w:color="000000" w:sz="8" w:space="0"/>
                    <w:right w:val="single" w:color="000000" w:sz="8" w:space="0"/>
                  </w:tcBorders>
                  <w:shd w:val="clear" w:color="auto" w:fill="FFFFFF"/>
                  <w:vAlign w:val="center"/>
                </w:tcPr>
                <w:p w14:paraId="0447A0D8">
                  <w:pPr>
                    <w:bidi w:val="0"/>
                    <w:jc w:val="center"/>
                    <w:rPr>
                      <w:rFonts w:hint="default" w:ascii="Times New Roman" w:hAnsi="Times New Roman" w:cs="Times New Roman"/>
                    </w:rPr>
                  </w:pPr>
                  <w:r>
                    <w:rPr>
                      <w:rFonts w:hint="eastAsia" w:ascii="Times New Roman" w:cs="Times New Roman"/>
                      <w:lang w:val="en-US" w:eastAsia="zh-CN"/>
                    </w:rPr>
                    <w:t>/</w:t>
                  </w:r>
                </w:p>
              </w:tc>
              <w:tc>
                <w:tcPr>
                  <w:tcW w:w="661" w:type="pct"/>
                  <w:tcBorders>
                    <w:top w:val="nil"/>
                    <w:left w:val="nil"/>
                    <w:bottom w:val="single" w:color="000000" w:sz="8" w:space="0"/>
                    <w:right w:val="single" w:color="000000" w:sz="8" w:space="0"/>
                  </w:tcBorders>
                  <w:shd w:val="clear" w:color="auto" w:fill="FFFFFF"/>
                  <w:vAlign w:val="center"/>
                </w:tcPr>
                <w:p w14:paraId="0FAEC15A">
                  <w:pPr>
                    <w:bidi w:val="0"/>
                    <w:jc w:val="center"/>
                    <w:rPr>
                      <w:rFonts w:hint="default" w:ascii="Times New Roman" w:hAnsi="Times New Roman" w:cs="Times New Roman"/>
                    </w:rPr>
                  </w:pPr>
                  <w:r>
                    <w:rPr>
                      <w:rFonts w:hint="eastAsia" w:ascii="Times New Roman" w:cs="Times New Roman"/>
                      <w:lang w:val="en-US" w:eastAsia="zh-CN"/>
                    </w:rPr>
                    <w:t>/</w:t>
                  </w:r>
                </w:p>
              </w:tc>
              <w:tc>
                <w:tcPr>
                  <w:tcW w:w="603" w:type="pct"/>
                  <w:tcBorders>
                    <w:top w:val="nil"/>
                    <w:left w:val="nil"/>
                    <w:bottom w:val="single" w:color="000000" w:sz="8" w:space="0"/>
                    <w:right w:val="single" w:color="000000" w:sz="8" w:space="0"/>
                  </w:tcBorders>
                  <w:shd w:val="clear" w:color="auto" w:fill="FFFFFF"/>
                  <w:vAlign w:val="center"/>
                </w:tcPr>
                <w:p w14:paraId="4D1E11F8">
                  <w:pPr>
                    <w:pStyle w:val="25"/>
                    <w:bidi w:val="0"/>
                    <w:jc w:val="center"/>
                    <w:rPr>
                      <w:rFonts w:hint="default" w:ascii="Times New Roman" w:hAnsi="Times New Roman" w:cs="Times New Roman"/>
                    </w:rPr>
                  </w:pPr>
                  <w:r>
                    <w:rPr>
                      <w:rFonts w:hint="default" w:ascii="Times New Roman" w:hAnsi="Times New Roman" w:cs="Times New Roman"/>
                      <w:lang w:val="en-US" w:eastAsia="zh-CN"/>
                    </w:rPr>
                    <w:t>0.00394</w:t>
                  </w:r>
                </w:p>
              </w:tc>
            </w:tr>
          </w:tbl>
          <w:p w14:paraId="786F8101">
            <w:pPr>
              <w:pStyle w:val="23"/>
              <w:keepNext w:val="0"/>
              <w:keepLines w:val="0"/>
              <w:pageBreakBefore w:val="0"/>
              <w:widowControl w:val="0"/>
              <w:kinsoku/>
              <w:wordWrap/>
              <w:overflowPunct/>
              <w:topLinePunct w:val="0"/>
              <w:autoSpaceDE/>
              <w:autoSpaceDN/>
              <w:bidi w:val="0"/>
              <w:adjustRightInd/>
              <w:snapToGrid/>
              <w:spacing w:before="157" w:beforeLines="50"/>
              <w:textAlignment w:val="auto"/>
              <w:rPr>
                <w:rFonts w:hint="eastAsia"/>
                <w:lang w:val="en-US" w:eastAsia="zh-CN"/>
              </w:rPr>
            </w:pPr>
            <w:r>
              <w:rPr>
                <w:rFonts w:hint="eastAsia"/>
                <w:lang w:val="en-US" w:eastAsia="zh-CN"/>
              </w:rPr>
              <w:t>表4-6 无组织排放情况</w:t>
            </w:r>
          </w:p>
          <w:tbl>
            <w:tblPr>
              <w:tblStyle w:val="1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7"/>
              <w:gridCol w:w="3443"/>
              <w:gridCol w:w="2938"/>
            </w:tblGrid>
            <w:tr w14:paraId="5DE1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9342E31">
                  <w:pPr>
                    <w:jc w:val="center"/>
                    <w:rPr>
                      <w:b w:val="0"/>
                      <w:color w:val="000000"/>
                    </w:rPr>
                  </w:pPr>
                  <w:r>
                    <w:rPr>
                      <w:b w:val="0"/>
                      <w:color w:val="000000"/>
                    </w:rPr>
                    <w:t>污染物</w:t>
                  </w:r>
                </w:p>
              </w:tc>
              <w:tc>
                <w:tcPr>
                  <w:tcW w:w="21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542B56">
                  <w:pPr>
                    <w:jc w:val="center"/>
                    <w:rPr>
                      <w:rFonts w:hint="eastAsia" w:eastAsia="宋体"/>
                      <w:b w:val="0"/>
                      <w:color w:val="000000"/>
                      <w:lang w:eastAsia="zh-CN"/>
                    </w:rPr>
                  </w:pPr>
                  <w:r>
                    <w:rPr>
                      <w:b w:val="0"/>
                      <w:color w:val="000000"/>
                    </w:rPr>
                    <w:t>无组织排放量</w:t>
                  </w:r>
                  <w:r>
                    <w:rPr>
                      <w:rFonts w:hint="eastAsia"/>
                      <w:b w:val="0"/>
                      <w:color w:val="000000"/>
                      <w:lang w:eastAsia="zh-CN"/>
                    </w:rPr>
                    <w:t>（</w:t>
                  </w:r>
                  <w:r>
                    <w:rPr>
                      <w:b w:val="0"/>
                      <w:color w:val="000000"/>
                    </w:rPr>
                    <w:t>t/a</w:t>
                  </w:r>
                  <w:r>
                    <w:rPr>
                      <w:rFonts w:hint="eastAsia"/>
                      <w:b w:val="0"/>
                      <w:color w:val="000000"/>
                      <w:lang w:eastAsia="zh-CN"/>
                    </w:rPr>
                    <w:t>）</w:t>
                  </w:r>
                </w:p>
              </w:tc>
              <w:tc>
                <w:tcPr>
                  <w:tcW w:w="1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5470D">
                  <w:pPr>
                    <w:jc w:val="center"/>
                    <w:rPr>
                      <w:rFonts w:hint="eastAsia" w:eastAsia="宋体"/>
                      <w:b w:val="0"/>
                      <w:color w:val="000000"/>
                      <w:lang w:eastAsia="zh-CN"/>
                    </w:rPr>
                  </w:pPr>
                  <w:r>
                    <w:rPr>
                      <w:b w:val="0"/>
                      <w:color w:val="000000"/>
                    </w:rPr>
                    <w:t>排放速率</w:t>
                  </w:r>
                  <w:r>
                    <w:rPr>
                      <w:rFonts w:hint="eastAsia"/>
                      <w:b w:val="0"/>
                      <w:color w:val="000000"/>
                      <w:lang w:eastAsia="zh-CN"/>
                    </w:rPr>
                    <w:t>（</w:t>
                  </w:r>
                  <w:r>
                    <w:rPr>
                      <w:b w:val="0"/>
                      <w:color w:val="000000"/>
                    </w:rPr>
                    <w:t>kg/h</w:t>
                  </w:r>
                  <w:r>
                    <w:rPr>
                      <w:rFonts w:hint="eastAsia"/>
                      <w:b w:val="0"/>
                      <w:color w:val="000000"/>
                      <w:lang w:eastAsia="zh-CN"/>
                    </w:rPr>
                    <w:t>）</w:t>
                  </w:r>
                </w:p>
              </w:tc>
            </w:tr>
            <w:tr w14:paraId="68B0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8D1559">
                  <w:pPr>
                    <w:jc w:val="center"/>
                    <w:rPr>
                      <w:b w:val="0"/>
                      <w:color w:val="000000"/>
                    </w:rPr>
                  </w:pPr>
                  <w:r>
                    <w:rPr>
                      <w:b w:val="0"/>
                      <w:color w:val="000000"/>
                    </w:rPr>
                    <w:t>NH</w:t>
                  </w:r>
                  <w:r>
                    <w:rPr>
                      <w:b w:val="0"/>
                      <w:color w:val="000000"/>
                      <w:vertAlign w:val="subscript"/>
                    </w:rPr>
                    <w:t>3</w:t>
                  </w:r>
                </w:p>
              </w:tc>
              <w:tc>
                <w:tcPr>
                  <w:tcW w:w="21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6B4002">
                  <w:pPr>
                    <w:jc w:val="center"/>
                    <w:rPr>
                      <w:rFonts w:ascii="Times New Roman" w:hAnsi="Times New Roman" w:eastAsia="宋体" w:cs="Times New Roman"/>
                      <w:b w:val="0"/>
                      <w:color w:val="000000"/>
                    </w:rPr>
                  </w:pPr>
                  <w:r>
                    <w:rPr>
                      <w:rFonts w:hint="default" w:ascii="Times New Roman" w:hAnsi="Times New Roman" w:eastAsia="宋体" w:cs="Times New Roman"/>
                      <w:b w:val="0"/>
                      <w:color w:val="000000"/>
                      <w:lang w:val="en-US" w:eastAsia="zh-CN"/>
                    </w:rPr>
                    <w:t>0.01708</w:t>
                  </w:r>
                </w:p>
              </w:tc>
              <w:tc>
                <w:tcPr>
                  <w:tcW w:w="1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93EECB">
                  <w:pPr>
                    <w:jc w:val="center"/>
                    <w:rPr>
                      <w:rFonts w:ascii="Times New Roman" w:hAnsi="Times New Roman" w:eastAsia="宋体" w:cs="Times New Roman"/>
                      <w:b w:val="0"/>
                      <w:color w:val="000000"/>
                    </w:rPr>
                  </w:pPr>
                  <w:r>
                    <w:rPr>
                      <w:rFonts w:hint="default" w:ascii="Times New Roman" w:hAnsi="Times New Roman" w:eastAsia="宋体" w:cs="Times New Roman"/>
                      <w:b w:val="0"/>
                      <w:color w:val="000000"/>
                      <w:lang w:val="en-US" w:eastAsia="zh-CN"/>
                    </w:rPr>
                    <w:t>0.001950</w:t>
                  </w:r>
                </w:p>
              </w:tc>
            </w:tr>
            <w:tr w14:paraId="23495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BE54DA">
                  <w:pPr>
                    <w:jc w:val="center"/>
                    <w:rPr>
                      <w:b w:val="0"/>
                      <w:color w:val="000000"/>
                    </w:rPr>
                  </w:pPr>
                  <w:r>
                    <w:rPr>
                      <w:b w:val="0"/>
                      <w:color w:val="000000"/>
                    </w:rPr>
                    <w:t>H</w:t>
                  </w:r>
                  <w:r>
                    <w:rPr>
                      <w:b w:val="0"/>
                      <w:color w:val="000000"/>
                      <w:vertAlign w:val="subscript"/>
                    </w:rPr>
                    <w:t>2</w:t>
                  </w:r>
                  <w:r>
                    <w:rPr>
                      <w:b w:val="0"/>
                      <w:color w:val="000000"/>
                    </w:rPr>
                    <w:t>S</w:t>
                  </w:r>
                </w:p>
              </w:tc>
              <w:tc>
                <w:tcPr>
                  <w:tcW w:w="21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AE76F">
                  <w:pPr>
                    <w:jc w:val="center"/>
                    <w:rPr>
                      <w:rFonts w:ascii="Times New Roman" w:hAnsi="Times New Roman" w:eastAsia="宋体" w:cs="Times New Roman"/>
                      <w:b w:val="0"/>
                      <w:color w:val="000000"/>
                    </w:rPr>
                  </w:pPr>
                  <w:r>
                    <w:rPr>
                      <w:rFonts w:hint="default" w:ascii="Times New Roman" w:hAnsi="Times New Roman" w:eastAsia="宋体" w:cs="Times New Roman"/>
                      <w:b w:val="0"/>
                      <w:color w:val="000000"/>
                      <w:lang w:val="en-US" w:eastAsia="zh-CN"/>
                    </w:rPr>
                    <w:t>0.00210</w:t>
                  </w:r>
                </w:p>
              </w:tc>
              <w:tc>
                <w:tcPr>
                  <w:tcW w:w="1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9F9BDC">
                  <w:pPr>
                    <w:jc w:val="center"/>
                    <w:rPr>
                      <w:rFonts w:ascii="Times New Roman" w:hAnsi="Times New Roman" w:eastAsia="宋体" w:cs="Times New Roman"/>
                      <w:b w:val="0"/>
                      <w:color w:val="000000"/>
                    </w:rPr>
                  </w:pPr>
                  <w:r>
                    <w:rPr>
                      <w:rFonts w:hint="default" w:ascii="Times New Roman" w:hAnsi="Times New Roman" w:eastAsia="宋体" w:cs="Times New Roman"/>
                      <w:b w:val="0"/>
                      <w:color w:val="000000"/>
                      <w:lang w:val="en-US" w:eastAsia="zh-CN"/>
                    </w:rPr>
                    <w:t>0.000240</w:t>
                  </w:r>
                </w:p>
              </w:tc>
            </w:tr>
          </w:tbl>
          <w:p w14:paraId="4AAEC6F9">
            <w:pPr>
              <w:pStyle w:val="8"/>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kern w:val="2"/>
                <w:sz w:val="21"/>
                <w:szCs w:val="21"/>
                <w:lang w:val="en-US" w:eastAsia="zh-CN" w:bidi="ar-SA"/>
              </w:rPr>
              <w:t xml:space="preserve">表 </w:t>
            </w:r>
            <w:r>
              <w:rPr>
                <w:rFonts w:hint="eastAsia" w:ascii="Times New Roman" w:hAnsi="Times New Roman" w:eastAsia="宋体" w:cs="Times New Roman"/>
                <w:b/>
                <w:bCs/>
                <w:kern w:val="2"/>
                <w:sz w:val="21"/>
                <w:szCs w:val="21"/>
                <w:lang w:val="en-US" w:eastAsia="zh-CN" w:bidi="ar-SA"/>
              </w:rPr>
              <w:fldChar w:fldCharType="begin"/>
            </w:r>
            <w:r>
              <w:rPr>
                <w:rFonts w:hint="eastAsia" w:ascii="Times New Roman" w:hAnsi="Times New Roman" w:eastAsia="宋体" w:cs="Times New Roman"/>
                <w:b/>
                <w:bCs/>
                <w:kern w:val="2"/>
                <w:sz w:val="21"/>
                <w:szCs w:val="21"/>
                <w:lang w:val="en-US" w:eastAsia="zh-CN" w:bidi="ar-SA"/>
              </w:rPr>
              <w:instrText xml:space="preserve"> STYLEREF 1 \s \* ARABIC </w:instrText>
            </w:r>
            <w:r>
              <w:rPr>
                <w:rFonts w:hint="eastAsia" w:ascii="Times New Roman" w:hAnsi="Times New Roman" w:eastAsia="宋体" w:cs="Times New Roman"/>
                <w:b/>
                <w:bCs/>
                <w:kern w:val="2"/>
                <w:sz w:val="21"/>
                <w:szCs w:val="21"/>
                <w:lang w:val="en-US" w:eastAsia="zh-CN" w:bidi="ar-SA"/>
              </w:rPr>
              <w:fldChar w:fldCharType="separate"/>
            </w:r>
            <w:r>
              <w:rPr>
                <w:rFonts w:hint="eastAsia" w:ascii="Times New Roman" w:hAnsi="Times New Roman" w:eastAsia="宋体" w:cs="Times New Roman"/>
                <w:b/>
                <w:bCs/>
                <w:kern w:val="2"/>
                <w:sz w:val="21"/>
                <w:szCs w:val="21"/>
                <w:lang w:val="en-US" w:eastAsia="zh-CN" w:bidi="ar-SA"/>
              </w:rPr>
              <w:t>4</w:t>
            </w:r>
            <w:r>
              <w:rPr>
                <w:rFonts w:hint="eastAsia" w:ascii="Times New Roman" w:hAnsi="Times New Roman" w:eastAsia="宋体" w:cs="Times New Roman"/>
                <w:b/>
                <w:bCs/>
                <w:kern w:val="2"/>
                <w:sz w:val="21"/>
                <w:szCs w:val="21"/>
                <w:lang w:val="en-US" w:eastAsia="zh-CN" w:bidi="ar-SA"/>
              </w:rPr>
              <w:fldChar w:fldCharType="end"/>
            </w:r>
            <w:r>
              <w:rPr>
                <w:rFonts w:hint="eastAsia" w:ascii="Times New Roman" w:hAnsi="Times New Roman" w:eastAsia="宋体" w:cs="Times New Roman"/>
                <w:b/>
                <w:bCs/>
                <w:kern w:val="2"/>
                <w:sz w:val="21"/>
                <w:szCs w:val="21"/>
                <w:lang w:val="en-US" w:eastAsia="zh-CN" w:bidi="ar-SA"/>
              </w:rPr>
              <w:t>-7大气污染物年排放量核算表</w:t>
            </w:r>
          </w:p>
          <w:tbl>
            <w:tblPr>
              <w:tblStyle w:val="15"/>
              <w:tblW w:w="79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15"/>
              <w:gridCol w:w="1995"/>
              <w:gridCol w:w="1224"/>
              <w:gridCol w:w="1809"/>
            </w:tblGrid>
            <w:tr w14:paraId="1A826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1834"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2F8C882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排放口类型</w:t>
                  </w:r>
                </w:p>
              </w:tc>
              <w:tc>
                <w:tcPr>
                  <w:tcW w:w="12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D19ED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排放口编号</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47C31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污染物</w:t>
                  </w:r>
                </w:p>
              </w:tc>
              <w:tc>
                <w:tcPr>
                  <w:tcW w:w="11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2DA8B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年排放量（t/a）</w:t>
                  </w:r>
                </w:p>
              </w:tc>
            </w:tr>
            <w:tr w14:paraId="2A8EB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183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1DE5D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一般排放口</w:t>
                  </w:r>
                </w:p>
              </w:tc>
              <w:tc>
                <w:tcPr>
                  <w:tcW w:w="125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AF3BA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DA001（离子除臭）</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0DAA7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cs="Times New Roman"/>
                      <w:b w:val="0"/>
                      <w:color w:val="000000"/>
                      <w:lang w:val="en-US" w:eastAsia="zh-CN"/>
                    </w:rPr>
                    <w:t>NH</w:t>
                  </w:r>
                  <w:r>
                    <w:rPr>
                      <w:rFonts w:hint="eastAsia" w:ascii="Times New Roman" w:hAnsi="Times New Roman" w:cs="Times New Roman"/>
                      <w:b w:val="0"/>
                      <w:color w:val="000000"/>
                      <w:vertAlign w:val="subscript"/>
                      <w:lang w:val="en-US" w:eastAsia="zh-CN"/>
                    </w:rPr>
                    <w:t>3</w:t>
                  </w:r>
                </w:p>
              </w:tc>
              <w:tc>
                <w:tcPr>
                  <w:tcW w:w="11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FF1C4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0.00464</w:t>
                  </w:r>
                </w:p>
              </w:tc>
            </w:tr>
            <w:tr w14:paraId="7AFE6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183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902FEC">
                  <w:pPr>
                    <w:jc w:val="center"/>
                    <w:rPr>
                      <w:rFonts w:hint="default" w:ascii="Times New Roman" w:hAnsi="Times New Roman" w:eastAsia="宋体" w:cs="Times New Roman"/>
                      <w:b w:val="0"/>
                      <w:i w:val="0"/>
                      <w:iCs w:val="0"/>
                      <w:color w:val="000000"/>
                      <w:sz w:val="21"/>
                      <w:szCs w:val="21"/>
                      <w:u w:val="none"/>
                    </w:rPr>
                  </w:pPr>
                </w:p>
              </w:tc>
              <w:tc>
                <w:tcPr>
                  <w:tcW w:w="125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AB4226">
                  <w:pPr>
                    <w:jc w:val="center"/>
                    <w:rPr>
                      <w:rFonts w:hint="default" w:ascii="Times New Roman" w:hAnsi="Times New Roman" w:eastAsia="宋体" w:cs="Times New Roman"/>
                      <w:b w:val="0"/>
                      <w:i w:val="0"/>
                      <w:iCs w:val="0"/>
                      <w:color w:val="000000"/>
                      <w:sz w:val="21"/>
                      <w:szCs w:val="21"/>
                      <w:u w:val="none"/>
                    </w:rPr>
                  </w:pP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7EC1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cs="Times New Roman"/>
                      <w:b w:val="0"/>
                      <w:color w:val="000000"/>
                      <w:lang w:val="en-US" w:eastAsia="zh-CN"/>
                    </w:rPr>
                    <w:t>H</w:t>
                  </w:r>
                  <w:r>
                    <w:rPr>
                      <w:rFonts w:hint="eastAsia" w:ascii="Times New Roman" w:hAnsi="Times New Roman" w:cs="Times New Roman"/>
                      <w:b w:val="0"/>
                      <w:color w:val="000000"/>
                      <w:vertAlign w:val="subscript"/>
                      <w:lang w:val="en-US" w:eastAsia="zh-CN"/>
                    </w:rPr>
                    <w:t>2</w:t>
                  </w:r>
                  <w:r>
                    <w:rPr>
                      <w:rFonts w:hint="default" w:ascii="Times New Roman" w:hAnsi="Times New Roman" w:cs="Times New Roman"/>
                      <w:b w:val="0"/>
                      <w:color w:val="000000"/>
                      <w:lang w:val="en-US" w:eastAsia="zh-CN"/>
                    </w:rPr>
                    <w:t>S</w:t>
                  </w:r>
                </w:p>
              </w:tc>
              <w:tc>
                <w:tcPr>
                  <w:tcW w:w="11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F69DE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0.00090</w:t>
                  </w:r>
                </w:p>
              </w:tc>
            </w:tr>
            <w:tr w14:paraId="389D2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183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5F52F2">
                  <w:pPr>
                    <w:jc w:val="center"/>
                    <w:rPr>
                      <w:rFonts w:hint="default" w:ascii="Times New Roman" w:hAnsi="Times New Roman" w:eastAsia="宋体" w:cs="Times New Roman"/>
                      <w:b w:val="0"/>
                      <w:i w:val="0"/>
                      <w:iCs w:val="0"/>
                      <w:color w:val="000000"/>
                      <w:sz w:val="21"/>
                      <w:szCs w:val="21"/>
                      <w:u w:val="none"/>
                    </w:rPr>
                  </w:pPr>
                </w:p>
              </w:tc>
              <w:tc>
                <w:tcPr>
                  <w:tcW w:w="125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E489A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DA002（生物除臭）</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FF857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cs="Times New Roman"/>
                      <w:b w:val="0"/>
                      <w:color w:val="000000"/>
                      <w:lang w:val="en-US" w:eastAsia="zh-CN"/>
                    </w:rPr>
                    <w:t>NH</w:t>
                  </w:r>
                  <w:r>
                    <w:rPr>
                      <w:rFonts w:hint="eastAsia" w:ascii="Times New Roman" w:hAnsi="Times New Roman" w:cs="Times New Roman"/>
                      <w:b w:val="0"/>
                      <w:color w:val="000000"/>
                      <w:vertAlign w:val="subscript"/>
                      <w:lang w:val="en-US" w:eastAsia="zh-CN"/>
                    </w:rPr>
                    <w:t>3</w:t>
                  </w:r>
                </w:p>
              </w:tc>
              <w:tc>
                <w:tcPr>
                  <w:tcW w:w="11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DA94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0.02757</w:t>
                  </w:r>
                </w:p>
              </w:tc>
            </w:tr>
            <w:tr w14:paraId="71BEE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183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399439">
                  <w:pPr>
                    <w:jc w:val="center"/>
                    <w:rPr>
                      <w:rFonts w:hint="default" w:ascii="Times New Roman" w:hAnsi="Times New Roman" w:eastAsia="宋体" w:cs="Times New Roman"/>
                      <w:b w:val="0"/>
                      <w:i w:val="0"/>
                      <w:iCs w:val="0"/>
                      <w:color w:val="000000"/>
                      <w:sz w:val="21"/>
                      <w:szCs w:val="21"/>
                      <w:u w:val="none"/>
                    </w:rPr>
                  </w:pPr>
                </w:p>
              </w:tc>
              <w:tc>
                <w:tcPr>
                  <w:tcW w:w="125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1697D2">
                  <w:pPr>
                    <w:jc w:val="center"/>
                    <w:rPr>
                      <w:rFonts w:hint="default" w:ascii="Times New Roman" w:hAnsi="Times New Roman" w:eastAsia="宋体" w:cs="Times New Roman"/>
                      <w:b w:val="0"/>
                      <w:i w:val="0"/>
                      <w:iCs w:val="0"/>
                      <w:color w:val="000000"/>
                      <w:sz w:val="21"/>
                      <w:szCs w:val="21"/>
                      <w:u w:val="none"/>
                    </w:rPr>
                  </w:pP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36FC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cs="Times New Roman"/>
                      <w:b w:val="0"/>
                      <w:color w:val="000000"/>
                      <w:lang w:val="en-US" w:eastAsia="zh-CN"/>
                    </w:rPr>
                    <w:t>H</w:t>
                  </w:r>
                  <w:r>
                    <w:rPr>
                      <w:rFonts w:hint="eastAsia" w:ascii="Times New Roman" w:hAnsi="Times New Roman" w:cs="Times New Roman"/>
                      <w:b w:val="0"/>
                      <w:color w:val="000000"/>
                      <w:vertAlign w:val="subscript"/>
                      <w:lang w:val="en-US" w:eastAsia="zh-CN"/>
                    </w:rPr>
                    <w:t>2</w:t>
                  </w:r>
                  <w:r>
                    <w:rPr>
                      <w:rFonts w:hint="default" w:ascii="Times New Roman" w:hAnsi="Times New Roman" w:cs="Times New Roman"/>
                      <w:b w:val="0"/>
                      <w:color w:val="000000"/>
                      <w:lang w:val="en-US" w:eastAsia="zh-CN"/>
                    </w:rPr>
                    <w:t>S</w:t>
                  </w:r>
                </w:p>
              </w:tc>
              <w:tc>
                <w:tcPr>
                  <w:tcW w:w="11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88CF9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0.00304</w:t>
                  </w:r>
                </w:p>
              </w:tc>
            </w:tr>
            <w:tr w14:paraId="65EBD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183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C686DD">
                  <w:pPr>
                    <w:keepNext w:val="0"/>
                    <w:keepLines w:val="0"/>
                    <w:widowControl/>
                    <w:suppressLineNumbers w:val="0"/>
                    <w:jc w:val="center"/>
                    <w:textAlignment w:val="center"/>
                    <w:rPr>
                      <w:rFonts w:hint="eastAsia" w:ascii="Times New Roman" w:hAnsi="Times New Roman" w:eastAsia="宋体" w:cs="Times New Roman"/>
                      <w:b w:val="0"/>
                      <w:i w:val="0"/>
                      <w:iCs w:val="0"/>
                      <w:color w:val="000000"/>
                      <w:sz w:val="21"/>
                      <w:szCs w:val="21"/>
                      <w:u w:val="none"/>
                      <w:lang w:val="en-US" w:eastAsia="zh-CN"/>
                    </w:rPr>
                  </w:pPr>
                  <w:r>
                    <w:rPr>
                      <w:rFonts w:hint="eastAsia" w:ascii="Times New Roman" w:hAnsi="Times New Roman" w:eastAsia="宋体" w:cs="Times New Roman"/>
                      <w:b w:val="0"/>
                      <w:i w:val="0"/>
                      <w:iCs w:val="0"/>
                      <w:color w:val="000000"/>
                      <w:sz w:val="21"/>
                      <w:szCs w:val="21"/>
                      <w:u w:val="none"/>
                      <w:lang w:val="en-US" w:eastAsia="zh-CN"/>
                    </w:rPr>
                    <w:t>/</w:t>
                  </w:r>
                </w:p>
              </w:tc>
              <w:tc>
                <w:tcPr>
                  <w:tcW w:w="125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8448A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无组织排放</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1ACA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cs="Times New Roman"/>
                      <w:b w:val="0"/>
                      <w:color w:val="000000"/>
                      <w:lang w:val="en-US" w:eastAsia="zh-CN"/>
                    </w:rPr>
                    <w:t>NH</w:t>
                  </w:r>
                  <w:r>
                    <w:rPr>
                      <w:rFonts w:hint="eastAsia" w:ascii="Times New Roman" w:hAnsi="Times New Roman" w:cs="Times New Roman"/>
                      <w:b w:val="0"/>
                      <w:color w:val="000000"/>
                      <w:vertAlign w:val="subscript"/>
                      <w:lang w:val="en-US" w:eastAsia="zh-CN"/>
                    </w:rPr>
                    <w:t>3</w:t>
                  </w:r>
                </w:p>
              </w:tc>
              <w:tc>
                <w:tcPr>
                  <w:tcW w:w="11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76C33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0.01708</w:t>
                  </w:r>
                </w:p>
              </w:tc>
            </w:tr>
            <w:tr w14:paraId="78050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3" w:hRule="atLeast"/>
              </w:trPr>
              <w:tc>
                <w:tcPr>
                  <w:tcW w:w="183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E57DB5">
                  <w:pPr>
                    <w:jc w:val="center"/>
                    <w:rPr>
                      <w:rFonts w:hint="default" w:ascii="Times New Roman" w:hAnsi="Times New Roman" w:eastAsia="宋体" w:cs="Times New Roman"/>
                      <w:b w:val="0"/>
                      <w:i w:val="0"/>
                      <w:iCs w:val="0"/>
                      <w:color w:val="000000"/>
                      <w:sz w:val="21"/>
                      <w:szCs w:val="21"/>
                      <w:u w:val="none"/>
                    </w:rPr>
                  </w:pPr>
                </w:p>
              </w:tc>
              <w:tc>
                <w:tcPr>
                  <w:tcW w:w="125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0CEC4F">
                  <w:pPr>
                    <w:jc w:val="center"/>
                    <w:rPr>
                      <w:rFonts w:hint="default" w:ascii="Times New Roman" w:hAnsi="Times New Roman" w:eastAsia="宋体" w:cs="Times New Roman"/>
                      <w:b w:val="0"/>
                      <w:i w:val="0"/>
                      <w:iCs w:val="0"/>
                      <w:color w:val="000000"/>
                      <w:sz w:val="21"/>
                      <w:szCs w:val="21"/>
                      <w:u w:val="none"/>
                    </w:rPr>
                  </w:pP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78AA6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cs="Times New Roman"/>
                      <w:b w:val="0"/>
                      <w:color w:val="000000"/>
                      <w:lang w:val="en-US" w:eastAsia="zh-CN"/>
                    </w:rPr>
                    <w:t>H</w:t>
                  </w:r>
                  <w:r>
                    <w:rPr>
                      <w:rFonts w:hint="eastAsia" w:ascii="Times New Roman" w:hAnsi="Times New Roman" w:cs="Times New Roman"/>
                      <w:b w:val="0"/>
                      <w:color w:val="000000"/>
                      <w:vertAlign w:val="subscript"/>
                      <w:lang w:val="en-US" w:eastAsia="zh-CN"/>
                    </w:rPr>
                    <w:t>2</w:t>
                  </w:r>
                  <w:r>
                    <w:rPr>
                      <w:rFonts w:hint="default" w:ascii="Times New Roman" w:hAnsi="Times New Roman" w:cs="Times New Roman"/>
                      <w:b w:val="0"/>
                      <w:color w:val="000000"/>
                      <w:lang w:val="en-US" w:eastAsia="zh-CN"/>
                    </w:rPr>
                    <w:t>S</w:t>
                  </w:r>
                </w:p>
              </w:tc>
              <w:tc>
                <w:tcPr>
                  <w:tcW w:w="11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04FFE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0.00210</w:t>
                  </w:r>
                </w:p>
              </w:tc>
            </w:tr>
            <w:tr w14:paraId="6DB2D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183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8F415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有组织排放合计</w:t>
                  </w:r>
                </w:p>
              </w:tc>
              <w:tc>
                <w:tcPr>
                  <w:tcW w:w="125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15547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eastAsia" w:ascii="Times New Roman" w:hAnsi="Times New Roman" w:eastAsia="宋体" w:cs="Times New Roman"/>
                      <w:b w:val="0"/>
                      <w:i w:val="0"/>
                      <w:iCs w:val="0"/>
                      <w:color w:val="000000"/>
                      <w:kern w:val="0"/>
                      <w:sz w:val="21"/>
                      <w:szCs w:val="21"/>
                      <w:u w:val="none"/>
                      <w:lang w:val="en-US" w:eastAsia="zh-CN" w:bidi="ar"/>
                    </w:rPr>
                    <w:t>/</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BB3FB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cs="Times New Roman"/>
                      <w:b w:val="0"/>
                      <w:color w:val="000000"/>
                      <w:lang w:val="en-US" w:eastAsia="zh-CN"/>
                    </w:rPr>
                    <w:t>NH</w:t>
                  </w:r>
                  <w:r>
                    <w:rPr>
                      <w:rFonts w:hint="eastAsia" w:ascii="Times New Roman" w:hAnsi="Times New Roman" w:cs="Times New Roman"/>
                      <w:b w:val="0"/>
                      <w:color w:val="000000"/>
                      <w:vertAlign w:val="subscript"/>
                      <w:lang w:val="en-US" w:eastAsia="zh-CN"/>
                    </w:rPr>
                    <w:t>3</w:t>
                  </w:r>
                </w:p>
              </w:tc>
              <w:tc>
                <w:tcPr>
                  <w:tcW w:w="11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C339B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0.03220</w:t>
                  </w:r>
                </w:p>
              </w:tc>
            </w:tr>
            <w:tr w14:paraId="7D9CF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183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AEC754">
                  <w:pPr>
                    <w:jc w:val="center"/>
                    <w:rPr>
                      <w:rFonts w:hint="default" w:ascii="Times New Roman" w:hAnsi="Times New Roman" w:eastAsia="宋体" w:cs="Times New Roman"/>
                      <w:b w:val="0"/>
                      <w:i w:val="0"/>
                      <w:iCs w:val="0"/>
                      <w:color w:val="000000"/>
                      <w:sz w:val="21"/>
                      <w:szCs w:val="21"/>
                      <w:u w:val="none"/>
                    </w:rPr>
                  </w:pPr>
                </w:p>
              </w:tc>
              <w:tc>
                <w:tcPr>
                  <w:tcW w:w="125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4FF52B">
                  <w:pPr>
                    <w:jc w:val="center"/>
                    <w:rPr>
                      <w:rFonts w:hint="default" w:ascii="Times New Roman" w:hAnsi="Times New Roman" w:eastAsia="宋体" w:cs="Times New Roman"/>
                      <w:b w:val="0"/>
                      <w:i w:val="0"/>
                      <w:iCs w:val="0"/>
                      <w:color w:val="000000"/>
                      <w:sz w:val="21"/>
                      <w:szCs w:val="21"/>
                      <w:u w:val="none"/>
                    </w:rPr>
                  </w:pP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733E9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cs="Times New Roman"/>
                      <w:b w:val="0"/>
                      <w:color w:val="000000"/>
                      <w:lang w:val="en-US" w:eastAsia="zh-CN"/>
                    </w:rPr>
                    <w:t>H</w:t>
                  </w:r>
                  <w:r>
                    <w:rPr>
                      <w:rFonts w:hint="eastAsia" w:ascii="Times New Roman" w:hAnsi="Times New Roman" w:cs="Times New Roman"/>
                      <w:b w:val="0"/>
                      <w:color w:val="000000"/>
                      <w:vertAlign w:val="subscript"/>
                      <w:lang w:val="en-US" w:eastAsia="zh-CN"/>
                    </w:rPr>
                    <w:t>2</w:t>
                  </w:r>
                  <w:r>
                    <w:rPr>
                      <w:rFonts w:hint="default" w:ascii="Times New Roman" w:hAnsi="Times New Roman" w:cs="Times New Roman"/>
                      <w:b w:val="0"/>
                      <w:color w:val="000000"/>
                      <w:lang w:val="en-US" w:eastAsia="zh-CN"/>
                    </w:rPr>
                    <w:t>S</w:t>
                  </w:r>
                </w:p>
              </w:tc>
              <w:tc>
                <w:tcPr>
                  <w:tcW w:w="11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8C6E6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0.00394</w:t>
                  </w:r>
                </w:p>
              </w:tc>
            </w:tr>
            <w:tr w14:paraId="6D5E2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183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61C33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无组织排放合计</w:t>
                  </w:r>
                </w:p>
              </w:tc>
              <w:tc>
                <w:tcPr>
                  <w:tcW w:w="125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6EA1E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eastAsia" w:ascii="Times New Roman" w:hAnsi="Times New Roman" w:eastAsia="宋体" w:cs="Times New Roman"/>
                      <w:b w:val="0"/>
                      <w:i w:val="0"/>
                      <w:iCs w:val="0"/>
                      <w:color w:val="000000"/>
                      <w:kern w:val="0"/>
                      <w:sz w:val="21"/>
                      <w:szCs w:val="21"/>
                      <w:u w:val="none"/>
                      <w:lang w:val="en-US" w:eastAsia="zh-CN" w:bidi="ar"/>
                    </w:rPr>
                    <w:t>/</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8094D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cs="Times New Roman"/>
                      <w:b w:val="0"/>
                      <w:color w:val="000000"/>
                      <w:lang w:val="en-US" w:eastAsia="zh-CN"/>
                    </w:rPr>
                    <w:t>NH</w:t>
                  </w:r>
                  <w:r>
                    <w:rPr>
                      <w:rFonts w:hint="eastAsia" w:ascii="Times New Roman" w:hAnsi="Times New Roman" w:cs="Times New Roman"/>
                      <w:b w:val="0"/>
                      <w:color w:val="000000"/>
                      <w:vertAlign w:val="subscript"/>
                      <w:lang w:val="en-US" w:eastAsia="zh-CN"/>
                    </w:rPr>
                    <w:t>3</w:t>
                  </w:r>
                </w:p>
              </w:tc>
              <w:tc>
                <w:tcPr>
                  <w:tcW w:w="11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4E38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0.01708</w:t>
                  </w:r>
                </w:p>
              </w:tc>
            </w:tr>
            <w:tr w14:paraId="721FF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183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F01CE2">
                  <w:pPr>
                    <w:jc w:val="center"/>
                    <w:rPr>
                      <w:rFonts w:hint="default" w:ascii="Times New Roman" w:hAnsi="Times New Roman" w:eastAsia="宋体" w:cs="Times New Roman"/>
                      <w:b w:val="0"/>
                      <w:i w:val="0"/>
                      <w:iCs w:val="0"/>
                      <w:color w:val="000000"/>
                      <w:sz w:val="21"/>
                      <w:szCs w:val="21"/>
                      <w:u w:val="none"/>
                    </w:rPr>
                  </w:pPr>
                </w:p>
              </w:tc>
              <w:tc>
                <w:tcPr>
                  <w:tcW w:w="125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11C2BF">
                  <w:pPr>
                    <w:jc w:val="center"/>
                    <w:rPr>
                      <w:rFonts w:hint="default" w:ascii="Times New Roman" w:hAnsi="Times New Roman" w:eastAsia="宋体" w:cs="Times New Roman"/>
                      <w:b w:val="0"/>
                      <w:i w:val="0"/>
                      <w:iCs w:val="0"/>
                      <w:color w:val="000000"/>
                      <w:sz w:val="21"/>
                      <w:szCs w:val="21"/>
                      <w:u w:val="none"/>
                    </w:rPr>
                  </w:pP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9CB5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cs="Times New Roman"/>
                      <w:b w:val="0"/>
                      <w:color w:val="000000"/>
                      <w:lang w:val="en-US" w:eastAsia="zh-CN"/>
                    </w:rPr>
                    <w:t>H</w:t>
                  </w:r>
                  <w:r>
                    <w:rPr>
                      <w:rFonts w:hint="eastAsia" w:ascii="Times New Roman" w:hAnsi="Times New Roman" w:cs="Times New Roman"/>
                      <w:b w:val="0"/>
                      <w:color w:val="000000"/>
                      <w:vertAlign w:val="subscript"/>
                      <w:lang w:val="en-US" w:eastAsia="zh-CN"/>
                    </w:rPr>
                    <w:t>2</w:t>
                  </w:r>
                  <w:r>
                    <w:rPr>
                      <w:rFonts w:hint="default" w:ascii="Times New Roman" w:hAnsi="Times New Roman" w:cs="Times New Roman"/>
                      <w:b w:val="0"/>
                      <w:color w:val="000000"/>
                      <w:lang w:val="en-US" w:eastAsia="zh-CN"/>
                    </w:rPr>
                    <w:t>S</w:t>
                  </w:r>
                </w:p>
              </w:tc>
              <w:tc>
                <w:tcPr>
                  <w:tcW w:w="11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547C8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0.00210</w:t>
                  </w:r>
                </w:p>
              </w:tc>
            </w:tr>
            <w:tr w14:paraId="52E98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183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26DE0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年排放总量（有组织+无组织）</w:t>
                  </w:r>
                </w:p>
              </w:tc>
              <w:tc>
                <w:tcPr>
                  <w:tcW w:w="125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1D50F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eastAsia" w:ascii="Times New Roman" w:hAnsi="Times New Roman" w:eastAsia="宋体" w:cs="Times New Roman"/>
                      <w:b w:val="0"/>
                      <w:i w:val="0"/>
                      <w:iCs w:val="0"/>
                      <w:color w:val="000000"/>
                      <w:kern w:val="0"/>
                      <w:sz w:val="21"/>
                      <w:szCs w:val="21"/>
                      <w:u w:val="none"/>
                      <w:lang w:val="en-US" w:eastAsia="zh-CN" w:bidi="ar"/>
                    </w:rPr>
                    <w:t>/</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C98C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cs="Times New Roman"/>
                      <w:b w:val="0"/>
                      <w:color w:val="000000"/>
                      <w:lang w:val="en-US" w:eastAsia="zh-CN"/>
                    </w:rPr>
                    <w:t>NH</w:t>
                  </w:r>
                  <w:r>
                    <w:rPr>
                      <w:rFonts w:hint="eastAsia" w:ascii="Times New Roman" w:hAnsi="Times New Roman" w:cs="Times New Roman"/>
                      <w:b w:val="0"/>
                      <w:color w:val="000000"/>
                      <w:vertAlign w:val="subscript"/>
                      <w:lang w:val="en-US" w:eastAsia="zh-CN"/>
                    </w:rPr>
                    <w:t>3</w:t>
                  </w:r>
                </w:p>
              </w:tc>
              <w:tc>
                <w:tcPr>
                  <w:tcW w:w="11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39A48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0.04929</w:t>
                  </w:r>
                </w:p>
              </w:tc>
            </w:tr>
            <w:tr w14:paraId="3758C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trPr>
              <w:tc>
                <w:tcPr>
                  <w:tcW w:w="183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0D5AF6">
                  <w:pPr>
                    <w:jc w:val="center"/>
                    <w:rPr>
                      <w:rFonts w:hint="default" w:ascii="Times New Roman" w:hAnsi="Times New Roman" w:eastAsia="宋体" w:cs="Times New Roman"/>
                      <w:b w:val="0"/>
                      <w:i w:val="0"/>
                      <w:iCs w:val="0"/>
                      <w:color w:val="000000"/>
                      <w:sz w:val="21"/>
                      <w:szCs w:val="21"/>
                      <w:u w:val="none"/>
                    </w:rPr>
                  </w:pPr>
                </w:p>
              </w:tc>
              <w:tc>
                <w:tcPr>
                  <w:tcW w:w="125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16D980">
                  <w:pPr>
                    <w:jc w:val="center"/>
                    <w:rPr>
                      <w:rFonts w:hint="default" w:ascii="Times New Roman" w:hAnsi="Times New Roman" w:eastAsia="宋体" w:cs="Times New Roman"/>
                      <w:b w:val="0"/>
                      <w:i w:val="0"/>
                      <w:iCs w:val="0"/>
                      <w:color w:val="000000"/>
                      <w:sz w:val="21"/>
                      <w:szCs w:val="21"/>
                      <w:u w:val="none"/>
                    </w:rPr>
                  </w:pP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3AE8D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cs="Times New Roman"/>
                      <w:b w:val="0"/>
                      <w:color w:val="000000"/>
                      <w:lang w:val="en-US" w:eastAsia="zh-CN"/>
                    </w:rPr>
                    <w:t>H</w:t>
                  </w:r>
                  <w:r>
                    <w:rPr>
                      <w:rFonts w:hint="eastAsia" w:ascii="Times New Roman" w:hAnsi="Times New Roman" w:cs="Times New Roman"/>
                      <w:b w:val="0"/>
                      <w:color w:val="000000"/>
                      <w:vertAlign w:val="subscript"/>
                      <w:lang w:val="en-US" w:eastAsia="zh-CN"/>
                    </w:rPr>
                    <w:t>2</w:t>
                  </w:r>
                  <w:r>
                    <w:rPr>
                      <w:rFonts w:hint="default" w:ascii="Times New Roman" w:hAnsi="Times New Roman" w:cs="Times New Roman"/>
                      <w:b w:val="0"/>
                      <w:color w:val="000000"/>
                      <w:lang w:val="en-US" w:eastAsia="zh-CN"/>
                    </w:rPr>
                    <w:t>S</w:t>
                  </w:r>
                </w:p>
              </w:tc>
              <w:tc>
                <w:tcPr>
                  <w:tcW w:w="11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69F4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0.00604</w:t>
                  </w:r>
                </w:p>
              </w:tc>
            </w:tr>
          </w:tbl>
          <w:p w14:paraId="11EF117C">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本项目针对不同产臭单元采用</w:t>
            </w:r>
            <w:r>
              <w:rPr>
                <w:rFonts w:hint="eastAsia"/>
                <w:sz w:val="24"/>
                <w:szCs w:val="24"/>
                <w:lang w:eastAsia="zh-CN"/>
              </w:rPr>
              <w:t>“</w:t>
            </w:r>
            <w:r>
              <w:rPr>
                <w:rFonts w:hint="eastAsia"/>
                <w:sz w:val="24"/>
                <w:szCs w:val="24"/>
              </w:rPr>
              <w:t>离子除臭</w:t>
            </w:r>
            <w:r>
              <w:rPr>
                <w:rFonts w:hint="eastAsia"/>
                <w:sz w:val="24"/>
                <w:szCs w:val="24"/>
                <w:lang w:eastAsia="zh-CN"/>
              </w:rPr>
              <w:t>”</w:t>
            </w:r>
            <w:r>
              <w:rPr>
                <w:rFonts w:hint="eastAsia"/>
                <w:sz w:val="24"/>
                <w:szCs w:val="24"/>
                <w:lang w:val="en-US" w:eastAsia="zh-CN"/>
              </w:rPr>
              <w:t>和“</w:t>
            </w:r>
            <w:r>
              <w:rPr>
                <w:rFonts w:hint="eastAsia"/>
                <w:sz w:val="24"/>
                <w:szCs w:val="24"/>
              </w:rPr>
              <w:t>生物除臭</w:t>
            </w:r>
            <w:r>
              <w:rPr>
                <w:rFonts w:hint="eastAsia"/>
                <w:sz w:val="24"/>
                <w:szCs w:val="24"/>
                <w:lang w:eastAsia="zh-CN"/>
              </w:rPr>
              <w:t>”</w:t>
            </w:r>
            <w:r>
              <w:rPr>
                <w:rFonts w:hint="eastAsia"/>
                <w:sz w:val="24"/>
                <w:szCs w:val="24"/>
                <w:lang w:val="en-US" w:eastAsia="zh-CN"/>
              </w:rPr>
              <w:t>两种</w:t>
            </w:r>
            <w:r>
              <w:rPr>
                <w:rFonts w:hint="eastAsia"/>
                <w:sz w:val="24"/>
                <w:szCs w:val="24"/>
              </w:rPr>
              <w:t>工艺，其中预处理区（格栅间、调节池、旋流沉砂器）设置1套离子除臭装置（风量3000m</w:t>
            </w:r>
            <w:r>
              <w:rPr>
                <w:rFonts w:hint="eastAsia"/>
                <w:sz w:val="24"/>
                <w:szCs w:val="24"/>
                <w:vertAlign w:val="superscript"/>
                <w:lang w:val="en-US" w:eastAsia="zh-CN"/>
              </w:rPr>
              <w:t>3</w:t>
            </w:r>
            <w:r>
              <w:rPr>
                <w:rFonts w:hint="eastAsia"/>
                <w:sz w:val="24"/>
                <w:szCs w:val="24"/>
              </w:rPr>
              <w:t>/h），生化处理区（AAO生物池厌氧/缺氧段）及污泥处理区（污泥浓缩池、脱水机房）共用1套生物除臭装置（风量15000m</w:t>
            </w:r>
            <w:r>
              <w:rPr>
                <w:rFonts w:hint="eastAsia"/>
                <w:sz w:val="24"/>
                <w:szCs w:val="24"/>
                <w:vertAlign w:val="superscript"/>
                <w:lang w:val="en-US" w:eastAsia="zh-CN"/>
              </w:rPr>
              <w:t>3</w:t>
            </w:r>
            <w:r>
              <w:rPr>
                <w:rFonts w:hint="eastAsia"/>
                <w:sz w:val="24"/>
                <w:szCs w:val="24"/>
              </w:rPr>
              <w:t>/h），两套装置分别经15m高排气筒（DA001、DA002）排放。</w:t>
            </w:r>
          </w:p>
          <w:p w14:paraId="51609C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经核算，DA001排气筒NH</w:t>
            </w:r>
            <w:r>
              <w:rPr>
                <w:rFonts w:hint="eastAsia"/>
                <w:sz w:val="24"/>
                <w:szCs w:val="24"/>
                <w:vertAlign w:val="subscript"/>
                <w:lang w:val="en-US" w:eastAsia="zh-CN"/>
              </w:rPr>
              <w:t>3</w:t>
            </w:r>
            <w:r>
              <w:rPr>
                <w:rFonts w:hint="eastAsia"/>
                <w:sz w:val="24"/>
                <w:szCs w:val="24"/>
              </w:rPr>
              <w:t>排放量为</w:t>
            </w:r>
            <w:r>
              <w:rPr>
                <w:rFonts w:hint="default"/>
                <w:sz w:val="24"/>
                <w:szCs w:val="24"/>
                <w:lang w:val="en-US" w:eastAsia="zh-CN"/>
              </w:rPr>
              <w:t>0.00464</w:t>
            </w:r>
            <w:r>
              <w:rPr>
                <w:rFonts w:hint="eastAsia"/>
                <w:sz w:val="24"/>
                <w:szCs w:val="24"/>
              </w:rPr>
              <w:t>t/a、排放速率</w:t>
            </w:r>
            <w:r>
              <w:rPr>
                <w:rFonts w:hint="default"/>
                <w:sz w:val="24"/>
                <w:szCs w:val="24"/>
                <w:lang w:val="en-US" w:eastAsia="zh-CN"/>
              </w:rPr>
              <w:t>0.00053</w:t>
            </w:r>
            <w:r>
              <w:rPr>
                <w:rFonts w:hint="eastAsia"/>
                <w:sz w:val="24"/>
                <w:szCs w:val="24"/>
              </w:rPr>
              <w:t>kg/h，</w:t>
            </w:r>
            <w:r>
              <w:rPr>
                <w:rFonts w:hint="eastAsia"/>
                <w:sz w:val="24"/>
                <w:szCs w:val="24"/>
                <w:lang w:val="en-US" w:eastAsia="zh-CN"/>
              </w:rPr>
              <w:t>H</w:t>
            </w:r>
            <w:r>
              <w:rPr>
                <w:rFonts w:hint="eastAsia"/>
                <w:sz w:val="24"/>
                <w:szCs w:val="24"/>
                <w:vertAlign w:val="subscript"/>
                <w:lang w:val="en-US" w:eastAsia="zh-CN"/>
              </w:rPr>
              <w:t>2</w:t>
            </w:r>
            <w:r>
              <w:rPr>
                <w:rFonts w:hint="eastAsia"/>
                <w:sz w:val="24"/>
                <w:szCs w:val="24"/>
                <w:lang w:val="en-US" w:eastAsia="zh-CN"/>
              </w:rPr>
              <w:t>S</w:t>
            </w:r>
            <w:r>
              <w:rPr>
                <w:rFonts w:hint="eastAsia"/>
                <w:sz w:val="24"/>
                <w:szCs w:val="24"/>
              </w:rPr>
              <w:t>排放量为</w:t>
            </w:r>
            <w:r>
              <w:rPr>
                <w:rFonts w:hint="default"/>
                <w:sz w:val="24"/>
                <w:szCs w:val="24"/>
                <w:lang w:val="en-US" w:eastAsia="zh-CN"/>
              </w:rPr>
              <w:t>0.00090</w:t>
            </w:r>
            <w:r>
              <w:rPr>
                <w:rFonts w:hint="eastAsia"/>
                <w:sz w:val="24"/>
                <w:szCs w:val="24"/>
              </w:rPr>
              <w:t>t/a、排放速率</w:t>
            </w:r>
            <w:r>
              <w:rPr>
                <w:rFonts w:hint="default"/>
                <w:sz w:val="24"/>
                <w:szCs w:val="24"/>
                <w:lang w:val="en-US"/>
              </w:rPr>
              <w:t>0.00010</w:t>
            </w:r>
            <w:r>
              <w:rPr>
                <w:rFonts w:hint="eastAsia"/>
                <w:sz w:val="24"/>
                <w:szCs w:val="24"/>
              </w:rPr>
              <w:t>kg/h；DA002排气筒NH</w:t>
            </w:r>
            <w:r>
              <w:rPr>
                <w:rFonts w:hint="eastAsia"/>
                <w:sz w:val="24"/>
                <w:szCs w:val="24"/>
                <w:vertAlign w:val="subscript"/>
                <w:lang w:val="en-US" w:eastAsia="zh-CN"/>
              </w:rPr>
              <w:t>3</w:t>
            </w:r>
            <w:r>
              <w:rPr>
                <w:rFonts w:hint="eastAsia"/>
                <w:sz w:val="24"/>
                <w:szCs w:val="24"/>
              </w:rPr>
              <w:t>排放量为</w:t>
            </w:r>
            <w:r>
              <w:rPr>
                <w:rFonts w:hint="default"/>
                <w:sz w:val="24"/>
                <w:szCs w:val="24"/>
                <w:lang w:val="en-US" w:eastAsia="zh-CN"/>
              </w:rPr>
              <w:t>0.02757</w:t>
            </w:r>
            <w:r>
              <w:rPr>
                <w:rFonts w:hint="eastAsia"/>
                <w:sz w:val="24"/>
                <w:szCs w:val="24"/>
              </w:rPr>
              <w:t>t/a、排放速率</w:t>
            </w:r>
            <w:r>
              <w:rPr>
                <w:rFonts w:hint="default"/>
                <w:sz w:val="24"/>
                <w:szCs w:val="24"/>
                <w:lang w:val="en-US"/>
              </w:rPr>
              <w:t>0.</w:t>
            </w:r>
            <w:r>
              <w:rPr>
                <w:rFonts w:hint="eastAsia"/>
                <w:sz w:val="24"/>
                <w:szCs w:val="24"/>
                <w:lang w:val="en-US" w:eastAsia="zh-CN"/>
              </w:rPr>
              <w:t>0</w:t>
            </w:r>
            <w:r>
              <w:rPr>
                <w:rFonts w:hint="default"/>
                <w:sz w:val="24"/>
                <w:szCs w:val="24"/>
                <w:lang w:val="en-US"/>
              </w:rPr>
              <w:t>0315</w:t>
            </w:r>
            <w:r>
              <w:rPr>
                <w:rFonts w:hint="eastAsia"/>
                <w:sz w:val="24"/>
                <w:szCs w:val="24"/>
              </w:rPr>
              <w:t>kg/h，</w:t>
            </w:r>
            <w:r>
              <w:rPr>
                <w:rFonts w:hint="eastAsia"/>
                <w:sz w:val="24"/>
                <w:szCs w:val="24"/>
                <w:lang w:val="en-US" w:eastAsia="zh-CN"/>
              </w:rPr>
              <w:t>H</w:t>
            </w:r>
            <w:r>
              <w:rPr>
                <w:rFonts w:hint="eastAsia"/>
                <w:sz w:val="24"/>
                <w:szCs w:val="24"/>
                <w:vertAlign w:val="subscript"/>
                <w:lang w:val="en-US" w:eastAsia="zh-CN"/>
              </w:rPr>
              <w:t>2</w:t>
            </w:r>
            <w:r>
              <w:rPr>
                <w:rFonts w:hint="eastAsia"/>
                <w:sz w:val="24"/>
                <w:szCs w:val="24"/>
                <w:lang w:val="en-US" w:eastAsia="zh-CN"/>
              </w:rPr>
              <w:t>S</w:t>
            </w:r>
            <w:r>
              <w:rPr>
                <w:rFonts w:hint="eastAsia"/>
                <w:sz w:val="24"/>
                <w:szCs w:val="24"/>
              </w:rPr>
              <w:t>排放量为</w:t>
            </w:r>
            <w:r>
              <w:rPr>
                <w:rFonts w:hint="default"/>
                <w:sz w:val="24"/>
                <w:szCs w:val="24"/>
                <w:lang w:val="en-US" w:eastAsia="zh-CN"/>
              </w:rPr>
              <w:t>0.00304</w:t>
            </w:r>
            <w:r>
              <w:rPr>
                <w:rFonts w:hint="eastAsia"/>
                <w:sz w:val="24"/>
                <w:szCs w:val="24"/>
              </w:rPr>
              <w:t>t/a、排放速率</w:t>
            </w:r>
            <w:r>
              <w:rPr>
                <w:rFonts w:hint="default"/>
                <w:sz w:val="24"/>
                <w:szCs w:val="24"/>
                <w:lang w:val="en-US" w:eastAsia="zh-CN"/>
              </w:rPr>
              <w:t>0.00035</w:t>
            </w:r>
            <w:r>
              <w:rPr>
                <w:rFonts w:hint="eastAsia"/>
                <w:sz w:val="24"/>
                <w:szCs w:val="24"/>
              </w:rPr>
              <w:t>kg/h。各排气筒污染物排放速率均满足《恶臭污染物排放标准》（GB14554-93）表2中15m高排气筒对应的标准限值（NH</w:t>
            </w:r>
            <w:r>
              <w:rPr>
                <w:rFonts w:hint="eastAsia"/>
                <w:sz w:val="24"/>
                <w:szCs w:val="24"/>
                <w:vertAlign w:val="subscript"/>
                <w:lang w:val="en-US" w:eastAsia="zh-CN"/>
              </w:rPr>
              <w:t>3</w:t>
            </w:r>
            <w:r>
              <w:rPr>
                <w:rFonts w:hint="eastAsia"/>
                <w:sz w:val="24"/>
                <w:szCs w:val="24"/>
              </w:rPr>
              <w:t>≤4.9kg/h，</w:t>
            </w:r>
            <w:r>
              <w:rPr>
                <w:rFonts w:hint="eastAsia"/>
                <w:sz w:val="24"/>
                <w:szCs w:val="24"/>
                <w:lang w:val="en-US" w:eastAsia="zh-CN"/>
              </w:rPr>
              <w:t>H</w:t>
            </w:r>
            <w:r>
              <w:rPr>
                <w:rFonts w:hint="eastAsia"/>
                <w:sz w:val="24"/>
                <w:szCs w:val="24"/>
                <w:vertAlign w:val="subscript"/>
                <w:lang w:val="en-US" w:eastAsia="zh-CN"/>
              </w:rPr>
              <w:t>2</w:t>
            </w:r>
            <w:r>
              <w:rPr>
                <w:rFonts w:hint="eastAsia"/>
                <w:sz w:val="24"/>
                <w:szCs w:val="24"/>
                <w:lang w:val="en-US" w:eastAsia="zh-CN"/>
              </w:rPr>
              <w:t>S</w:t>
            </w:r>
            <w:r>
              <w:rPr>
                <w:rFonts w:hint="eastAsia"/>
                <w:sz w:val="24"/>
                <w:szCs w:val="24"/>
              </w:rPr>
              <w:t>≤0.33kg/h）。未被收集的恶臭气体以无组织形式排放，厂界NH</w:t>
            </w:r>
            <w:r>
              <w:rPr>
                <w:rFonts w:hint="eastAsia"/>
                <w:sz w:val="24"/>
                <w:szCs w:val="24"/>
                <w:vertAlign w:val="subscript"/>
                <w:lang w:val="en-US" w:eastAsia="zh-CN"/>
              </w:rPr>
              <w:t>3</w:t>
            </w:r>
            <w:r>
              <w:rPr>
                <w:rFonts w:hint="eastAsia"/>
                <w:sz w:val="24"/>
                <w:szCs w:val="24"/>
              </w:rPr>
              <w:t>和</w:t>
            </w:r>
            <w:r>
              <w:rPr>
                <w:rFonts w:hint="eastAsia"/>
                <w:sz w:val="24"/>
                <w:szCs w:val="24"/>
                <w:lang w:val="en-US" w:eastAsia="zh-CN"/>
              </w:rPr>
              <w:t>H</w:t>
            </w:r>
            <w:r>
              <w:rPr>
                <w:rFonts w:hint="eastAsia"/>
                <w:sz w:val="24"/>
                <w:szCs w:val="24"/>
                <w:vertAlign w:val="subscript"/>
                <w:lang w:val="en-US" w:eastAsia="zh-CN"/>
              </w:rPr>
              <w:t>2</w:t>
            </w:r>
            <w:r>
              <w:rPr>
                <w:rFonts w:hint="eastAsia"/>
                <w:sz w:val="24"/>
                <w:szCs w:val="24"/>
                <w:lang w:val="en-US" w:eastAsia="zh-CN"/>
              </w:rPr>
              <w:t>S</w:t>
            </w:r>
            <w:r>
              <w:rPr>
                <w:rFonts w:hint="eastAsia"/>
                <w:sz w:val="24"/>
                <w:szCs w:val="24"/>
              </w:rPr>
              <w:t>排放量分别为</w:t>
            </w:r>
            <w:r>
              <w:rPr>
                <w:rFonts w:hint="default"/>
                <w:sz w:val="24"/>
                <w:szCs w:val="24"/>
                <w:lang w:val="en-US" w:eastAsia="zh-CN"/>
              </w:rPr>
              <w:t>0.01708</w:t>
            </w:r>
            <w:r>
              <w:rPr>
                <w:rFonts w:hint="eastAsia"/>
                <w:sz w:val="24"/>
                <w:szCs w:val="24"/>
              </w:rPr>
              <w:t>t/a和</w:t>
            </w:r>
            <w:r>
              <w:rPr>
                <w:rFonts w:hint="default"/>
                <w:sz w:val="24"/>
                <w:szCs w:val="24"/>
                <w:lang w:val="en-US"/>
              </w:rPr>
              <w:t>0.00210</w:t>
            </w:r>
            <w:r>
              <w:rPr>
                <w:rFonts w:hint="eastAsia"/>
                <w:sz w:val="24"/>
                <w:szCs w:val="24"/>
              </w:rPr>
              <w:t>t/a，经预测厂界浓度可满足《城镇污水处理厂污染物排放标准》（GB18918-2002）</w:t>
            </w:r>
            <w:r>
              <w:rPr>
                <w:rFonts w:hint="eastAsia"/>
                <w:sz w:val="24"/>
                <w:szCs w:val="24"/>
                <w:lang w:val="en-US" w:eastAsia="zh-CN"/>
              </w:rPr>
              <w:t>及其修改单</w:t>
            </w:r>
            <w:r>
              <w:rPr>
                <w:rFonts w:hint="eastAsia"/>
                <w:sz w:val="24"/>
                <w:szCs w:val="24"/>
              </w:rPr>
              <w:t>表4二级标准限值要求。</w:t>
            </w:r>
          </w:p>
          <w:p w14:paraId="5AFE3108">
            <w:pPr>
              <w:pStyle w:val="8"/>
              <w:jc w:val="center"/>
              <w:rPr>
                <w:rFonts w:hint="eastAsia"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kern w:val="2"/>
                <w:sz w:val="21"/>
                <w:szCs w:val="21"/>
                <w:lang w:val="en-US" w:eastAsia="zh-CN" w:bidi="ar-SA"/>
              </w:rPr>
              <w:t xml:space="preserve">表 </w:t>
            </w:r>
            <w:r>
              <w:rPr>
                <w:rFonts w:hint="eastAsia" w:ascii="Times New Roman" w:hAnsi="Times New Roman" w:eastAsia="宋体" w:cs="Times New Roman"/>
                <w:b/>
                <w:bCs/>
                <w:kern w:val="2"/>
                <w:sz w:val="21"/>
                <w:szCs w:val="21"/>
                <w:lang w:val="en-US" w:eastAsia="zh-CN" w:bidi="ar-SA"/>
              </w:rPr>
              <w:fldChar w:fldCharType="begin"/>
            </w:r>
            <w:r>
              <w:rPr>
                <w:rFonts w:hint="eastAsia" w:ascii="Times New Roman" w:hAnsi="Times New Roman" w:eastAsia="宋体" w:cs="Times New Roman"/>
                <w:b/>
                <w:bCs/>
                <w:kern w:val="2"/>
                <w:sz w:val="21"/>
                <w:szCs w:val="21"/>
                <w:lang w:val="en-US" w:eastAsia="zh-CN" w:bidi="ar-SA"/>
              </w:rPr>
              <w:instrText xml:space="preserve"> STYLEREF 1 \s \* ARABIC </w:instrText>
            </w:r>
            <w:r>
              <w:rPr>
                <w:rFonts w:hint="eastAsia" w:ascii="Times New Roman" w:hAnsi="Times New Roman" w:eastAsia="宋体" w:cs="Times New Roman"/>
                <w:b/>
                <w:bCs/>
                <w:kern w:val="2"/>
                <w:sz w:val="21"/>
                <w:szCs w:val="21"/>
                <w:lang w:val="en-US" w:eastAsia="zh-CN" w:bidi="ar-SA"/>
              </w:rPr>
              <w:fldChar w:fldCharType="separate"/>
            </w:r>
            <w:r>
              <w:rPr>
                <w:rFonts w:hint="eastAsia" w:ascii="Times New Roman" w:hAnsi="Times New Roman" w:eastAsia="宋体" w:cs="Times New Roman"/>
                <w:b/>
                <w:bCs/>
                <w:kern w:val="2"/>
                <w:sz w:val="21"/>
                <w:szCs w:val="21"/>
                <w:lang w:val="en-US" w:eastAsia="zh-CN" w:bidi="ar-SA"/>
              </w:rPr>
              <w:t>4</w:t>
            </w:r>
            <w:r>
              <w:rPr>
                <w:rFonts w:hint="eastAsia" w:ascii="Times New Roman" w:hAnsi="Times New Roman" w:eastAsia="宋体" w:cs="Times New Roman"/>
                <w:b/>
                <w:bCs/>
                <w:kern w:val="2"/>
                <w:sz w:val="21"/>
                <w:szCs w:val="21"/>
                <w:lang w:val="en-US" w:eastAsia="zh-CN" w:bidi="ar-SA"/>
              </w:rPr>
              <w:fldChar w:fldCharType="end"/>
            </w:r>
            <w:r>
              <w:rPr>
                <w:rFonts w:hint="eastAsia" w:ascii="Times New Roman" w:hAnsi="Times New Roman" w:eastAsia="宋体" w:cs="Times New Roman"/>
                <w:b/>
                <w:bCs/>
                <w:kern w:val="2"/>
                <w:sz w:val="21"/>
                <w:szCs w:val="21"/>
                <w:lang w:val="en-US" w:eastAsia="zh-CN" w:bidi="ar-SA"/>
              </w:rPr>
              <w:t>-8废气排放口基本情况一览表</w:t>
            </w:r>
          </w:p>
          <w:tbl>
            <w:tblPr>
              <w:tblStyle w:val="1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9"/>
              <w:gridCol w:w="978"/>
              <w:gridCol w:w="1043"/>
              <w:gridCol w:w="918"/>
              <w:gridCol w:w="929"/>
              <w:gridCol w:w="926"/>
              <w:gridCol w:w="1734"/>
            </w:tblGrid>
            <w:tr w14:paraId="0CEE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4ABCC9AE">
                  <w:pPr>
                    <w:pStyle w:val="25"/>
                    <w:bidi w:val="0"/>
                    <w:rPr>
                      <w:rFonts w:hint="default" w:ascii="Times New Roman" w:hAnsi="Times New Roman" w:cs="Times New Roman"/>
                    </w:rPr>
                  </w:pPr>
                  <w:r>
                    <w:rPr>
                      <w:rFonts w:hint="default" w:ascii="Times New Roman" w:hAnsi="Times New Roman" w:cs="Times New Roman"/>
                    </w:rPr>
                    <w:t>排放口编号及名称</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A30EA2">
                  <w:pPr>
                    <w:pStyle w:val="25"/>
                    <w:bidi w:val="0"/>
                    <w:rPr>
                      <w:rFonts w:hint="default" w:ascii="Times New Roman" w:hAnsi="Times New Roman" w:cs="Times New Roman"/>
                    </w:rPr>
                  </w:pPr>
                  <w:r>
                    <w:rPr>
                      <w:rFonts w:hint="default" w:ascii="Times New Roman" w:hAnsi="Times New Roman" w:cs="Times New Roman"/>
                    </w:rPr>
                    <w:t>排放口类型</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9805FA">
                  <w:pPr>
                    <w:pStyle w:val="25"/>
                    <w:bidi w:val="0"/>
                    <w:rPr>
                      <w:rFonts w:hint="eastAsia" w:ascii="Times New Roman" w:hAnsi="Times New Roman" w:eastAsia="宋体" w:cs="Times New Roman"/>
                      <w:lang w:eastAsia="zh-CN"/>
                    </w:rPr>
                  </w:pPr>
                  <w:r>
                    <w:rPr>
                      <w:rFonts w:hint="default" w:ascii="Times New Roman" w:hAnsi="Times New Roman" w:cs="Times New Roman"/>
                    </w:rPr>
                    <w:t>排气筒高度</w:t>
                  </w:r>
                  <w:r>
                    <w:rPr>
                      <w:rFonts w:hint="eastAsia" w:ascii="Times New Roman" w:cs="Times New Roman"/>
                      <w:lang w:eastAsia="zh-CN"/>
                    </w:rPr>
                    <w:t>（</w:t>
                  </w:r>
                  <w:r>
                    <w:rPr>
                      <w:rFonts w:hint="default" w:ascii="Times New Roman" w:hAnsi="Times New Roman" w:cs="Times New Roman"/>
                    </w:rPr>
                    <w:t>m</w:t>
                  </w:r>
                  <w:r>
                    <w:rPr>
                      <w:rFonts w:hint="eastAsia" w:ascii="Times New Roman" w:cs="Times New Roman"/>
                      <w:lang w:eastAsia="zh-CN"/>
                    </w:rPr>
                    <w:t>）</w:t>
                  </w:r>
                </w:p>
              </w:tc>
              <w:tc>
                <w:tcPr>
                  <w:tcW w:w="5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CEEAC">
                  <w:pPr>
                    <w:pStyle w:val="25"/>
                    <w:bidi w:val="0"/>
                    <w:rPr>
                      <w:rFonts w:hint="eastAsia" w:ascii="Times New Roman" w:hAnsi="Times New Roman" w:eastAsia="宋体" w:cs="Times New Roman"/>
                      <w:lang w:eastAsia="zh-CN"/>
                    </w:rPr>
                  </w:pPr>
                  <w:r>
                    <w:rPr>
                      <w:rFonts w:hint="default" w:ascii="Times New Roman" w:hAnsi="Times New Roman" w:cs="Times New Roman"/>
                    </w:rPr>
                    <w:t>排气筒内径</w:t>
                  </w:r>
                  <w:r>
                    <w:rPr>
                      <w:rFonts w:hint="eastAsia" w:ascii="Times New Roman" w:cs="Times New Roman"/>
                      <w:lang w:eastAsia="zh-CN"/>
                    </w:rPr>
                    <w:t>（</w:t>
                  </w:r>
                  <w:r>
                    <w:rPr>
                      <w:rFonts w:hint="default" w:ascii="Times New Roman" w:hAnsi="Times New Roman" w:cs="Times New Roman"/>
                    </w:rPr>
                    <w:t>m</w:t>
                  </w:r>
                  <w:r>
                    <w:rPr>
                      <w:rFonts w:hint="eastAsia" w:ascii="Times New Roman" w:cs="Times New Roman"/>
                      <w:lang w:eastAsia="zh-CN"/>
                    </w:rPr>
                    <w:t>）</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F63344">
                  <w:pPr>
                    <w:pStyle w:val="25"/>
                    <w:bidi w:val="0"/>
                    <w:rPr>
                      <w:rFonts w:hint="eastAsia" w:ascii="Times New Roman" w:hAnsi="Times New Roman" w:eastAsia="宋体" w:cs="Times New Roman"/>
                      <w:lang w:eastAsia="zh-CN"/>
                    </w:rPr>
                  </w:pPr>
                  <w:r>
                    <w:rPr>
                      <w:rFonts w:hint="default" w:ascii="Times New Roman" w:hAnsi="Times New Roman" w:cs="Times New Roman"/>
                    </w:rPr>
                    <w:t>温度</w:t>
                  </w:r>
                  <w:r>
                    <w:rPr>
                      <w:rFonts w:hint="eastAsia" w:ascii="Times New Roman" w:cs="Times New Roman"/>
                      <w:lang w:eastAsia="zh-CN"/>
                    </w:rPr>
                    <w:t>（</w:t>
                  </w:r>
                  <w:r>
                    <w:rPr>
                      <w:rFonts w:hint="default" w:ascii="Times New Roman" w:hAnsi="Times New Roman" w:cs="Times New Roman"/>
                    </w:rPr>
                    <w:t>°C</w:t>
                  </w:r>
                  <w:r>
                    <w:rPr>
                      <w:rFonts w:hint="eastAsia" w:ascii="Times New Roman" w:cs="Times New Roman"/>
                      <w:lang w:eastAsia="zh-CN"/>
                    </w:rPr>
                    <w:t>）</w:t>
                  </w:r>
                </w:p>
              </w:tc>
              <w:tc>
                <w:tcPr>
                  <w:tcW w:w="5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397BC6">
                  <w:pPr>
                    <w:pStyle w:val="25"/>
                    <w:bidi w:val="0"/>
                    <w:rPr>
                      <w:rFonts w:hint="default" w:ascii="Times New Roman" w:hAnsi="Times New Roman" w:cs="Times New Roman"/>
                    </w:rPr>
                  </w:pPr>
                  <w:r>
                    <w:rPr>
                      <w:rFonts w:hint="default" w:ascii="Times New Roman" w:hAnsi="Times New Roman" w:cs="Times New Roman"/>
                    </w:rPr>
                    <w:t>污染物</w:t>
                  </w:r>
                </w:p>
              </w:tc>
              <w:tc>
                <w:tcPr>
                  <w:tcW w:w="10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D69B25">
                  <w:pPr>
                    <w:pStyle w:val="25"/>
                    <w:bidi w:val="0"/>
                    <w:rPr>
                      <w:rFonts w:hint="default" w:ascii="Times New Roman" w:hAnsi="Times New Roman" w:cs="Times New Roman"/>
                    </w:rPr>
                  </w:pPr>
                  <w:r>
                    <w:rPr>
                      <w:rFonts w:hint="default" w:ascii="Times New Roman" w:hAnsi="Times New Roman" w:cs="Times New Roman"/>
                    </w:rPr>
                    <w:t>执行标准</w:t>
                  </w:r>
                </w:p>
              </w:tc>
            </w:tr>
            <w:tr w14:paraId="2C24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8F8F7">
                  <w:pPr>
                    <w:pStyle w:val="25"/>
                    <w:bidi w:val="0"/>
                    <w:rPr>
                      <w:rFonts w:hint="default" w:ascii="Times New Roman" w:hAnsi="Times New Roman" w:cs="Times New Roman"/>
                    </w:rPr>
                  </w:pPr>
                  <w:r>
                    <w:rPr>
                      <w:rFonts w:hint="default" w:ascii="Times New Roman" w:hAnsi="Times New Roman" w:cs="Times New Roman"/>
                    </w:rPr>
                    <w:t>DA001（离子除臭排气筒）</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9B1D7D">
                  <w:pPr>
                    <w:pStyle w:val="25"/>
                    <w:bidi w:val="0"/>
                    <w:rPr>
                      <w:rFonts w:hint="default" w:ascii="Times New Roman" w:hAnsi="Times New Roman" w:cs="Times New Roman"/>
                    </w:rPr>
                  </w:pPr>
                  <w:r>
                    <w:rPr>
                      <w:rFonts w:hint="default" w:ascii="Times New Roman" w:hAnsi="Times New Roman" w:cs="Times New Roman"/>
                    </w:rPr>
                    <w:t>一般排放口</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378F14">
                  <w:pPr>
                    <w:pStyle w:val="25"/>
                    <w:bidi w:val="0"/>
                    <w:rPr>
                      <w:rFonts w:hint="default" w:ascii="Times New Roman" w:hAnsi="Times New Roman" w:cs="Times New Roman"/>
                    </w:rPr>
                  </w:pPr>
                  <w:r>
                    <w:rPr>
                      <w:rFonts w:hint="default" w:ascii="Times New Roman" w:hAnsi="Times New Roman" w:cs="Times New Roman"/>
                    </w:rPr>
                    <w:t>15</w:t>
                  </w:r>
                </w:p>
              </w:tc>
              <w:tc>
                <w:tcPr>
                  <w:tcW w:w="5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1A823">
                  <w:pPr>
                    <w:pStyle w:val="25"/>
                    <w:bidi w:val="0"/>
                    <w:rPr>
                      <w:rFonts w:hint="default" w:ascii="Times New Roman" w:hAnsi="Times New Roman" w:cs="Times New Roman"/>
                    </w:rPr>
                  </w:pPr>
                  <w:r>
                    <w:rPr>
                      <w:rFonts w:hint="default" w:ascii="Times New Roman" w:hAnsi="Times New Roman" w:cs="Times New Roman"/>
                    </w:rPr>
                    <w:t>0.3</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23D49B">
                  <w:pPr>
                    <w:pStyle w:val="25"/>
                    <w:bidi w:val="0"/>
                    <w:rPr>
                      <w:rFonts w:hint="default" w:ascii="Times New Roman" w:hAnsi="Times New Roman" w:cs="Times New Roman"/>
                    </w:rPr>
                  </w:pPr>
                  <w:r>
                    <w:rPr>
                      <w:rFonts w:hint="default" w:ascii="Times New Roman" w:hAnsi="Times New Roman" w:cs="Times New Roman"/>
                    </w:rPr>
                    <w:t>25</w:t>
                  </w:r>
                </w:p>
              </w:tc>
              <w:tc>
                <w:tcPr>
                  <w:tcW w:w="583" w:type="pct"/>
                  <w:vMerge w:val="restart"/>
                  <w:tcBorders>
                    <w:top w:val="single" w:color="000000" w:sz="4" w:space="0"/>
                    <w:left w:val="single" w:color="000000" w:sz="4" w:space="0"/>
                    <w:right w:val="single" w:color="000000" w:sz="4" w:space="0"/>
                  </w:tcBorders>
                  <w:shd w:val="clear" w:color="auto" w:fill="FFFFFF"/>
                  <w:vAlign w:val="center"/>
                </w:tcPr>
                <w:p w14:paraId="14F5F4EB">
                  <w:pPr>
                    <w:pStyle w:val="25"/>
                    <w:bidi w:val="0"/>
                    <w:rPr>
                      <w:rFonts w:hint="default" w:ascii="Times New Roman" w:hAnsi="Times New Roman" w:cs="Times New Roman"/>
                    </w:rPr>
                  </w:pPr>
                  <w:r>
                    <w:rPr>
                      <w:rFonts w:hint="default" w:ascii="Times New Roman" w:hAnsi="Times New Roman" w:cs="Times New Roman"/>
                    </w:rPr>
                    <w:t>NH</w:t>
                  </w:r>
                  <w:r>
                    <w:rPr>
                      <w:rFonts w:hint="eastAsia" w:ascii="Times New Roman" w:hAnsi="Times New Roman" w:cs="Times New Roman"/>
                      <w:vertAlign w:val="subscript"/>
                      <w:lang w:val="en-US" w:eastAsia="zh-CN"/>
                    </w:rPr>
                    <w:t>3</w:t>
                  </w:r>
                  <w:r>
                    <w:rPr>
                      <w:rFonts w:hint="default" w:ascii="Times New Roman" w:hAnsi="Times New Roman" w:cs="Times New Roman"/>
                    </w:rPr>
                    <w:t>、H</w:t>
                  </w:r>
                  <w:r>
                    <w:rPr>
                      <w:rFonts w:hint="eastAsia" w:ascii="Times New Roman" w:hAnsi="Times New Roman" w:cs="Times New Roman"/>
                      <w:vertAlign w:val="subscript"/>
                      <w:lang w:val="en-US" w:eastAsia="zh-CN"/>
                    </w:rPr>
                    <w:t>2</w:t>
                  </w:r>
                  <w:r>
                    <w:rPr>
                      <w:rFonts w:hint="default" w:ascii="Times New Roman" w:hAnsi="Times New Roman" w:cs="Times New Roman"/>
                    </w:rPr>
                    <w:t>S、臭气浓度</w:t>
                  </w:r>
                </w:p>
              </w:tc>
              <w:tc>
                <w:tcPr>
                  <w:tcW w:w="1092" w:type="pct"/>
                  <w:vMerge w:val="restart"/>
                  <w:tcBorders>
                    <w:top w:val="single" w:color="000000" w:sz="4" w:space="0"/>
                    <w:left w:val="single" w:color="000000" w:sz="4" w:space="0"/>
                    <w:right w:val="single" w:color="000000" w:sz="4" w:space="0"/>
                  </w:tcBorders>
                  <w:shd w:val="clear" w:color="auto" w:fill="FFFFFF"/>
                  <w:vAlign w:val="center"/>
                </w:tcPr>
                <w:p w14:paraId="7C0E8AD0">
                  <w:pPr>
                    <w:pStyle w:val="25"/>
                    <w:bidi w:val="0"/>
                    <w:rPr>
                      <w:rFonts w:hint="default" w:ascii="Times New Roman" w:hAnsi="Times New Roman" w:cs="Times New Roman"/>
                    </w:rPr>
                  </w:pPr>
                  <w:r>
                    <w:rPr>
                      <w:rFonts w:hint="default" w:ascii="Times New Roman" w:hAnsi="Times New Roman" w:cs="Times New Roman"/>
                    </w:rPr>
                    <w:t>《恶臭污染物排放标准》（GB14554-93）表2</w:t>
                  </w:r>
                </w:p>
              </w:tc>
            </w:tr>
            <w:tr w14:paraId="4265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17FEF1">
                  <w:pPr>
                    <w:pStyle w:val="25"/>
                    <w:bidi w:val="0"/>
                    <w:rPr>
                      <w:rFonts w:hint="default" w:ascii="Times New Roman" w:hAnsi="Times New Roman" w:cs="Times New Roman"/>
                    </w:rPr>
                  </w:pPr>
                  <w:r>
                    <w:rPr>
                      <w:rFonts w:hint="default" w:ascii="Times New Roman" w:hAnsi="Times New Roman" w:cs="Times New Roman"/>
                    </w:rPr>
                    <w:t>DA002（生物除臭排气筒）</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48CB9">
                  <w:pPr>
                    <w:pStyle w:val="25"/>
                    <w:bidi w:val="0"/>
                    <w:rPr>
                      <w:rFonts w:hint="default" w:ascii="Times New Roman" w:hAnsi="Times New Roman" w:cs="Times New Roman"/>
                    </w:rPr>
                  </w:pPr>
                  <w:r>
                    <w:rPr>
                      <w:rFonts w:hint="default" w:ascii="Times New Roman" w:hAnsi="Times New Roman" w:cs="Times New Roman"/>
                    </w:rPr>
                    <w:t>一般排放口</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18F853">
                  <w:pPr>
                    <w:pStyle w:val="25"/>
                    <w:bidi w:val="0"/>
                    <w:rPr>
                      <w:rFonts w:hint="default" w:ascii="Times New Roman" w:hAnsi="Times New Roman" w:cs="Times New Roman"/>
                    </w:rPr>
                  </w:pPr>
                  <w:r>
                    <w:rPr>
                      <w:rFonts w:hint="default" w:ascii="Times New Roman" w:hAnsi="Times New Roman" w:cs="Times New Roman"/>
                    </w:rPr>
                    <w:t>15</w:t>
                  </w:r>
                </w:p>
              </w:tc>
              <w:tc>
                <w:tcPr>
                  <w:tcW w:w="5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D84524">
                  <w:pPr>
                    <w:pStyle w:val="25"/>
                    <w:bidi w:val="0"/>
                    <w:rPr>
                      <w:rFonts w:hint="default" w:ascii="Times New Roman" w:hAnsi="Times New Roman" w:cs="Times New Roman"/>
                    </w:rPr>
                  </w:pPr>
                  <w:r>
                    <w:rPr>
                      <w:rFonts w:hint="default" w:ascii="Times New Roman" w:hAnsi="Times New Roman" w:cs="Times New Roman"/>
                    </w:rPr>
                    <w:t>0.5</w:t>
                  </w:r>
                </w:p>
              </w:tc>
              <w:tc>
                <w:tcPr>
                  <w:tcW w:w="5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75D40">
                  <w:pPr>
                    <w:pStyle w:val="25"/>
                    <w:bidi w:val="0"/>
                    <w:rPr>
                      <w:rFonts w:hint="default" w:ascii="Times New Roman" w:hAnsi="Times New Roman" w:cs="Times New Roman"/>
                    </w:rPr>
                  </w:pPr>
                  <w:r>
                    <w:rPr>
                      <w:rFonts w:hint="default" w:ascii="Times New Roman" w:hAnsi="Times New Roman" w:cs="Times New Roman"/>
                    </w:rPr>
                    <w:t>25</w:t>
                  </w:r>
                </w:p>
              </w:tc>
              <w:tc>
                <w:tcPr>
                  <w:tcW w:w="583" w:type="pct"/>
                  <w:vMerge w:val="continue"/>
                  <w:tcBorders>
                    <w:left w:val="single" w:color="000000" w:sz="4" w:space="0"/>
                    <w:bottom w:val="single" w:color="000000" w:sz="4" w:space="0"/>
                    <w:right w:val="single" w:color="000000" w:sz="4" w:space="0"/>
                  </w:tcBorders>
                  <w:shd w:val="clear" w:color="auto" w:fill="FFFFFF"/>
                  <w:vAlign w:val="center"/>
                </w:tcPr>
                <w:p w14:paraId="3E4431CA">
                  <w:pPr>
                    <w:pStyle w:val="25"/>
                    <w:bidi w:val="0"/>
                    <w:rPr>
                      <w:rFonts w:hint="default" w:ascii="Times New Roman" w:hAnsi="Times New Roman" w:cs="Times New Roman"/>
                    </w:rPr>
                  </w:pPr>
                </w:p>
              </w:tc>
              <w:tc>
                <w:tcPr>
                  <w:tcW w:w="1092" w:type="pct"/>
                  <w:vMerge w:val="continue"/>
                  <w:tcBorders>
                    <w:left w:val="single" w:color="000000" w:sz="4" w:space="0"/>
                    <w:bottom w:val="single" w:color="000000" w:sz="4" w:space="0"/>
                    <w:right w:val="single" w:color="000000" w:sz="4" w:space="0"/>
                  </w:tcBorders>
                  <w:shd w:val="clear" w:color="auto" w:fill="FFFFFF"/>
                  <w:vAlign w:val="center"/>
                </w:tcPr>
                <w:p w14:paraId="2CFBF949">
                  <w:pPr>
                    <w:pStyle w:val="25"/>
                    <w:bidi w:val="0"/>
                    <w:jc w:val="both"/>
                    <w:rPr>
                      <w:rFonts w:hint="default" w:ascii="Times New Roman" w:hAnsi="Times New Roman" w:cs="Times New Roman"/>
                    </w:rPr>
                  </w:pPr>
                </w:p>
              </w:tc>
            </w:tr>
          </w:tbl>
          <w:p w14:paraId="63D113FB">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2.</w:t>
            </w:r>
            <w:r>
              <w:rPr>
                <w:rFonts w:hint="eastAsia"/>
                <w:sz w:val="24"/>
                <w:szCs w:val="24"/>
              </w:rPr>
              <w:t>1.</w:t>
            </w:r>
            <w:r>
              <w:rPr>
                <w:rFonts w:hint="eastAsia"/>
                <w:sz w:val="24"/>
                <w:szCs w:val="24"/>
                <w:lang w:val="en-US" w:eastAsia="zh-CN"/>
              </w:rPr>
              <w:t>3</w:t>
            </w:r>
            <w:r>
              <w:rPr>
                <w:rFonts w:hint="eastAsia"/>
                <w:sz w:val="24"/>
                <w:szCs w:val="24"/>
              </w:rPr>
              <w:t>厂界达标论证</w:t>
            </w:r>
          </w:p>
          <w:p w14:paraId="7C90B0A7">
            <w:pPr>
              <w:keepNext w:val="0"/>
              <w:keepLines w:val="0"/>
              <w:pageBreakBefore w:val="0"/>
              <w:widowControl w:val="0"/>
              <w:kinsoku/>
              <w:wordWrap/>
              <w:overflowPunct/>
              <w:topLinePunct w:val="0"/>
              <w:autoSpaceDE/>
              <w:autoSpaceDN/>
              <w:bidi w:val="0"/>
              <w:adjustRightInd/>
              <w:snapToGrid/>
              <w:spacing w:line="360" w:lineRule="auto"/>
              <w:ind w:firstLine="504"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pacing w:val="6"/>
                <w:sz w:val="24"/>
                <w:szCs w:val="24"/>
              </w:rPr>
              <w:t>采用AERSCREEN估算模型对厂界无组织排放浓度进行预测，在采取密闭收集（收集效率≥90%）等措施后，厂界处</w:t>
            </w:r>
            <w:r>
              <w:rPr>
                <w:rFonts w:hint="default" w:ascii="Times New Roman" w:hAnsi="Times New Roman" w:cs="Times New Roman"/>
                <w:spacing w:val="6"/>
                <w:sz w:val="24"/>
                <w:szCs w:val="24"/>
                <w:lang w:val="en-US" w:eastAsia="zh-CN"/>
              </w:rPr>
              <w:t>NH</w:t>
            </w:r>
            <w:r>
              <w:rPr>
                <w:rFonts w:hint="eastAsia" w:ascii="Times New Roman" w:hAnsi="Times New Roman" w:cs="Times New Roman"/>
                <w:spacing w:val="6"/>
                <w:sz w:val="24"/>
                <w:szCs w:val="24"/>
                <w:vertAlign w:val="subscript"/>
                <w:lang w:val="en-US" w:eastAsia="zh-CN"/>
              </w:rPr>
              <w:t>3</w:t>
            </w:r>
            <w:r>
              <w:rPr>
                <w:rFonts w:hint="default" w:ascii="Times New Roman" w:hAnsi="Times New Roman" w:cs="Times New Roman"/>
                <w:spacing w:val="6"/>
                <w:sz w:val="24"/>
                <w:szCs w:val="24"/>
              </w:rPr>
              <w:t>最大落地浓度为0.00166mg/m</w:t>
            </w:r>
            <w:r>
              <w:rPr>
                <w:rFonts w:hint="eastAsia" w:ascii="Times New Roman" w:hAnsi="Times New Roman" w:cs="Times New Roman"/>
                <w:spacing w:val="6"/>
                <w:sz w:val="24"/>
                <w:szCs w:val="24"/>
                <w:vertAlign w:val="superscript"/>
                <w:lang w:val="en-US" w:eastAsia="zh-CN"/>
              </w:rPr>
              <w:t>3</w:t>
            </w:r>
            <w:r>
              <w:rPr>
                <w:rFonts w:hint="default" w:ascii="Times New Roman" w:hAnsi="Times New Roman" w:cs="Times New Roman"/>
                <w:spacing w:val="6"/>
                <w:sz w:val="24"/>
                <w:szCs w:val="24"/>
              </w:rPr>
              <w:t>，占标率0.83%；</w:t>
            </w:r>
            <w:r>
              <w:rPr>
                <w:rFonts w:hint="default" w:ascii="Times New Roman" w:hAnsi="Times New Roman" w:cs="Times New Roman"/>
                <w:spacing w:val="6"/>
                <w:sz w:val="24"/>
                <w:szCs w:val="24"/>
                <w:lang w:val="en-US" w:eastAsia="zh-CN"/>
              </w:rPr>
              <w:t>H</w:t>
            </w:r>
            <w:r>
              <w:rPr>
                <w:rFonts w:hint="eastAsia" w:ascii="Times New Roman" w:hAnsi="Times New Roman" w:cs="Times New Roman"/>
                <w:spacing w:val="6"/>
                <w:sz w:val="24"/>
                <w:szCs w:val="24"/>
                <w:vertAlign w:val="subscript"/>
                <w:lang w:val="en-US" w:eastAsia="zh-CN"/>
              </w:rPr>
              <w:t>2</w:t>
            </w:r>
            <w:r>
              <w:rPr>
                <w:rFonts w:hint="default" w:ascii="Times New Roman" w:hAnsi="Times New Roman" w:cs="Times New Roman"/>
                <w:spacing w:val="6"/>
                <w:sz w:val="24"/>
                <w:szCs w:val="24"/>
                <w:lang w:val="en-US" w:eastAsia="zh-CN"/>
              </w:rPr>
              <w:t>S</w:t>
            </w:r>
            <w:r>
              <w:rPr>
                <w:rFonts w:hint="default" w:ascii="Times New Roman" w:hAnsi="Times New Roman" w:cs="Times New Roman"/>
                <w:spacing w:val="6"/>
                <w:sz w:val="24"/>
                <w:szCs w:val="24"/>
              </w:rPr>
              <w:t>最大落地浓度为1.66×10</w:t>
            </w:r>
            <w:r>
              <w:rPr>
                <w:rFonts w:hint="default" w:ascii="Times New Roman" w:hAnsi="Times New Roman" w:cs="Times New Roman"/>
                <w:spacing w:val="6"/>
                <w:sz w:val="24"/>
                <w:szCs w:val="24"/>
                <w:vertAlign w:val="superscript"/>
                <w:lang w:val="en-US" w:eastAsia="zh-CN"/>
              </w:rPr>
              <w:t>-</w:t>
            </w:r>
            <w:r>
              <w:rPr>
                <w:rFonts w:hint="eastAsia" w:ascii="Times New Roman" w:hAnsi="Times New Roman" w:cs="Times New Roman"/>
                <w:spacing w:val="6"/>
                <w:sz w:val="24"/>
                <w:szCs w:val="24"/>
                <w:vertAlign w:val="superscript"/>
                <w:lang w:val="en-US" w:eastAsia="zh-CN"/>
              </w:rPr>
              <w:t>5</w:t>
            </w:r>
            <w:r>
              <w:rPr>
                <w:rFonts w:hint="default" w:ascii="Times New Roman" w:hAnsi="Times New Roman" w:cs="Times New Roman"/>
                <w:spacing w:val="6"/>
                <w:sz w:val="24"/>
                <w:szCs w:val="24"/>
              </w:rPr>
              <w:t>mg/m</w:t>
            </w:r>
            <w:r>
              <w:rPr>
                <w:rFonts w:hint="eastAsia" w:ascii="Times New Roman" w:hAnsi="Times New Roman" w:cs="Times New Roman"/>
                <w:spacing w:val="6"/>
                <w:sz w:val="24"/>
                <w:szCs w:val="24"/>
                <w:vertAlign w:val="superscript"/>
                <w:lang w:val="en-US" w:eastAsia="zh-CN"/>
              </w:rPr>
              <w:t>3</w:t>
            </w:r>
            <w:r>
              <w:rPr>
                <w:rFonts w:hint="default" w:ascii="Times New Roman" w:hAnsi="Times New Roman" w:cs="Times New Roman"/>
                <w:spacing w:val="6"/>
                <w:sz w:val="24"/>
                <w:szCs w:val="24"/>
              </w:rPr>
              <w:t>，占标率0.17%。预测结果远低于</w:t>
            </w:r>
            <w:r>
              <w:rPr>
                <w:rFonts w:hint="default" w:ascii="Times New Roman" w:hAnsi="Times New Roman" w:cs="Times New Roman"/>
                <w:spacing w:val="6"/>
                <w:sz w:val="24"/>
                <w:szCs w:val="24"/>
                <w:lang w:eastAsia="zh-CN"/>
              </w:rPr>
              <w:t>《城镇污水处理厂污染物排放标准》（GB18918-2002）及其修改单</w:t>
            </w:r>
            <w:r>
              <w:rPr>
                <w:rFonts w:hint="default" w:ascii="Times New Roman" w:hAnsi="Times New Roman" w:cs="Times New Roman"/>
                <w:spacing w:val="0"/>
                <w:sz w:val="24"/>
                <w:szCs w:val="24"/>
              </w:rPr>
              <w:t>表4二级标准限值（</w:t>
            </w:r>
            <w:r>
              <w:rPr>
                <w:rFonts w:hint="default" w:ascii="Times New Roman" w:hAnsi="Times New Roman" w:cs="Times New Roman"/>
                <w:spacing w:val="6"/>
                <w:sz w:val="24"/>
                <w:szCs w:val="24"/>
                <w:lang w:val="en-US" w:eastAsia="zh-CN"/>
              </w:rPr>
              <w:t>NH</w:t>
            </w:r>
            <w:r>
              <w:rPr>
                <w:rFonts w:hint="eastAsia" w:ascii="Times New Roman" w:hAnsi="Times New Roman" w:cs="Times New Roman"/>
                <w:spacing w:val="6"/>
                <w:sz w:val="24"/>
                <w:szCs w:val="24"/>
                <w:vertAlign w:val="subscript"/>
                <w:lang w:val="en-US" w:eastAsia="zh-CN"/>
              </w:rPr>
              <w:t>3</w:t>
            </w:r>
            <w:r>
              <w:rPr>
                <w:rFonts w:hint="default" w:ascii="Times New Roman" w:hAnsi="Times New Roman" w:cs="Times New Roman"/>
                <w:spacing w:val="0"/>
                <w:sz w:val="24"/>
                <w:szCs w:val="24"/>
              </w:rPr>
              <w:t>≤1.5mg/m</w:t>
            </w:r>
            <w:r>
              <w:rPr>
                <w:rFonts w:hint="eastAsia" w:cs="Times New Roman"/>
                <w:spacing w:val="0"/>
                <w:sz w:val="24"/>
                <w:szCs w:val="24"/>
                <w:vertAlign w:val="superscript"/>
                <w:lang w:val="en-US" w:eastAsia="zh-CN"/>
              </w:rPr>
              <w:t>3</w:t>
            </w:r>
            <w:r>
              <w:rPr>
                <w:rFonts w:hint="default" w:ascii="Times New Roman" w:hAnsi="Times New Roman" w:cs="Times New Roman"/>
                <w:spacing w:val="0"/>
                <w:sz w:val="24"/>
                <w:szCs w:val="24"/>
              </w:rPr>
              <w:t>，</w:t>
            </w:r>
            <w:r>
              <w:rPr>
                <w:rFonts w:hint="default" w:ascii="Times New Roman" w:hAnsi="Times New Roman" w:cs="Times New Roman"/>
                <w:spacing w:val="6"/>
                <w:sz w:val="24"/>
                <w:szCs w:val="24"/>
                <w:lang w:val="en-US" w:eastAsia="zh-CN"/>
              </w:rPr>
              <w:t>H</w:t>
            </w:r>
            <w:r>
              <w:rPr>
                <w:rFonts w:hint="eastAsia" w:ascii="Times New Roman" w:hAnsi="Times New Roman" w:cs="Times New Roman"/>
                <w:spacing w:val="6"/>
                <w:sz w:val="24"/>
                <w:szCs w:val="24"/>
                <w:vertAlign w:val="subscript"/>
                <w:lang w:val="en-US" w:eastAsia="zh-CN"/>
              </w:rPr>
              <w:t>2</w:t>
            </w:r>
            <w:r>
              <w:rPr>
                <w:rFonts w:hint="default" w:ascii="Times New Roman" w:hAnsi="Times New Roman" w:cs="Times New Roman"/>
                <w:spacing w:val="6"/>
                <w:sz w:val="24"/>
                <w:szCs w:val="24"/>
                <w:lang w:val="en-US" w:eastAsia="zh-CN"/>
              </w:rPr>
              <w:t>S</w:t>
            </w:r>
            <w:r>
              <w:rPr>
                <w:rFonts w:hint="default" w:ascii="Times New Roman" w:hAnsi="Times New Roman" w:cs="Times New Roman"/>
                <w:spacing w:val="0"/>
                <w:sz w:val="24"/>
                <w:szCs w:val="24"/>
              </w:rPr>
              <w:t>≤0.06mg/m</w:t>
            </w:r>
            <w:r>
              <w:rPr>
                <w:rFonts w:hint="eastAsia" w:ascii="Times New Roman" w:hAnsi="Times New Roman" w:cs="Times New Roman"/>
                <w:spacing w:val="0"/>
                <w:sz w:val="24"/>
                <w:szCs w:val="24"/>
                <w:vertAlign w:val="superscript"/>
                <w:lang w:val="en-US" w:eastAsia="zh-CN"/>
              </w:rPr>
              <w:t>3</w:t>
            </w:r>
            <w:r>
              <w:rPr>
                <w:rFonts w:hint="default" w:ascii="Times New Roman" w:hAnsi="Times New Roman" w:cs="Times New Roman"/>
                <w:spacing w:val="0"/>
                <w:sz w:val="24"/>
                <w:szCs w:val="24"/>
              </w:rPr>
              <w:t>），厂界无组织排放可达标。</w:t>
            </w:r>
          </w:p>
          <w:p w14:paraId="66A11A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4.2.1.4达标排放分析</w:t>
            </w:r>
          </w:p>
          <w:p w14:paraId="2A8662AD">
            <w:pPr>
              <w:pStyle w:val="7"/>
              <w:bidi w:val="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本项目全厂针对不同产臭单元采用利旧离子除臭+新建生物除臭的组合工艺：</w:t>
            </w:r>
          </w:p>
          <w:p w14:paraId="7ECFF3DD">
            <w:pPr>
              <w:pStyle w:val="7"/>
              <w:bidi w:val="0"/>
              <w:rPr>
                <w:rFonts w:hint="eastAsia" w:ascii="Times New Roman" w:hAnsi="Times New Roman" w:eastAsia="宋体" w:cs="Times New Roman"/>
                <w:spacing w:val="6"/>
                <w:kern w:val="2"/>
                <w:sz w:val="24"/>
                <w:szCs w:val="24"/>
                <w:lang w:val="en-US" w:eastAsia="zh-CN" w:bidi="ar-SA"/>
              </w:rPr>
            </w:pPr>
            <w:r>
              <w:rPr>
                <w:rFonts w:hint="eastAsia" w:ascii="Times New Roman" w:hAnsi="Times New Roman" w:eastAsia="宋体" w:cs="Times New Roman"/>
                <w:spacing w:val="6"/>
                <w:kern w:val="2"/>
                <w:sz w:val="24"/>
                <w:szCs w:val="24"/>
                <w:lang w:val="en-US" w:eastAsia="zh-CN" w:bidi="ar-SA"/>
              </w:rPr>
              <w:t>全厂预处理区（格栅间、调节池、旋流除砂器）利旧一期已建</w:t>
            </w:r>
            <w:r>
              <w:rPr>
                <w:rFonts w:hint="eastAsia" w:ascii="Times New Roman" w:cs="Times New Roman"/>
                <w:spacing w:val="6"/>
                <w:kern w:val="2"/>
                <w:sz w:val="24"/>
                <w:szCs w:val="24"/>
                <w:lang w:val="en-US" w:eastAsia="zh-CN" w:bidi="ar-SA"/>
              </w:rPr>
              <w:t>1</w:t>
            </w:r>
            <w:r>
              <w:rPr>
                <w:rFonts w:hint="eastAsia" w:ascii="Times New Roman" w:hAnsi="Times New Roman" w:eastAsia="宋体" w:cs="Times New Roman"/>
                <w:spacing w:val="6"/>
                <w:kern w:val="2"/>
                <w:sz w:val="24"/>
                <w:szCs w:val="24"/>
                <w:lang w:val="en-US" w:eastAsia="zh-CN" w:bidi="ar-SA"/>
              </w:rPr>
              <w:t>套离子除臭装置（设计风量3000m</w:t>
            </w:r>
            <w:r>
              <w:rPr>
                <w:rFonts w:hint="eastAsia" w:ascii="Times New Roman" w:cs="Times New Roman"/>
                <w:spacing w:val="6"/>
                <w:kern w:val="2"/>
                <w:sz w:val="24"/>
                <w:szCs w:val="24"/>
                <w:vertAlign w:val="superscript"/>
                <w:lang w:val="en-US" w:eastAsia="zh-CN" w:bidi="ar-SA"/>
              </w:rPr>
              <w:t>3</w:t>
            </w:r>
            <w:r>
              <w:rPr>
                <w:rFonts w:hint="eastAsia" w:ascii="Times New Roman" w:hAnsi="Times New Roman" w:eastAsia="宋体" w:cs="Times New Roman"/>
                <w:spacing w:val="6"/>
                <w:kern w:val="2"/>
                <w:sz w:val="24"/>
                <w:szCs w:val="24"/>
                <w:lang w:val="en-US" w:eastAsia="zh-CN" w:bidi="ar-SA"/>
              </w:rPr>
              <w:t>/h），臭气处理后经15m高排气筒（DA001）排放；</w:t>
            </w:r>
          </w:p>
          <w:p w14:paraId="446F8AA3">
            <w:pPr>
              <w:pStyle w:val="7"/>
              <w:bidi w:val="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本项目二期新建生化处理区及污泥处理区，产臭单元臭气共用1套新建生物除臭装置（设计风量15000m</w:t>
            </w:r>
            <w:r>
              <w:rPr>
                <w:rFonts w:hint="eastAsia" w:ascii="Times New Roman" w:cs="Times New Roman"/>
                <w:kern w:val="2"/>
                <w:sz w:val="24"/>
                <w:szCs w:val="24"/>
                <w:vertAlign w:val="superscript"/>
                <w:lang w:val="en-US" w:eastAsia="zh-CN" w:bidi="ar-SA"/>
              </w:rPr>
              <w:t>3</w:t>
            </w:r>
            <w:r>
              <w:rPr>
                <w:rFonts w:hint="eastAsia" w:ascii="Times New Roman" w:hAnsi="Times New Roman" w:eastAsia="宋体" w:cs="Times New Roman"/>
                <w:kern w:val="2"/>
                <w:sz w:val="24"/>
                <w:szCs w:val="24"/>
                <w:lang w:val="en-US" w:eastAsia="zh-CN" w:bidi="ar-SA"/>
              </w:rPr>
              <w:t>/h），处理后经15m高排气筒（DA002）排放。</w:t>
            </w:r>
          </w:p>
          <w:p w14:paraId="7CE75402">
            <w:pPr>
              <w:pStyle w:val="7"/>
              <w:bidi w:val="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本次</w:t>
            </w:r>
            <w:r>
              <w:rPr>
                <w:rFonts w:hint="eastAsia" w:ascii="Times New Roman" w:cs="Times New Roman"/>
                <w:kern w:val="2"/>
                <w:sz w:val="24"/>
                <w:szCs w:val="24"/>
                <w:lang w:val="en-US" w:eastAsia="zh-CN" w:bidi="ar-SA"/>
              </w:rPr>
              <w:t>新建</w:t>
            </w:r>
            <w:r>
              <w:rPr>
                <w:rFonts w:hint="eastAsia" w:ascii="Times New Roman" w:hAnsi="Times New Roman" w:eastAsia="宋体" w:cs="Times New Roman"/>
                <w:kern w:val="2"/>
                <w:sz w:val="24"/>
                <w:szCs w:val="24"/>
                <w:lang w:val="en-US" w:eastAsia="zh-CN" w:bidi="ar-SA"/>
              </w:rPr>
              <w:t>工程（二期工程）生化处理区及污泥处理区恶臭气体采用生物除臭工艺。根据《排污许可证申请与核发技术规范 水处理（试行）》（HJ 978-2018）表5，生物除臭（生物过滤）属于废气治理可行技术。</w:t>
            </w:r>
          </w:p>
          <w:p w14:paraId="03C19913">
            <w:pPr>
              <w:pStyle w:val="7"/>
              <w:bidi w:val="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厂区现有（一期工程）预处理区已建离子除臭设施1套。一期工程环评已于2020年取得批复（巴环评价函〔2020〕274号），离子除臭是该工程已批复的治理工艺。本次</w:t>
            </w:r>
            <w:r>
              <w:rPr>
                <w:rFonts w:hint="eastAsia" w:ascii="Times New Roman" w:cs="Times New Roman"/>
                <w:kern w:val="2"/>
                <w:sz w:val="24"/>
                <w:szCs w:val="24"/>
                <w:lang w:val="en-US" w:eastAsia="zh-CN" w:bidi="ar-SA"/>
              </w:rPr>
              <w:t>新建</w:t>
            </w:r>
            <w:r>
              <w:rPr>
                <w:rFonts w:hint="eastAsia" w:ascii="Times New Roman" w:hAnsi="Times New Roman" w:eastAsia="宋体" w:cs="Times New Roman"/>
                <w:kern w:val="2"/>
                <w:sz w:val="24"/>
                <w:szCs w:val="24"/>
                <w:lang w:val="en-US" w:eastAsia="zh-CN" w:bidi="ar-SA"/>
              </w:rPr>
              <w:t>工程未新增预处理区臭气源，离子除臭设施的运行管理按一期工程现有要求执行。离子除臭工艺为污水处理厂恶臭治理的常用技术，具有设备投资较低、运行费用较低、管理方便等优点。根据一期环评报告中的源强数据反推计算，离子除臭设计去除效率约为90%。本次</w:t>
            </w:r>
            <w:r>
              <w:rPr>
                <w:rFonts w:hint="eastAsia" w:ascii="Times New Roman" w:cs="Times New Roman"/>
                <w:kern w:val="2"/>
                <w:sz w:val="24"/>
                <w:szCs w:val="24"/>
                <w:lang w:val="en-US" w:eastAsia="zh-CN" w:bidi="ar-SA"/>
              </w:rPr>
              <w:t>新建</w:t>
            </w:r>
            <w:r>
              <w:rPr>
                <w:rFonts w:hint="eastAsia" w:ascii="Times New Roman" w:hAnsi="Times New Roman" w:eastAsia="宋体" w:cs="Times New Roman"/>
                <w:kern w:val="2"/>
                <w:sz w:val="24"/>
                <w:szCs w:val="24"/>
                <w:lang w:val="en-US" w:eastAsia="zh-CN" w:bidi="ar-SA"/>
              </w:rPr>
              <w:t>工程预处理区基本无变化，离子除臭设施的运行管理按一期工程现有要求执行，保持原有合规状态。本次环评保守取值，离子除臭去除效率按≥80%计。</w:t>
            </w:r>
          </w:p>
          <w:p w14:paraId="67FE6F3B">
            <w:pPr>
              <w:pStyle w:val="7"/>
              <w:bidi w:val="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生物除臭废气治理措施效率参考《封丘县污水处理厂地表水V类</w:t>
            </w:r>
            <w:r>
              <w:rPr>
                <w:rFonts w:hint="eastAsia" w:ascii="Times New Roman"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总氮除外</w:t>
            </w:r>
            <w:r>
              <w:rPr>
                <w:rFonts w:hint="eastAsia" w:ascii="Times New Roman"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标准升级改造项目竣工环境保护验收监测报告表》，废气收集率95%，去除效率90%。综合考虑本环评按以下参数核算：</w:t>
            </w:r>
          </w:p>
          <w:p w14:paraId="65DF3F78">
            <w:pPr>
              <w:pStyle w:val="7"/>
              <w:bidi w:val="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预处理区（一期离子除臭）：有组织恶臭收集效率按90%计，离子除臭去除效率按≥80%计；</w:t>
            </w:r>
          </w:p>
          <w:p w14:paraId="554DF146">
            <w:pPr>
              <w:pStyle w:val="7"/>
              <w:bidi w:val="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生化处理区及污泥处理区（本次新建生物除臭）：有组织恶臭收集效率按95%计，生物除臭去除效率按≥90%计。</w:t>
            </w:r>
          </w:p>
          <w:p w14:paraId="6B025131">
            <w:pPr>
              <w:pStyle w:val="7"/>
              <w:bidi w:val="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经核算：</w:t>
            </w:r>
          </w:p>
          <w:p w14:paraId="3CC605B6">
            <w:pPr>
              <w:pStyle w:val="7"/>
              <w:bidi w:val="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DA001排气筒：NH</w:t>
            </w:r>
            <w:r>
              <w:rPr>
                <w:rFonts w:hint="eastAsia" w:ascii="Times New Roman" w:hAnsi="Times New Roman" w:eastAsia="宋体" w:cs="Times New Roman"/>
                <w:kern w:val="2"/>
                <w:sz w:val="24"/>
                <w:szCs w:val="24"/>
                <w:vertAlign w:val="subscript"/>
                <w:lang w:val="en-US" w:eastAsia="zh-CN" w:bidi="ar-SA"/>
              </w:rPr>
              <w:t>3</w:t>
            </w:r>
            <w:r>
              <w:rPr>
                <w:rFonts w:hint="eastAsia" w:ascii="Times New Roman" w:hAnsi="Times New Roman" w:eastAsia="宋体" w:cs="Times New Roman"/>
                <w:kern w:val="2"/>
                <w:sz w:val="24"/>
                <w:szCs w:val="24"/>
                <w:lang w:val="en-US" w:eastAsia="zh-CN" w:bidi="ar-SA"/>
              </w:rPr>
              <w:t>排放量为</w:t>
            </w:r>
            <w:r>
              <w:rPr>
                <w:rFonts w:hint="default" w:ascii="Times New Roman" w:hAnsi="Times New Roman" w:eastAsia="宋体" w:cs="Times New Roman"/>
                <w:kern w:val="2"/>
                <w:sz w:val="24"/>
                <w:szCs w:val="24"/>
                <w:lang w:val="en-US" w:eastAsia="zh-CN" w:bidi="ar-SA"/>
              </w:rPr>
              <w:t>0.00464</w:t>
            </w:r>
            <w:r>
              <w:rPr>
                <w:rFonts w:hint="eastAsia" w:ascii="Times New Roman" w:hAnsi="Times New Roman" w:eastAsia="宋体" w:cs="Times New Roman"/>
                <w:kern w:val="2"/>
                <w:sz w:val="24"/>
                <w:szCs w:val="24"/>
                <w:lang w:val="en-US" w:eastAsia="zh-CN" w:bidi="ar-SA"/>
              </w:rPr>
              <w:t>t/a、排放速率</w:t>
            </w:r>
            <w:r>
              <w:rPr>
                <w:rFonts w:hint="default" w:ascii="Times New Roman" w:hAnsi="Times New Roman" w:eastAsia="宋体" w:cs="Times New Roman"/>
                <w:kern w:val="2"/>
                <w:sz w:val="24"/>
                <w:szCs w:val="24"/>
                <w:lang w:val="en-US" w:eastAsia="zh-CN" w:bidi="ar-SA"/>
              </w:rPr>
              <w:t>0.00053</w:t>
            </w:r>
            <w:r>
              <w:rPr>
                <w:rFonts w:hint="eastAsia" w:ascii="Times New Roman" w:hAnsi="Times New Roman" w:eastAsia="宋体" w:cs="Times New Roman"/>
                <w:kern w:val="2"/>
                <w:sz w:val="24"/>
                <w:szCs w:val="24"/>
                <w:lang w:val="en-US" w:eastAsia="zh-CN" w:bidi="ar-SA"/>
              </w:rPr>
              <w:t>kg/h，H</w:t>
            </w:r>
            <w:r>
              <w:rPr>
                <w:rFonts w:hint="eastAsia" w:ascii="Times New Roman" w:hAnsi="Times New Roman" w:eastAsia="宋体" w:cs="Times New Roman"/>
                <w:kern w:val="2"/>
                <w:sz w:val="24"/>
                <w:szCs w:val="24"/>
                <w:vertAlign w:val="subscript"/>
                <w:lang w:val="en-US" w:eastAsia="zh-CN" w:bidi="ar-SA"/>
              </w:rPr>
              <w:t>2</w:t>
            </w:r>
            <w:r>
              <w:rPr>
                <w:rFonts w:hint="eastAsia" w:ascii="Times New Roman" w:hAnsi="Times New Roman" w:eastAsia="宋体" w:cs="Times New Roman"/>
                <w:kern w:val="2"/>
                <w:sz w:val="24"/>
                <w:szCs w:val="24"/>
                <w:lang w:val="en-US" w:eastAsia="zh-CN" w:bidi="ar-SA"/>
              </w:rPr>
              <w:t>S排放量为</w:t>
            </w:r>
            <w:r>
              <w:rPr>
                <w:rFonts w:hint="default" w:ascii="Times New Roman" w:hAnsi="Times New Roman" w:eastAsia="宋体" w:cs="Times New Roman"/>
                <w:kern w:val="2"/>
                <w:sz w:val="24"/>
                <w:szCs w:val="24"/>
                <w:lang w:val="en-US" w:eastAsia="zh-CN" w:bidi="ar-SA"/>
              </w:rPr>
              <w:t>0.00090</w:t>
            </w:r>
            <w:r>
              <w:rPr>
                <w:rFonts w:hint="eastAsia" w:ascii="Times New Roman" w:hAnsi="Times New Roman" w:eastAsia="宋体" w:cs="Times New Roman"/>
                <w:kern w:val="2"/>
                <w:sz w:val="24"/>
                <w:szCs w:val="24"/>
                <w:lang w:val="en-US" w:eastAsia="zh-CN" w:bidi="ar-SA"/>
              </w:rPr>
              <w:t>t/a、排放速率</w:t>
            </w:r>
            <w:r>
              <w:rPr>
                <w:rFonts w:hint="default" w:ascii="Times New Roman" w:hAnsi="Times New Roman" w:eastAsia="宋体" w:cs="Times New Roman"/>
                <w:kern w:val="2"/>
                <w:sz w:val="24"/>
                <w:szCs w:val="24"/>
                <w:lang w:val="en-US" w:eastAsia="zh-CN" w:bidi="ar-SA"/>
              </w:rPr>
              <w:t>0.00010</w:t>
            </w:r>
            <w:r>
              <w:rPr>
                <w:rFonts w:hint="eastAsia" w:ascii="Times New Roman" w:hAnsi="Times New Roman" w:eastAsia="宋体" w:cs="Times New Roman"/>
                <w:kern w:val="2"/>
                <w:sz w:val="24"/>
                <w:szCs w:val="24"/>
                <w:lang w:val="en-US" w:eastAsia="zh-CN" w:bidi="ar-SA"/>
              </w:rPr>
              <w:t>kg/h；</w:t>
            </w:r>
          </w:p>
          <w:p w14:paraId="17C6E51D">
            <w:pPr>
              <w:pStyle w:val="7"/>
              <w:bidi w:val="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DA002排气筒：NH</w:t>
            </w:r>
            <w:r>
              <w:rPr>
                <w:rFonts w:hint="eastAsia" w:ascii="Times New Roman" w:hAnsi="Times New Roman" w:eastAsia="宋体" w:cs="Times New Roman"/>
                <w:kern w:val="2"/>
                <w:sz w:val="24"/>
                <w:szCs w:val="24"/>
                <w:vertAlign w:val="subscript"/>
                <w:lang w:val="en-US" w:eastAsia="zh-CN" w:bidi="ar-SA"/>
              </w:rPr>
              <w:t>3</w:t>
            </w:r>
            <w:r>
              <w:rPr>
                <w:rFonts w:hint="eastAsia" w:ascii="Times New Roman" w:hAnsi="Times New Roman" w:eastAsia="宋体" w:cs="Times New Roman"/>
                <w:kern w:val="2"/>
                <w:sz w:val="24"/>
                <w:szCs w:val="24"/>
                <w:lang w:val="en-US" w:eastAsia="zh-CN" w:bidi="ar-SA"/>
              </w:rPr>
              <w:t>排放量为</w:t>
            </w:r>
            <w:r>
              <w:rPr>
                <w:rFonts w:hint="default" w:ascii="Times New Roman" w:hAnsi="Times New Roman" w:eastAsia="宋体" w:cs="Times New Roman"/>
                <w:kern w:val="2"/>
                <w:sz w:val="24"/>
                <w:szCs w:val="24"/>
                <w:lang w:val="en-US" w:eastAsia="zh-CN" w:bidi="ar-SA"/>
              </w:rPr>
              <w:t>0.02757</w:t>
            </w:r>
            <w:r>
              <w:rPr>
                <w:rFonts w:hint="eastAsia" w:ascii="Times New Roman" w:hAnsi="Times New Roman" w:eastAsia="宋体" w:cs="Times New Roman"/>
                <w:kern w:val="2"/>
                <w:sz w:val="24"/>
                <w:szCs w:val="24"/>
                <w:lang w:val="en-US" w:eastAsia="zh-CN" w:bidi="ar-SA"/>
              </w:rPr>
              <w:t>t/a、排放速率</w:t>
            </w:r>
            <w:r>
              <w:rPr>
                <w:rFonts w:hint="default" w:ascii="Times New Roman" w:hAnsi="Times New Roman" w:eastAsia="宋体" w:cs="Times New Roman"/>
                <w:kern w:val="2"/>
                <w:sz w:val="24"/>
                <w:szCs w:val="24"/>
                <w:lang w:val="en-US" w:eastAsia="zh-CN" w:bidi="ar-SA"/>
              </w:rPr>
              <w:t>0.0315</w:t>
            </w:r>
            <w:r>
              <w:rPr>
                <w:rFonts w:hint="eastAsia" w:ascii="Times New Roman" w:hAnsi="Times New Roman" w:eastAsia="宋体" w:cs="Times New Roman"/>
                <w:kern w:val="2"/>
                <w:sz w:val="24"/>
                <w:szCs w:val="24"/>
                <w:lang w:val="en-US" w:eastAsia="zh-CN" w:bidi="ar-SA"/>
              </w:rPr>
              <w:t>kg/h，H</w:t>
            </w:r>
            <w:r>
              <w:rPr>
                <w:rFonts w:hint="eastAsia" w:ascii="Times New Roman" w:hAnsi="Times New Roman" w:eastAsia="宋体" w:cs="Times New Roman"/>
                <w:kern w:val="2"/>
                <w:sz w:val="24"/>
                <w:szCs w:val="24"/>
                <w:vertAlign w:val="subscript"/>
                <w:lang w:val="en-US" w:eastAsia="zh-CN" w:bidi="ar-SA"/>
              </w:rPr>
              <w:t>2</w:t>
            </w:r>
            <w:r>
              <w:rPr>
                <w:rFonts w:hint="eastAsia" w:ascii="Times New Roman" w:hAnsi="Times New Roman" w:eastAsia="宋体" w:cs="Times New Roman"/>
                <w:kern w:val="2"/>
                <w:sz w:val="24"/>
                <w:szCs w:val="24"/>
                <w:lang w:val="en-US" w:eastAsia="zh-CN" w:bidi="ar-SA"/>
              </w:rPr>
              <w:t>S排放量为</w:t>
            </w:r>
            <w:r>
              <w:rPr>
                <w:rFonts w:hint="default" w:ascii="Times New Roman" w:hAnsi="Times New Roman" w:eastAsia="宋体" w:cs="Times New Roman"/>
                <w:kern w:val="2"/>
                <w:sz w:val="24"/>
                <w:szCs w:val="24"/>
                <w:lang w:val="en-US" w:eastAsia="zh-CN" w:bidi="ar-SA"/>
              </w:rPr>
              <w:t>0.00304</w:t>
            </w:r>
            <w:r>
              <w:rPr>
                <w:rFonts w:hint="eastAsia" w:ascii="Times New Roman" w:hAnsi="Times New Roman" w:eastAsia="宋体" w:cs="Times New Roman"/>
                <w:kern w:val="2"/>
                <w:sz w:val="24"/>
                <w:szCs w:val="24"/>
                <w:lang w:val="en-US" w:eastAsia="zh-CN" w:bidi="ar-SA"/>
              </w:rPr>
              <w:t>t/a、排放速率</w:t>
            </w:r>
            <w:r>
              <w:rPr>
                <w:rFonts w:hint="default" w:ascii="Times New Roman" w:hAnsi="Times New Roman" w:eastAsia="宋体" w:cs="Times New Roman"/>
                <w:kern w:val="2"/>
                <w:sz w:val="24"/>
                <w:szCs w:val="24"/>
                <w:lang w:val="en-US" w:eastAsia="zh-CN" w:bidi="ar-SA"/>
              </w:rPr>
              <w:t>0.00035</w:t>
            </w:r>
            <w:r>
              <w:rPr>
                <w:rFonts w:hint="eastAsia" w:ascii="Times New Roman" w:hAnsi="Times New Roman" w:eastAsia="宋体" w:cs="Times New Roman"/>
                <w:kern w:val="2"/>
                <w:sz w:val="24"/>
                <w:szCs w:val="24"/>
                <w:lang w:val="en-US" w:eastAsia="zh-CN" w:bidi="ar-SA"/>
              </w:rPr>
              <w:t>kg/h。</w:t>
            </w:r>
          </w:p>
          <w:p w14:paraId="0E8A2C94">
            <w:pPr>
              <w:pStyle w:val="7"/>
              <w:bidi w:val="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各排气筒污染物排放速率均满足《恶臭污染物排放标准》（GB14554-93）表2中15m高排气筒对应的标准限值（NH</w:t>
            </w:r>
            <w:r>
              <w:rPr>
                <w:rFonts w:hint="eastAsia" w:ascii="Times New Roman" w:hAnsi="Times New Roman" w:eastAsia="宋体" w:cs="Times New Roman"/>
                <w:kern w:val="2"/>
                <w:sz w:val="24"/>
                <w:szCs w:val="24"/>
                <w:vertAlign w:val="subscript"/>
                <w:lang w:val="en-US" w:eastAsia="zh-CN" w:bidi="ar-SA"/>
              </w:rPr>
              <w:t>3</w:t>
            </w:r>
            <w:r>
              <w:rPr>
                <w:rFonts w:hint="eastAsia" w:ascii="Times New Roman" w:hAnsi="Times New Roman" w:eastAsia="宋体" w:cs="Times New Roman"/>
                <w:kern w:val="2"/>
                <w:sz w:val="24"/>
                <w:szCs w:val="24"/>
                <w:lang w:val="en-US" w:eastAsia="zh-CN" w:bidi="ar-SA"/>
              </w:rPr>
              <w:t>≤4.9kg/h，H</w:t>
            </w:r>
            <w:r>
              <w:rPr>
                <w:rFonts w:hint="eastAsia" w:ascii="Times New Roman" w:hAnsi="Times New Roman" w:eastAsia="宋体" w:cs="Times New Roman"/>
                <w:kern w:val="2"/>
                <w:sz w:val="24"/>
                <w:szCs w:val="24"/>
                <w:vertAlign w:val="subscript"/>
                <w:lang w:val="en-US" w:eastAsia="zh-CN" w:bidi="ar-SA"/>
              </w:rPr>
              <w:t>2</w:t>
            </w:r>
            <w:r>
              <w:rPr>
                <w:rFonts w:hint="eastAsia" w:ascii="Times New Roman" w:hAnsi="Times New Roman" w:eastAsia="宋体" w:cs="Times New Roman"/>
                <w:kern w:val="2"/>
                <w:sz w:val="24"/>
                <w:szCs w:val="24"/>
                <w:lang w:val="en-US" w:eastAsia="zh-CN" w:bidi="ar-SA"/>
              </w:rPr>
              <w:t>S≤0.33kg/h）。</w:t>
            </w:r>
          </w:p>
          <w:p w14:paraId="66837ECF">
            <w:pPr>
              <w:pStyle w:val="7"/>
              <w:bidi w:val="0"/>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厂界无组织排放：未被收集的恶臭气体以无组织形式排放，厂界NH</w:t>
            </w:r>
            <w:r>
              <w:rPr>
                <w:rFonts w:hint="eastAsia" w:ascii="Times New Roman" w:hAnsi="Times New Roman" w:eastAsia="宋体" w:cs="Times New Roman"/>
                <w:kern w:val="2"/>
                <w:sz w:val="24"/>
                <w:szCs w:val="24"/>
                <w:vertAlign w:val="subscript"/>
                <w:lang w:val="en-US" w:eastAsia="zh-CN" w:bidi="ar-SA"/>
              </w:rPr>
              <w:t>3</w:t>
            </w:r>
            <w:r>
              <w:rPr>
                <w:rFonts w:hint="eastAsia" w:ascii="Times New Roman" w:hAnsi="Times New Roman" w:eastAsia="宋体" w:cs="Times New Roman"/>
                <w:kern w:val="2"/>
                <w:sz w:val="24"/>
                <w:szCs w:val="24"/>
                <w:lang w:val="en-US" w:eastAsia="zh-CN" w:bidi="ar-SA"/>
              </w:rPr>
              <w:t>和H</w:t>
            </w:r>
            <w:r>
              <w:rPr>
                <w:rFonts w:hint="eastAsia" w:ascii="Times New Roman" w:hAnsi="Times New Roman" w:eastAsia="宋体" w:cs="Times New Roman"/>
                <w:kern w:val="2"/>
                <w:sz w:val="24"/>
                <w:szCs w:val="24"/>
                <w:vertAlign w:val="subscript"/>
                <w:lang w:val="en-US" w:eastAsia="zh-CN" w:bidi="ar-SA"/>
              </w:rPr>
              <w:t>2</w:t>
            </w:r>
            <w:r>
              <w:rPr>
                <w:rFonts w:hint="eastAsia" w:ascii="Times New Roman" w:hAnsi="Times New Roman" w:eastAsia="宋体" w:cs="Times New Roman"/>
                <w:kern w:val="2"/>
                <w:sz w:val="24"/>
                <w:szCs w:val="24"/>
                <w:lang w:val="en-US" w:eastAsia="zh-CN" w:bidi="ar-SA"/>
              </w:rPr>
              <w:t>S排放量分别为</w:t>
            </w:r>
            <w:r>
              <w:rPr>
                <w:rFonts w:hint="default" w:ascii="Times New Roman" w:hAnsi="Times New Roman" w:eastAsia="宋体" w:cs="Times New Roman"/>
                <w:kern w:val="2"/>
                <w:sz w:val="24"/>
                <w:szCs w:val="24"/>
                <w:lang w:val="en-US" w:eastAsia="zh-CN" w:bidi="ar-SA"/>
              </w:rPr>
              <w:t>0.01708</w:t>
            </w:r>
            <w:r>
              <w:rPr>
                <w:rFonts w:hint="eastAsia" w:ascii="Times New Roman" w:hAnsi="Times New Roman" w:eastAsia="宋体" w:cs="Times New Roman"/>
                <w:kern w:val="2"/>
                <w:sz w:val="24"/>
                <w:szCs w:val="24"/>
                <w:lang w:val="en-US" w:eastAsia="zh-CN" w:bidi="ar-SA"/>
              </w:rPr>
              <w:t>t/a和</w:t>
            </w:r>
            <w:r>
              <w:rPr>
                <w:rFonts w:hint="default" w:ascii="Times New Roman" w:hAnsi="Times New Roman" w:eastAsia="宋体" w:cs="Times New Roman"/>
                <w:kern w:val="2"/>
                <w:sz w:val="24"/>
                <w:szCs w:val="24"/>
                <w:lang w:val="en-US" w:eastAsia="zh-CN" w:bidi="ar-SA"/>
              </w:rPr>
              <w:t>0.00210</w:t>
            </w:r>
            <w:r>
              <w:rPr>
                <w:rFonts w:hint="eastAsia" w:ascii="Times New Roman" w:hAnsi="Times New Roman" w:eastAsia="宋体" w:cs="Times New Roman"/>
                <w:kern w:val="2"/>
                <w:sz w:val="24"/>
                <w:szCs w:val="24"/>
                <w:lang w:val="en-US" w:eastAsia="zh-CN" w:bidi="ar-SA"/>
              </w:rPr>
              <w:t>t/a。采用AERSCREEN估算模型预测，厂界处NH</w:t>
            </w:r>
            <w:r>
              <w:rPr>
                <w:rFonts w:hint="eastAsia" w:ascii="Times New Roman" w:hAnsi="Times New Roman" w:eastAsia="宋体" w:cs="Times New Roman"/>
                <w:kern w:val="2"/>
                <w:sz w:val="24"/>
                <w:szCs w:val="24"/>
                <w:vertAlign w:val="subscript"/>
                <w:lang w:val="en-US" w:eastAsia="zh-CN" w:bidi="ar-SA"/>
              </w:rPr>
              <w:t>3</w:t>
            </w:r>
            <w:r>
              <w:rPr>
                <w:rFonts w:hint="eastAsia" w:ascii="Times New Roman" w:hAnsi="Times New Roman" w:eastAsia="宋体" w:cs="Times New Roman"/>
                <w:kern w:val="2"/>
                <w:sz w:val="24"/>
                <w:szCs w:val="24"/>
                <w:lang w:val="en-US" w:eastAsia="zh-CN" w:bidi="ar-SA"/>
              </w:rPr>
              <w:t>最大落地浓度为0.00166mg/m³（占标率0.83%），H</w:t>
            </w:r>
            <w:r>
              <w:rPr>
                <w:rFonts w:hint="eastAsia" w:ascii="Times New Roman" w:hAnsi="Times New Roman" w:eastAsia="宋体" w:cs="Times New Roman"/>
                <w:kern w:val="2"/>
                <w:sz w:val="24"/>
                <w:szCs w:val="24"/>
                <w:vertAlign w:val="subscript"/>
                <w:lang w:val="en-US" w:eastAsia="zh-CN" w:bidi="ar-SA"/>
              </w:rPr>
              <w:t>2</w:t>
            </w:r>
            <w:r>
              <w:rPr>
                <w:rFonts w:hint="eastAsia" w:ascii="Times New Roman" w:hAnsi="Times New Roman" w:eastAsia="宋体" w:cs="Times New Roman"/>
                <w:kern w:val="2"/>
                <w:sz w:val="24"/>
                <w:szCs w:val="24"/>
                <w:lang w:val="en-US" w:eastAsia="zh-CN" w:bidi="ar-SA"/>
              </w:rPr>
              <w:t>S最大落地浓度为1.66×10</w:t>
            </w:r>
            <w:r>
              <w:rPr>
                <w:rFonts w:hint="eastAsia" w:ascii="Times New Roman" w:hAnsi="Times New Roman" w:eastAsia="宋体" w:cs="Times New Roman"/>
                <w:kern w:val="2"/>
                <w:sz w:val="24"/>
                <w:szCs w:val="24"/>
                <w:vertAlign w:val="superscript"/>
                <w:lang w:val="en-US" w:eastAsia="zh-CN" w:bidi="ar-SA"/>
              </w:rPr>
              <w:t>-5</w:t>
            </w:r>
            <w:r>
              <w:rPr>
                <w:rFonts w:hint="eastAsia" w:ascii="Times New Roman" w:hAnsi="Times New Roman" w:eastAsia="宋体" w:cs="Times New Roman"/>
                <w:kern w:val="2"/>
                <w:sz w:val="24"/>
                <w:szCs w:val="24"/>
                <w:lang w:val="en-US" w:eastAsia="zh-CN" w:bidi="ar-SA"/>
              </w:rPr>
              <w:t>mg/m</w:t>
            </w:r>
            <w:r>
              <w:rPr>
                <w:rFonts w:hint="eastAsia" w:ascii="Times New Roman" w:hAnsi="Times New Roman" w:eastAsia="宋体" w:cs="Times New Roman"/>
                <w:kern w:val="2"/>
                <w:sz w:val="24"/>
                <w:szCs w:val="24"/>
                <w:vertAlign w:val="superscript"/>
                <w:lang w:val="en-US" w:eastAsia="zh-CN" w:bidi="ar-SA"/>
              </w:rPr>
              <w:t>3</w:t>
            </w:r>
            <w:r>
              <w:rPr>
                <w:rFonts w:hint="eastAsia" w:ascii="Times New Roman" w:hAnsi="Times New Roman" w:eastAsia="宋体" w:cs="Times New Roman"/>
                <w:kern w:val="2"/>
                <w:sz w:val="24"/>
                <w:szCs w:val="24"/>
                <w:lang w:val="en-US" w:eastAsia="zh-CN" w:bidi="ar-SA"/>
              </w:rPr>
              <w:t>（占标率0.17%），远低于《城镇污水处理厂污染物排放标准》（GB18918-2002）及其修改单表4二级标准限值（NH</w:t>
            </w:r>
            <w:r>
              <w:rPr>
                <w:rFonts w:hint="eastAsia" w:ascii="Times New Roman" w:hAnsi="Times New Roman" w:eastAsia="宋体" w:cs="Times New Roman"/>
                <w:kern w:val="2"/>
                <w:sz w:val="24"/>
                <w:szCs w:val="24"/>
                <w:vertAlign w:val="subscript"/>
                <w:lang w:val="en-US" w:eastAsia="zh-CN" w:bidi="ar-SA"/>
              </w:rPr>
              <w:t>3</w:t>
            </w:r>
            <w:r>
              <w:rPr>
                <w:rFonts w:hint="eastAsia" w:ascii="Times New Roman" w:hAnsi="Times New Roman" w:eastAsia="宋体" w:cs="Times New Roman"/>
                <w:kern w:val="2"/>
                <w:sz w:val="24"/>
                <w:szCs w:val="24"/>
                <w:lang w:val="en-US" w:eastAsia="zh-CN" w:bidi="ar-SA"/>
              </w:rPr>
              <w:t>≤1.5mg/m</w:t>
            </w:r>
            <w:r>
              <w:rPr>
                <w:rFonts w:hint="eastAsia" w:ascii="Times New Roman" w:hAnsi="Times New Roman" w:eastAsia="宋体" w:cs="Times New Roman"/>
                <w:kern w:val="2"/>
                <w:sz w:val="24"/>
                <w:szCs w:val="24"/>
                <w:vertAlign w:val="superscript"/>
                <w:lang w:val="en-US" w:eastAsia="zh-CN" w:bidi="ar-SA"/>
              </w:rPr>
              <w:t>3</w:t>
            </w:r>
            <w:r>
              <w:rPr>
                <w:rFonts w:hint="eastAsia" w:ascii="Times New Roman" w:hAnsi="Times New Roman" w:eastAsia="宋体" w:cs="Times New Roman"/>
                <w:kern w:val="2"/>
                <w:sz w:val="24"/>
                <w:szCs w:val="24"/>
                <w:lang w:val="en-US" w:eastAsia="zh-CN" w:bidi="ar-SA"/>
              </w:rPr>
              <w:t>，H</w:t>
            </w:r>
            <w:r>
              <w:rPr>
                <w:rFonts w:hint="eastAsia" w:ascii="Times New Roman" w:hAnsi="Times New Roman" w:eastAsia="宋体" w:cs="Times New Roman"/>
                <w:kern w:val="2"/>
                <w:sz w:val="24"/>
                <w:szCs w:val="24"/>
                <w:vertAlign w:val="subscript"/>
                <w:lang w:val="en-US" w:eastAsia="zh-CN" w:bidi="ar-SA"/>
              </w:rPr>
              <w:t>2</w:t>
            </w:r>
            <w:r>
              <w:rPr>
                <w:rFonts w:hint="eastAsia" w:ascii="Times New Roman" w:hAnsi="Times New Roman" w:eastAsia="宋体" w:cs="Times New Roman"/>
                <w:kern w:val="2"/>
                <w:sz w:val="24"/>
                <w:szCs w:val="24"/>
                <w:lang w:val="en-US" w:eastAsia="zh-CN" w:bidi="ar-SA"/>
              </w:rPr>
              <w:t>S≤0.06mg/m</w:t>
            </w:r>
            <w:r>
              <w:rPr>
                <w:rFonts w:hint="eastAsia" w:ascii="Times New Roman" w:hAnsi="Times New Roman" w:eastAsia="宋体" w:cs="Times New Roman"/>
                <w:kern w:val="2"/>
                <w:sz w:val="24"/>
                <w:szCs w:val="24"/>
                <w:vertAlign w:val="superscript"/>
                <w:lang w:val="en-US" w:eastAsia="zh-CN" w:bidi="ar-SA"/>
              </w:rPr>
              <w:t>3</w:t>
            </w:r>
            <w:r>
              <w:rPr>
                <w:rFonts w:hint="eastAsia" w:ascii="Times New Roman" w:hAnsi="Times New Roman" w:eastAsia="宋体" w:cs="Times New Roman"/>
                <w:kern w:val="2"/>
                <w:sz w:val="24"/>
                <w:szCs w:val="24"/>
                <w:lang w:val="en-US" w:eastAsia="zh-CN" w:bidi="ar-SA"/>
              </w:rPr>
              <w:t>）。</w:t>
            </w:r>
          </w:p>
          <w:p w14:paraId="11CD2D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2.</w:t>
            </w:r>
            <w:r>
              <w:rPr>
                <w:rFonts w:hint="eastAsia"/>
                <w:sz w:val="24"/>
                <w:szCs w:val="24"/>
              </w:rPr>
              <w:t>1.</w:t>
            </w:r>
            <w:r>
              <w:rPr>
                <w:rFonts w:hint="eastAsia"/>
                <w:sz w:val="24"/>
                <w:szCs w:val="24"/>
                <w:lang w:val="en-US" w:eastAsia="zh-CN"/>
              </w:rPr>
              <w:t>5</w:t>
            </w:r>
            <w:r>
              <w:rPr>
                <w:rFonts w:hint="eastAsia"/>
                <w:sz w:val="24"/>
                <w:szCs w:val="24"/>
              </w:rPr>
              <w:t>非正常工况排放及应对措施</w:t>
            </w:r>
          </w:p>
          <w:p w14:paraId="0A4A6D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非正常工况主要考虑除臭设备故障，处理效率降至0%的最不利情况。</w:t>
            </w:r>
          </w:p>
          <w:p w14:paraId="0E3158A4">
            <w:pPr>
              <w:pStyle w:val="23"/>
              <w:bidi w:val="0"/>
              <w:rPr>
                <w:rFonts w:hint="eastAsia"/>
              </w:rPr>
            </w:pPr>
            <w:r>
              <w:rPr>
                <w:rFonts w:hint="eastAsia"/>
                <w:lang w:val="en-US" w:eastAsia="zh-CN"/>
              </w:rPr>
              <w:t>表4-9 非正常工况排放情况</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5"/>
              <w:gridCol w:w="830"/>
              <w:gridCol w:w="2120"/>
              <w:gridCol w:w="1412"/>
              <w:gridCol w:w="1215"/>
              <w:gridCol w:w="1518"/>
            </w:tblGrid>
            <w:tr w14:paraId="1AF8C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493B49C7">
                  <w:pPr>
                    <w:jc w:val="center"/>
                    <w:rPr>
                      <w:b w:val="0"/>
                      <w:color w:val="000000"/>
                    </w:rPr>
                  </w:pPr>
                  <w:r>
                    <w:rPr>
                      <w:b w:val="0"/>
                      <w:color w:val="000000"/>
                    </w:rPr>
                    <w:t>排放口</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93CEF">
                  <w:pPr>
                    <w:jc w:val="center"/>
                    <w:rPr>
                      <w:b w:val="0"/>
                      <w:color w:val="000000"/>
                    </w:rPr>
                  </w:pPr>
                  <w:r>
                    <w:rPr>
                      <w:b w:val="0"/>
                      <w:color w:val="000000"/>
                    </w:rPr>
                    <w:t>污染物</w:t>
                  </w:r>
                </w:p>
              </w:tc>
              <w:tc>
                <w:tcPr>
                  <w:tcW w:w="2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14141">
                  <w:pPr>
                    <w:jc w:val="center"/>
                    <w:rPr>
                      <w:rFonts w:hint="eastAsia" w:eastAsia="宋体"/>
                      <w:b w:val="0"/>
                      <w:color w:val="000000"/>
                      <w:lang w:eastAsia="zh-CN"/>
                    </w:rPr>
                  </w:pPr>
                  <w:r>
                    <w:rPr>
                      <w:b w:val="0"/>
                      <w:color w:val="000000"/>
                    </w:rPr>
                    <w:t>非正常排放速率</w:t>
                  </w:r>
                  <w:r>
                    <w:rPr>
                      <w:rFonts w:hint="eastAsia"/>
                      <w:b w:val="0"/>
                      <w:color w:val="000000"/>
                      <w:lang w:eastAsia="zh-CN"/>
                    </w:rPr>
                    <w:t>（</w:t>
                  </w:r>
                  <w:r>
                    <w:rPr>
                      <w:b w:val="0"/>
                      <w:color w:val="000000"/>
                    </w:rPr>
                    <w:t>kg/h</w:t>
                  </w:r>
                  <w:r>
                    <w:rPr>
                      <w:rFonts w:hint="eastAsia"/>
                      <w:b w:val="0"/>
                      <w:color w:val="000000"/>
                      <w:lang w:eastAsia="zh-CN"/>
                    </w:rPr>
                    <w:t>）</w:t>
                  </w:r>
                </w:p>
              </w:tc>
              <w:tc>
                <w:tcPr>
                  <w:tcW w:w="1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003C6">
                  <w:pPr>
                    <w:jc w:val="center"/>
                    <w:rPr>
                      <w:b w:val="0"/>
                      <w:color w:val="000000"/>
                    </w:rPr>
                  </w:pPr>
                  <w:r>
                    <w:rPr>
                      <w:b w:val="0"/>
                      <w:color w:val="000000"/>
                      <w:spacing w:val="-6"/>
                      <w:sz w:val="21"/>
                    </w:rPr>
                    <w:t>单次持续时间</w:t>
                  </w:r>
                </w:p>
              </w:tc>
              <w:tc>
                <w:tcPr>
                  <w:tcW w:w="12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A0A3A">
                  <w:pPr>
                    <w:jc w:val="center"/>
                    <w:rPr>
                      <w:b w:val="0"/>
                      <w:color w:val="000000"/>
                    </w:rPr>
                  </w:pPr>
                  <w:r>
                    <w:rPr>
                      <w:b w:val="0"/>
                      <w:color w:val="000000"/>
                      <w:spacing w:val="-11"/>
                      <w:sz w:val="21"/>
                    </w:rPr>
                    <w:t>年发生频次</w:t>
                  </w:r>
                </w:p>
              </w:tc>
              <w:tc>
                <w:tcPr>
                  <w:tcW w:w="15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9394D">
                  <w:pPr>
                    <w:jc w:val="center"/>
                    <w:rPr>
                      <w:rFonts w:hint="eastAsia" w:eastAsia="宋体"/>
                      <w:b w:val="0"/>
                      <w:color w:val="000000"/>
                      <w:lang w:eastAsia="zh-CN"/>
                    </w:rPr>
                  </w:pPr>
                  <w:r>
                    <w:rPr>
                      <w:b w:val="0"/>
                      <w:color w:val="000000"/>
                    </w:rPr>
                    <w:t>年排放量</w:t>
                  </w:r>
                  <w:r>
                    <w:rPr>
                      <w:rFonts w:hint="eastAsia"/>
                      <w:b w:val="0"/>
                      <w:color w:val="000000"/>
                      <w:lang w:eastAsia="zh-CN"/>
                    </w:rPr>
                    <w:t>（</w:t>
                  </w:r>
                  <w:r>
                    <w:rPr>
                      <w:b w:val="0"/>
                      <w:color w:val="000000"/>
                    </w:rPr>
                    <w:t>kg/a</w:t>
                  </w:r>
                  <w:r>
                    <w:rPr>
                      <w:rFonts w:hint="eastAsia"/>
                      <w:b w:val="0"/>
                      <w:color w:val="000000"/>
                      <w:lang w:eastAsia="zh-CN"/>
                    </w:rPr>
                    <w:t>）</w:t>
                  </w:r>
                </w:p>
              </w:tc>
            </w:tr>
            <w:tr w14:paraId="7135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Merge w:val="restart"/>
                  <w:tcBorders>
                    <w:top w:val="single" w:color="000000" w:sz="4" w:space="0"/>
                    <w:left w:val="single" w:color="000000" w:sz="4" w:space="0"/>
                    <w:right w:val="single" w:color="000000" w:sz="4" w:space="0"/>
                  </w:tcBorders>
                  <w:shd w:val="clear" w:color="auto" w:fill="FFFFFF"/>
                  <w:vAlign w:val="center"/>
                </w:tcPr>
                <w:p w14:paraId="4ADCA846">
                  <w:pPr>
                    <w:jc w:val="center"/>
                    <w:rPr>
                      <w:b w:val="0"/>
                      <w:color w:val="000000"/>
                    </w:rPr>
                  </w:pPr>
                  <w:r>
                    <w:rPr>
                      <w:b w:val="0"/>
                      <w:color w:val="000000"/>
                    </w:rPr>
                    <w:t>DA001</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13DE8">
                  <w:pPr>
                    <w:jc w:val="center"/>
                    <w:rPr>
                      <w:b w:val="0"/>
                      <w:color w:val="000000"/>
                    </w:rPr>
                  </w:pPr>
                  <w:r>
                    <w:rPr>
                      <w:b w:val="0"/>
                      <w:color w:val="000000"/>
                    </w:rPr>
                    <w:t>NH</w:t>
                  </w:r>
                  <w:r>
                    <w:rPr>
                      <w:b w:val="0"/>
                      <w:color w:val="000000"/>
                      <w:vertAlign w:val="subscript"/>
                    </w:rPr>
                    <w:t>3</w:t>
                  </w:r>
                </w:p>
              </w:tc>
              <w:tc>
                <w:tcPr>
                  <w:tcW w:w="2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6A685">
                  <w:pPr>
                    <w:jc w:val="center"/>
                    <w:rPr>
                      <w:rFonts w:ascii="Times New Roman" w:hAnsi="Times New Roman" w:eastAsia="宋体" w:cs="Times New Roman"/>
                      <w:b w:val="0"/>
                      <w:color w:val="000000"/>
                    </w:rPr>
                  </w:pPr>
                  <w:r>
                    <w:rPr>
                      <w:rFonts w:ascii="Times New Roman" w:hAnsi="Times New Roman" w:eastAsia="宋体" w:cs="Times New Roman"/>
                      <w:b w:val="0"/>
                      <w:color w:val="000000"/>
                      <w:lang w:val="en-US"/>
                    </w:rPr>
                    <w:t>0.00294</w:t>
                  </w:r>
                </w:p>
              </w:tc>
              <w:tc>
                <w:tcPr>
                  <w:tcW w:w="1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78C36">
                  <w:pPr>
                    <w:jc w:val="center"/>
                    <w:rPr>
                      <w:b w:val="0"/>
                      <w:color w:val="000000"/>
                    </w:rPr>
                  </w:pPr>
                  <w:r>
                    <w:rPr>
                      <w:b w:val="0"/>
                      <w:color w:val="000000"/>
                    </w:rPr>
                    <w:t>1h</w:t>
                  </w:r>
                </w:p>
              </w:tc>
              <w:tc>
                <w:tcPr>
                  <w:tcW w:w="12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CC3C2">
                  <w:pPr>
                    <w:jc w:val="center"/>
                    <w:rPr>
                      <w:b w:val="0"/>
                      <w:color w:val="000000"/>
                    </w:rPr>
                  </w:pPr>
                  <w:r>
                    <w:rPr>
                      <w:b w:val="0"/>
                      <w:color w:val="000000"/>
                    </w:rPr>
                    <w:t>≤1次/年</w:t>
                  </w:r>
                </w:p>
              </w:tc>
              <w:tc>
                <w:tcPr>
                  <w:tcW w:w="15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5434E">
                  <w:pPr>
                    <w:jc w:val="center"/>
                    <w:rPr>
                      <w:b w:val="0"/>
                      <w:color w:val="000000"/>
                    </w:rPr>
                  </w:pPr>
                  <w:r>
                    <w:rPr>
                      <w:rFonts w:ascii="Times New Roman" w:hAnsi="Times New Roman" w:eastAsia="宋体" w:cs="Times New Roman"/>
                      <w:b w:val="0"/>
                      <w:color w:val="000000"/>
                      <w:lang w:val="en-US"/>
                    </w:rPr>
                    <w:t>0.00294</w:t>
                  </w:r>
                </w:p>
              </w:tc>
            </w:tr>
            <w:tr w14:paraId="577F8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Merge w:val="continue"/>
                  <w:tcBorders>
                    <w:left w:val="single" w:color="000000" w:sz="4" w:space="0"/>
                    <w:bottom w:val="single" w:color="000000" w:sz="4" w:space="0"/>
                    <w:right w:val="single" w:color="000000" w:sz="4" w:space="0"/>
                  </w:tcBorders>
                  <w:shd w:val="clear" w:color="auto" w:fill="FFFFFF"/>
                  <w:vAlign w:val="center"/>
                </w:tcPr>
                <w:p w14:paraId="37605EE4">
                  <w:pPr>
                    <w:jc w:val="center"/>
                    <w:rPr>
                      <w:b w:val="0"/>
                      <w:color w:val="000000"/>
                    </w:rPr>
                  </w:pP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E54FE">
                  <w:pPr>
                    <w:jc w:val="center"/>
                    <w:rPr>
                      <w:b w:val="0"/>
                      <w:color w:val="000000"/>
                    </w:rPr>
                  </w:pPr>
                  <w:r>
                    <w:rPr>
                      <w:b w:val="0"/>
                      <w:color w:val="000000"/>
                    </w:rPr>
                    <w:t>H</w:t>
                  </w:r>
                  <w:r>
                    <w:rPr>
                      <w:b w:val="0"/>
                      <w:color w:val="000000"/>
                      <w:vertAlign w:val="subscript"/>
                    </w:rPr>
                    <w:t>2</w:t>
                  </w:r>
                  <w:r>
                    <w:rPr>
                      <w:b w:val="0"/>
                      <w:color w:val="000000"/>
                    </w:rPr>
                    <w:t>S</w:t>
                  </w:r>
                </w:p>
              </w:tc>
              <w:tc>
                <w:tcPr>
                  <w:tcW w:w="2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0C90B">
                  <w:pPr>
                    <w:jc w:val="center"/>
                    <w:rPr>
                      <w:rFonts w:ascii="Times New Roman" w:hAnsi="Times New Roman" w:eastAsia="宋体" w:cs="Times New Roman"/>
                      <w:b w:val="0"/>
                      <w:color w:val="000000"/>
                    </w:rPr>
                  </w:pPr>
                  <w:r>
                    <w:rPr>
                      <w:rFonts w:ascii="Times New Roman" w:hAnsi="Times New Roman" w:eastAsia="宋体" w:cs="Times New Roman"/>
                      <w:b w:val="0"/>
                      <w:color w:val="000000"/>
                      <w:lang w:val="en-US"/>
                    </w:rPr>
                    <w:t>0.00057</w:t>
                  </w:r>
                </w:p>
              </w:tc>
              <w:tc>
                <w:tcPr>
                  <w:tcW w:w="1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92509">
                  <w:pPr>
                    <w:jc w:val="center"/>
                    <w:rPr>
                      <w:b w:val="0"/>
                      <w:color w:val="000000"/>
                    </w:rPr>
                  </w:pPr>
                  <w:r>
                    <w:rPr>
                      <w:b w:val="0"/>
                      <w:color w:val="000000"/>
                    </w:rPr>
                    <w:t>1h</w:t>
                  </w:r>
                </w:p>
              </w:tc>
              <w:tc>
                <w:tcPr>
                  <w:tcW w:w="12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958FF">
                  <w:pPr>
                    <w:jc w:val="center"/>
                    <w:rPr>
                      <w:b w:val="0"/>
                      <w:color w:val="000000"/>
                    </w:rPr>
                  </w:pPr>
                  <w:r>
                    <w:rPr>
                      <w:b w:val="0"/>
                      <w:color w:val="000000"/>
                    </w:rPr>
                    <w:t>≤1次/年</w:t>
                  </w:r>
                </w:p>
              </w:tc>
              <w:tc>
                <w:tcPr>
                  <w:tcW w:w="15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E511C">
                  <w:pPr>
                    <w:jc w:val="center"/>
                    <w:rPr>
                      <w:b w:val="0"/>
                      <w:color w:val="000000"/>
                    </w:rPr>
                  </w:pPr>
                  <w:r>
                    <w:rPr>
                      <w:rFonts w:ascii="Times New Roman" w:hAnsi="Times New Roman" w:eastAsia="宋体" w:cs="Times New Roman"/>
                      <w:b w:val="0"/>
                      <w:color w:val="000000"/>
                      <w:lang w:val="en-US"/>
                    </w:rPr>
                    <w:t>0.00057</w:t>
                  </w:r>
                </w:p>
              </w:tc>
            </w:tr>
            <w:tr w14:paraId="57075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Merge w:val="restart"/>
                  <w:tcBorders>
                    <w:top w:val="single" w:color="000000" w:sz="4" w:space="0"/>
                    <w:left w:val="single" w:color="000000" w:sz="4" w:space="0"/>
                    <w:right w:val="single" w:color="000000" w:sz="4" w:space="0"/>
                  </w:tcBorders>
                  <w:shd w:val="clear" w:color="auto" w:fill="FFFFFF"/>
                  <w:vAlign w:val="center"/>
                </w:tcPr>
                <w:p w14:paraId="1840496D">
                  <w:pPr>
                    <w:jc w:val="center"/>
                    <w:rPr>
                      <w:b w:val="0"/>
                      <w:color w:val="000000"/>
                    </w:rPr>
                  </w:pPr>
                  <w:r>
                    <w:rPr>
                      <w:b w:val="0"/>
                      <w:color w:val="000000"/>
                    </w:rPr>
                    <w:t>DA002</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DB145">
                  <w:pPr>
                    <w:jc w:val="center"/>
                    <w:rPr>
                      <w:b w:val="0"/>
                      <w:color w:val="000000"/>
                    </w:rPr>
                  </w:pPr>
                  <w:r>
                    <w:rPr>
                      <w:b w:val="0"/>
                      <w:color w:val="000000"/>
                    </w:rPr>
                    <w:t>NH</w:t>
                  </w:r>
                  <w:r>
                    <w:rPr>
                      <w:b w:val="0"/>
                      <w:color w:val="000000"/>
                      <w:vertAlign w:val="subscript"/>
                    </w:rPr>
                    <w:t>3</w:t>
                  </w:r>
                </w:p>
              </w:tc>
              <w:tc>
                <w:tcPr>
                  <w:tcW w:w="2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7B9A1">
                  <w:pPr>
                    <w:jc w:val="center"/>
                    <w:rPr>
                      <w:rFonts w:ascii="Times New Roman" w:hAnsi="Times New Roman" w:eastAsia="宋体" w:cs="Times New Roman"/>
                      <w:b w:val="0"/>
                      <w:color w:val="000000"/>
                    </w:rPr>
                  </w:pPr>
                  <w:r>
                    <w:rPr>
                      <w:rFonts w:ascii="Times New Roman" w:hAnsi="Times New Roman" w:eastAsia="宋体" w:cs="Times New Roman"/>
                      <w:b w:val="0"/>
                      <w:color w:val="000000"/>
                      <w:lang w:val="en-US"/>
                    </w:rPr>
                    <w:t>0.03312</w:t>
                  </w:r>
                </w:p>
              </w:tc>
              <w:tc>
                <w:tcPr>
                  <w:tcW w:w="1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00D1E">
                  <w:pPr>
                    <w:jc w:val="center"/>
                    <w:rPr>
                      <w:b w:val="0"/>
                      <w:color w:val="000000"/>
                    </w:rPr>
                  </w:pPr>
                  <w:r>
                    <w:rPr>
                      <w:b w:val="0"/>
                      <w:color w:val="000000"/>
                    </w:rPr>
                    <w:t>1h</w:t>
                  </w:r>
                </w:p>
              </w:tc>
              <w:tc>
                <w:tcPr>
                  <w:tcW w:w="12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9CC68">
                  <w:pPr>
                    <w:jc w:val="center"/>
                    <w:rPr>
                      <w:b w:val="0"/>
                      <w:color w:val="000000"/>
                    </w:rPr>
                  </w:pPr>
                  <w:r>
                    <w:rPr>
                      <w:b w:val="0"/>
                      <w:color w:val="000000"/>
                    </w:rPr>
                    <w:t>≤1次/年</w:t>
                  </w:r>
                </w:p>
              </w:tc>
              <w:tc>
                <w:tcPr>
                  <w:tcW w:w="15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1D992">
                  <w:pPr>
                    <w:jc w:val="center"/>
                    <w:rPr>
                      <w:b w:val="0"/>
                      <w:color w:val="000000"/>
                    </w:rPr>
                  </w:pPr>
                  <w:r>
                    <w:rPr>
                      <w:rFonts w:ascii="Times New Roman" w:hAnsi="Times New Roman" w:eastAsia="宋体" w:cs="Times New Roman"/>
                      <w:b w:val="0"/>
                      <w:color w:val="000000"/>
                      <w:lang w:val="en-US"/>
                    </w:rPr>
                    <w:t>0.03312</w:t>
                  </w:r>
                </w:p>
              </w:tc>
            </w:tr>
            <w:tr w14:paraId="34F66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Merge w:val="continue"/>
                  <w:tcBorders>
                    <w:left w:val="single" w:color="000000" w:sz="4" w:space="0"/>
                    <w:bottom w:val="single" w:color="000000" w:sz="4" w:space="0"/>
                    <w:right w:val="single" w:color="000000" w:sz="4" w:space="0"/>
                  </w:tcBorders>
                  <w:shd w:val="clear" w:color="auto" w:fill="FFFFFF"/>
                  <w:vAlign w:val="center"/>
                </w:tcPr>
                <w:p w14:paraId="2D8DE674">
                  <w:pPr>
                    <w:jc w:val="center"/>
                    <w:rPr>
                      <w:b w:val="0"/>
                      <w:color w:val="000000"/>
                    </w:rPr>
                  </w:pP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76710">
                  <w:pPr>
                    <w:jc w:val="center"/>
                    <w:rPr>
                      <w:b w:val="0"/>
                      <w:color w:val="000000"/>
                    </w:rPr>
                  </w:pPr>
                  <w:r>
                    <w:rPr>
                      <w:b w:val="0"/>
                      <w:color w:val="000000"/>
                    </w:rPr>
                    <w:t>H</w:t>
                  </w:r>
                  <w:r>
                    <w:rPr>
                      <w:b w:val="0"/>
                      <w:color w:val="000000"/>
                      <w:vertAlign w:val="subscript"/>
                    </w:rPr>
                    <w:t>2</w:t>
                  </w:r>
                  <w:r>
                    <w:rPr>
                      <w:b w:val="0"/>
                      <w:color w:val="000000"/>
                    </w:rPr>
                    <w:t>S</w:t>
                  </w:r>
                </w:p>
              </w:tc>
              <w:tc>
                <w:tcPr>
                  <w:tcW w:w="2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0D70F">
                  <w:pPr>
                    <w:jc w:val="center"/>
                    <w:rPr>
                      <w:rFonts w:ascii="Times New Roman" w:hAnsi="Times New Roman" w:eastAsia="宋体" w:cs="Times New Roman"/>
                      <w:b w:val="0"/>
                      <w:color w:val="000000"/>
                    </w:rPr>
                  </w:pPr>
                  <w:r>
                    <w:rPr>
                      <w:rFonts w:ascii="Times New Roman" w:hAnsi="Times New Roman" w:eastAsia="宋体" w:cs="Times New Roman"/>
                      <w:b w:val="0"/>
                      <w:color w:val="000000"/>
                      <w:lang w:val="en-US"/>
                    </w:rPr>
                    <w:t>0.00365</w:t>
                  </w:r>
                </w:p>
              </w:tc>
              <w:tc>
                <w:tcPr>
                  <w:tcW w:w="1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5FE28">
                  <w:pPr>
                    <w:jc w:val="center"/>
                    <w:rPr>
                      <w:b w:val="0"/>
                      <w:color w:val="000000"/>
                    </w:rPr>
                  </w:pPr>
                  <w:r>
                    <w:rPr>
                      <w:b w:val="0"/>
                      <w:color w:val="000000"/>
                    </w:rPr>
                    <w:t>1h</w:t>
                  </w:r>
                </w:p>
              </w:tc>
              <w:tc>
                <w:tcPr>
                  <w:tcW w:w="12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15BD3">
                  <w:pPr>
                    <w:jc w:val="center"/>
                    <w:rPr>
                      <w:b w:val="0"/>
                      <w:color w:val="000000"/>
                    </w:rPr>
                  </w:pPr>
                  <w:r>
                    <w:rPr>
                      <w:b w:val="0"/>
                      <w:color w:val="000000"/>
                    </w:rPr>
                    <w:t>≤1次/年</w:t>
                  </w:r>
                </w:p>
              </w:tc>
              <w:tc>
                <w:tcPr>
                  <w:tcW w:w="15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B7FB2">
                  <w:pPr>
                    <w:jc w:val="center"/>
                    <w:rPr>
                      <w:b w:val="0"/>
                      <w:color w:val="000000"/>
                    </w:rPr>
                  </w:pPr>
                  <w:r>
                    <w:rPr>
                      <w:rFonts w:ascii="Times New Roman" w:hAnsi="Times New Roman" w:eastAsia="宋体" w:cs="Times New Roman"/>
                      <w:b w:val="0"/>
                      <w:color w:val="000000"/>
                      <w:lang w:val="en-US"/>
                    </w:rPr>
                    <w:t>0.00365</w:t>
                  </w:r>
                </w:p>
              </w:tc>
            </w:tr>
          </w:tbl>
          <w:p w14:paraId="5DB975E6">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建设单位应采取以下措施：</w:t>
            </w:r>
          </w:p>
          <w:p w14:paraId="695C3E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①除臭设备关键组件（风机、洗涤泵等）应配置一用一备，确保单台设备故障时系统仍可正常运行；</w:t>
            </w:r>
          </w:p>
          <w:p w14:paraId="7BDCE96A">
            <w:pPr>
              <w:keepNext w:val="0"/>
              <w:keepLines w:val="0"/>
              <w:pageBreakBefore w:val="0"/>
              <w:widowControl w:val="0"/>
              <w:kinsoku/>
              <w:wordWrap/>
              <w:overflowPunct/>
              <w:topLinePunct w:val="0"/>
              <w:autoSpaceDE/>
              <w:autoSpaceDN/>
              <w:bidi w:val="0"/>
              <w:adjustRightInd/>
              <w:snapToGrid/>
              <w:spacing w:line="360" w:lineRule="auto"/>
              <w:ind w:firstLine="456" w:firstLineChars="200"/>
              <w:textAlignment w:val="auto"/>
              <w:rPr>
                <w:rFonts w:hint="eastAsia"/>
                <w:spacing w:val="-6"/>
                <w:sz w:val="24"/>
                <w:szCs w:val="24"/>
              </w:rPr>
            </w:pPr>
            <w:r>
              <w:rPr>
                <w:rFonts w:hint="eastAsia"/>
                <w:spacing w:val="-6"/>
                <w:sz w:val="24"/>
                <w:szCs w:val="24"/>
              </w:rPr>
              <w:t>②定期对除臭设备进行维护保养，建立设备运行台账，发现异常立即检修；</w:t>
            </w:r>
          </w:p>
          <w:p w14:paraId="7F9FF6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③一旦发生事故性排放，应立即启动备用除臭设施，同时向生态环境主管部门报告。</w:t>
            </w:r>
          </w:p>
          <w:p w14:paraId="52B394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2.</w:t>
            </w:r>
            <w:r>
              <w:rPr>
                <w:rFonts w:hint="eastAsia"/>
                <w:sz w:val="24"/>
                <w:szCs w:val="24"/>
              </w:rPr>
              <w:t>1.5监测要求</w:t>
            </w:r>
          </w:p>
          <w:p w14:paraId="683D31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根据《排污单位自行监测技术指南 水处理》（HJ 1083-2020），制定废气监测计划如下：</w:t>
            </w:r>
          </w:p>
          <w:p w14:paraId="47235BED">
            <w:pPr>
              <w:pStyle w:val="23"/>
              <w:bidi w:val="0"/>
              <w:rPr>
                <w:rFonts w:hint="eastAsia"/>
                <w:lang w:val="en-US" w:eastAsia="zh-CN"/>
              </w:rPr>
            </w:pPr>
            <w:r>
              <w:rPr>
                <w:rFonts w:hint="eastAsia"/>
                <w:lang w:val="en-US" w:eastAsia="zh-CN"/>
              </w:rPr>
              <w:t>表4-10 废气污染源监测项目及频率一览表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9"/>
              <w:gridCol w:w="1368"/>
              <w:gridCol w:w="1223"/>
              <w:gridCol w:w="3300"/>
            </w:tblGrid>
            <w:tr w14:paraId="074B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A40EF97">
                  <w:pPr>
                    <w:jc w:val="center"/>
                    <w:rPr>
                      <w:b w:val="0"/>
                      <w:color w:val="000000"/>
                    </w:rPr>
                  </w:pPr>
                  <w:r>
                    <w:rPr>
                      <w:b w:val="0"/>
                      <w:color w:val="000000"/>
                    </w:rPr>
                    <w:t>监测点位</w:t>
                  </w:r>
                </w:p>
              </w:tc>
              <w:tc>
                <w:tcPr>
                  <w:tcW w:w="8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D7D33">
                  <w:pPr>
                    <w:jc w:val="center"/>
                    <w:rPr>
                      <w:b w:val="0"/>
                      <w:color w:val="000000"/>
                    </w:rPr>
                  </w:pPr>
                  <w:r>
                    <w:rPr>
                      <w:b w:val="0"/>
                      <w:color w:val="000000"/>
                    </w:rPr>
                    <w:t>监测因子</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7EAAC0">
                  <w:pPr>
                    <w:jc w:val="center"/>
                    <w:rPr>
                      <w:b w:val="0"/>
                      <w:color w:val="000000"/>
                    </w:rPr>
                  </w:pPr>
                  <w:r>
                    <w:rPr>
                      <w:b w:val="0"/>
                      <w:color w:val="000000"/>
                    </w:rPr>
                    <w:t>监测频次</w:t>
                  </w:r>
                </w:p>
              </w:tc>
              <w:tc>
                <w:tcPr>
                  <w:tcW w:w="20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F0E08C">
                  <w:pPr>
                    <w:jc w:val="center"/>
                    <w:rPr>
                      <w:b w:val="0"/>
                      <w:color w:val="000000"/>
                    </w:rPr>
                  </w:pPr>
                  <w:r>
                    <w:rPr>
                      <w:b w:val="0"/>
                      <w:color w:val="000000"/>
                    </w:rPr>
                    <w:t>执行标准</w:t>
                  </w:r>
                </w:p>
              </w:tc>
            </w:tr>
            <w:tr w14:paraId="4DED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6D8FFF">
                  <w:pPr>
                    <w:jc w:val="center"/>
                    <w:rPr>
                      <w:b w:val="0"/>
                      <w:color w:val="000000"/>
                    </w:rPr>
                  </w:pPr>
                  <w:r>
                    <w:rPr>
                      <w:b w:val="0"/>
                      <w:color w:val="000000"/>
                    </w:rPr>
                    <w:t>离子除臭排气筒DA001</w:t>
                  </w:r>
                </w:p>
              </w:tc>
              <w:tc>
                <w:tcPr>
                  <w:tcW w:w="8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E25B87">
                  <w:pPr>
                    <w:jc w:val="center"/>
                    <w:rPr>
                      <w:b w:val="0"/>
                      <w:color w:val="000000"/>
                    </w:rPr>
                  </w:pPr>
                  <w:r>
                    <w:rPr>
                      <w:b w:val="0"/>
                      <w:color w:val="000000"/>
                    </w:rPr>
                    <w:t>NH</w:t>
                  </w:r>
                  <w:r>
                    <w:rPr>
                      <w:b w:val="0"/>
                      <w:color w:val="000000"/>
                      <w:vertAlign w:val="subscript"/>
                    </w:rPr>
                    <w:t>3</w:t>
                  </w:r>
                  <w:r>
                    <w:rPr>
                      <w:b w:val="0"/>
                      <w:color w:val="000000"/>
                    </w:rPr>
                    <w:t>、H</w:t>
                  </w:r>
                  <w:r>
                    <w:rPr>
                      <w:b w:val="0"/>
                      <w:color w:val="000000"/>
                      <w:vertAlign w:val="subscript"/>
                    </w:rPr>
                    <w:t>2</w:t>
                  </w:r>
                  <w:r>
                    <w:rPr>
                      <w:b w:val="0"/>
                      <w:color w:val="000000"/>
                    </w:rPr>
                    <w:t>S、臭气浓度</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B186EE">
                  <w:pPr>
                    <w:jc w:val="center"/>
                    <w:rPr>
                      <w:b w:val="0"/>
                      <w:color w:val="000000"/>
                    </w:rPr>
                  </w:pPr>
                  <w:r>
                    <w:rPr>
                      <w:b w:val="0"/>
                      <w:color w:val="000000"/>
                    </w:rPr>
                    <w:t>1次/半年</w:t>
                  </w:r>
                </w:p>
              </w:tc>
              <w:tc>
                <w:tcPr>
                  <w:tcW w:w="2077" w:type="pct"/>
                  <w:vMerge w:val="restart"/>
                  <w:tcBorders>
                    <w:top w:val="single" w:color="000000" w:sz="4" w:space="0"/>
                    <w:left w:val="single" w:color="000000" w:sz="4" w:space="0"/>
                    <w:right w:val="single" w:color="000000" w:sz="4" w:space="0"/>
                  </w:tcBorders>
                  <w:shd w:val="clear" w:color="auto" w:fill="FFFFFF"/>
                  <w:vAlign w:val="center"/>
                </w:tcPr>
                <w:p w14:paraId="09B3A88C">
                  <w:pPr>
                    <w:jc w:val="center"/>
                    <w:rPr>
                      <w:b w:val="0"/>
                      <w:color w:val="000000"/>
                    </w:rPr>
                  </w:pPr>
                  <w:r>
                    <w:rPr>
                      <w:b w:val="0"/>
                      <w:color w:val="000000"/>
                    </w:rPr>
                    <w:t>《恶臭污染物排放标准》（GB14554-93）</w:t>
                  </w:r>
                </w:p>
              </w:tc>
            </w:tr>
            <w:tr w14:paraId="6776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374C2E">
                  <w:pPr>
                    <w:jc w:val="center"/>
                    <w:rPr>
                      <w:b w:val="0"/>
                      <w:color w:val="000000"/>
                    </w:rPr>
                  </w:pPr>
                  <w:r>
                    <w:rPr>
                      <w:b w:val="0"/>
                      <w:color w:val="000000"/>
                    </w:rPr>
                    <w:t>生物除臭排气筒DA002</w:t>
                  </w:r>
                </w:p>
              </w:tc>
              <w:tc>
                <w:tcPr>
                  <w:tcW w:w="8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90A2F9">
                  <w:pPr>
                    <w:jc w:val="center"/>
                    <w:rPr>
                      <w:b w:val="0"/>
                      <w:color w:val="000000"/>
                    </w:rPr>
                  </w:pPr>
                  <w:r>
                    <w:rPr>
                      <w:b w:val="0"/>
                      <w:color w:val="000000"/>
                    </w:rPr>
                    <w:t>NH</w:t>
                  </w:r>
                  <w:r>
                    <w:rPr>
                      <w:b w:val="0"/>
                      <w:color w:val="000000"/>
                      <w:vertAlign w:val="subscript"/>
                    </w:rPr>
                    <w:t>3</w:t>
                  </w:r>
                  <w:r>
                    <w:rPr>
                      <w:b w:val="0"/>
                      <w:color w:val="000000"/>
                    </w:rPr>
                    <w:t>、H</w:t>
                  </w:r>
                  <w:r>
                    <w:rPr>
                      <w:b w:val="0"/>
                      <w:color w:val="000000"/>
                      <w:vertAlign w:val="subscript"/>
                    </w:rPr>
                    <w:t>2</w:t>
                  </w:r>
                  <w:r>
                    <w:rPr>
                      <w:b w:val="0"/>
                      <w:color w:val="000000"/>
                    </w:rPr>
                    <w:t>S、臭气浓度</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0B41D3">
                  <w:pPr>
                    <w:jc w:val="center"/>
                    <w:rPr>
                      <w:b w:val="0"/>
                      <w:color w:val="000000"/>
                    </w:rPr>
                  </w:pPr>
                  <w:r>
                    <w:rPr>
                      <w:b w:val="0"/>
                      <w:color w:val="000000"/>
                    </w:rPr>
                    <w:t>1次/半年</w:t>
                  </w:r>
                </w:p>
              </w:tc>
              <w:tc>
                <w:tcPr>
                  <w:tcW w:w="2077" w:type="pct"/>
                  <w:vMerge w:val="continue"/>
                  <w:tcBorders>
                    <w:left w:val="single" w:color="000000" w:sz="4" w:space="0"/>
                    <w:bottom w:val="single" w:color="000000" w:sz="4" w:space="0"/>
                    <w:right w:val="single" w:color="000000" w:sz="4" w:space="0"/>
                  </w:tcBorders>
                  <w:shd w:val="clear" w:color="auto" w:fill="FFFFFF"/>
                  <w:vAlign w:val="center"/>
                </w:tcPr>
                <w:p w14:paraId="5F9A3D4B">
                  <w:pPr>
                    <w:jc w:val="center"/>
                    <w:rPr>
                      <w:b w:val="0"/>
                      <w:color w:val="000000"/>
                    </w:rPr>
                  </w:pPr>
                </w:p>
              </w:tc>
            </w:tr>
            <w:tr w14:paraId="3819D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132AE8">
                  <w:pPr>
                    <w:jc w:val="center"/>
                    <w:rPr>
                      <w:b w:val="0"/>
                      <w:color w:val="000000"/>
                    </w:rPr>
                  </w:pPr>
                  <w:r>
                    <w:rPr>
                      <w:b w:val="0"/>
                      <w:color w:val="000000"/>
                    </w:rPr>
                    <w:t>厂界（上风向1个点，下风向3个点）</w:t>
                  </w:r>
                </w:p>
              </w:tc>
              <w:tc>
                <w:tcPr>
                  <w:tcW w:w="8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174CBF">
                  <w:pPr>
                    <w:jc w:val="center"/>
                    <w:rPr>
                      <w:rFonts w:hint="default" w:eastAsia="宋体"/>
                      <w:b w:val="0"/>
                      <w:color w:val="000000"/>
                      <w:lang w:val="en-US" w:eastAsia="zh-CN"/>
                    </w:rPr>
                  </w:pPr>
                  <w:r>
                    <w:rPr>
                      <w:b w:val="0"/>
                      <w:color w:val="000000"/>
                    </w:rPr>
                    <w:t>NH</w:t>
                  </w:r>
                  <w:r>
                    <w:rPr>
                      <w:b w:val="0"/>
                      <w:color w:val="000000"/>
                      <w:vertAlign w:val="subscript"/>
                    </w:rPr>
                    <w:t>3</w:t>
                  </w:r>
                  <w:r>
                    <w:rPr>
                      <w:b w:val="0"/>
                      <w:color w:val="000000"/>
                    </w:rPr>
                    <w:t>、H</w:t>
                  </w:r>
                  <w:r>
                    <w:rPr>
                      <w:b w:val="0"/>
                      <w:color w:val="000000"/>
                      <w:vertAlign w:val="subscript"/>
                    </w:rPr>
                    <w:t>2</w:t>
                  </w:r>
                  <w:r>
                    <w:rPr>
                      <w:b w:val="0"/>
                      <w:color w:val="000000"/>
                    </w:rPr>
                    <w:t>S、臭气浓度</w:t>
                  </w:r>
                  <w:r>
                    <w:rPr>
                      <w:rFonts w:hint="eastAsia"/>
                      <w:b w:val="0"/>
                      <w:color w:val="000000"/>
                      <w:lang w:eastAsia="zh-CN"/>
                    </w:rPr>
                    <w:t>、</w:t>
                  </w:r>
                  <w:r>
                    <w:rPr>
                      <w:rFonts w:hint="eastAsia"/>
                      <w:b w:val="0"/>
                      <w:color w:val="000000"/>
                      <w:lang w:val="en-US" w:eastAsia="zh-CN"/>
                    </w:rPr>
                    <w:t>甲烷</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AC3145">
                  <w:pPr>
                    <w:jc w:val="center"/>
                    <w:rPr>
                      <w:b w:val="0"/>
                      <w:color w:val="000000"/>
                    </w:rPr>
                  </w:pPr>
                  <w:r>
                    <w:rPr>
                      <w:b w:val="0"/>
                      <w:color w:val="000000"/>
                    </w:rPr>
                    <w:t>1次/半年</w:t>
                  </w:r>
                </w:p>
              </w:tc>
              <w:tc>
                <w:tcPr>
                  <w:tcW w:w="20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B11AC9">
                  <w:pPr>
                    <w:jc w:val="center"/>
                    <w:rPr>
                      <w:b w:val="0"/>
                      <w:color w:val="000000"/>
                    </w:rPr>
                  </w:pPr>
                  <w:r>
                    <w:rPr>
                      <w:b w:val="0"/>
                      <w:color w:val="000000"/>
                    </w:rPr>
                    <w:t>《城镇污水处理厂污染物排放标准》（GB18918-2002）表4二级标准</w:t>
                  </w:r>
                </w:p>
              </w:tc>
            </w:tr>
          </w:tbl>
          <w:p w14:paraId="1C16A0E2">
            <w:pPr>
              <w:keepNext w:val="0"/>
              <w:keepLines w:val="0"/>
              <w:pageBreakBefore w:val="0"/>
              <w:widowControl/>
              <w:suppressLineNumbers w:val="0"/>
              <w:kinsoku/>
              <w:wordWrap/>
              <w:overflowPunct/>
              <w:topLinePunct w:val="0"/>
              <w:autoSpaceDE/>
              <w:autoSpaceDN/>
              <w:bidi w:val="0"/>
              <w:adjustRightInd/>
              <w:snapToGrid/>
              <w:spacing w:before="157" w:beforeLines="50" w:line="360" w:lineRule="auto"/>
              <w:jc w:val="left"/>
              <w:textAlignment w:val="auto"/>
              <w:rPr>
                <w:color w:val="000000"/>
              </w:rPr>
            </w:pPr>
            <w:r>
              <w:rPr>
                <w:rFonts w:hint="default" w:ascii="Times New Roman" w:hAnsi="Times New Roman" w:eastAsia="宋体" w:cs="Times New Roman"/>
                <w:b/>
                <w:bCs/>
                <w:color w:val="000000"/>
                <w:kern w:val="0"/>
                <w:sz w:val="24"/>
                <w:szCs w:val="24"/>
                <w:lang w:val="en-US" w:eastAsia="zh-CN" w:bidi="ar"/>
              </w:rPr>
              <w:t>4.</w:t>
            </w:r>
            <w:r>
              <w:rPr>
                <w:rFonts w:hint="eastAsia" w:ascii="Times New Roman" w:hAnsi="Times New Roman" w:eastAsia="宋体" w:cs="Times New Roman"/>
                <w:b/>
                <w:bCs/>
                <w:color w:val="000000"/>
                <w:kern w:val="0"/>
                <w:sz w:val="24"/>
                <w:szCs w:val="24"/>
                <w:lang w:val="en-US" w:eastAsia="zh-CN" w:bidi="ar"/>
              </w:rPr>
              <w:t>2.2</w:t>
            </w:r>
            <w:r>
              <w:rPr>
                <w:rFonts w:hint="default" w:ascii="Times New Roman" w:hAnsi="Times New Roman" w:eastAsia="宋体" w:cs="Times New Roman"/>
                <w:b/>
                <w:bCs/>
                <w:color w:val="000000"/>
                <w:kern w:val="0"/>
                <w:sz w:val="24"/>
                <w:szCs w:val="24"/>
                <w:lang w:val="en-US" w:eastAsia="zh-CN" w:bidi="ar"/>
              </w:rPr>
              <w:t xml:space="preserve"> </w:t>
            </w:r>
            <w:r>
              <w:rPr>
                <w:rFonts w:hint="eastAsia" w:ascii="宋体" w:hAnsi="宋体" w:eastAsia="宋体" w:cs="宋体"/>
                <w:b/>
                <w:bCs/>
                <w:color w:val="000000"/>
                <w:kern w:val="0"/>
                <w:sz w:val="24"/>
                <w:szCs w:val="24"/>
                <w:lang w:val="en-US" w:eastAsia="zh-CN" w:bidi="ar"/>
              </w:rPr>
              <w:t>运营期水环境影响分析</w:t>
            </w:r>
          </w:p>
          <w:p w14:paraId="1EA1BC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4.2.</w:t>
            </w:r>
            <w:r>
              <w:rPr>
                <w:rFonts w:hint="eastAsia"/>
                <w:sz w:val="24"/>
                <w:szCs w:val="24"/>
                <w:lang w:val="en-US" w:eastAsia="zh-CN"/>
              </w:rPr>
              <w:t>2.</w:t>
            </w:r>
            <w:r>
              <w:rPr>
                <w:rFonts w:hint="eastAsia"/>
                <w:sz w:val="24"/>
                <w:szCs w:val="24"/>
              </w:rPr>
              <w:t>1废水产排污环节</w:t>
            </w:r>
          </w:p>
          <w:p w14:paraId="393E20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本项目为污水处理厂工程，运营期自身产生的废水主要包括：</w:t>
            </w:r>
          </w:p>
          <w:p w14:paraId="710C71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污泥脱水滤液：污泥浓缩池上清液及板框压滤机滤液，主要污染物为SS、COD；</w:t>
            </w:r>
          </w:p>
          <w:p w14:paraId="062711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设备冲洗水：设备定期冲洗产生的废水；</w:t>
            </w:r>
          </w:p>
          <w:p w14:paraId="60F91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在线监测废水：在线监测设备运行产生的废液及清洗水；</w:t>
            </w:r>
          </w:p>
          <w:p w14:paraId="1DB1A2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员工生活污水：劳动定员15人，生活污水产生量约0.48t/d（</w:t>
            </w:r>
            <w:r>
              <w:rPr>
                <w:rFonts w:hint="eastAsia"/>
                <w:sz w:val="24"/>
                <w:szCs w:val="24"/>
                <w:lang w:eastAsia="zh-CN"/>
              </w:rPr>
              <w:t>175.2</w:t>
            </w:r>
            <w:r>
              <w:rPr>
                <w:rFonts w:hint="eastAsia"/>
                <w:sz w:val="24"/>
                <w:szCs w:val="24"/>
              </w:rPr>
              <w:t>t/a）。</w:t>
            </w:r>
          </w:p>
          <w:p w14:paraId="161A67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rPr>
              <w:t>上述废水全部经厂区污水管网收集后回流至调节池，与进厂污水一并进入污水处理系统处理，最终实现废水零排放，不单独设置外排口</w:t>
            </w:r>
            <w:r>
              <w:rPr>
                <w:rFonts w:hint="eastAsia"/>
                <w:sz w:val="24"/>
                <w:szCs w:val="24"/>
                <w:lang w:eastAsia="zh-CN"/>
              </w:rPr>
              <w:t>。</w:t>
            </w:r>
          </w:p>
          <w:p w14:paraId="58A438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4.2.2.2废</w:t>
            </w:r>
            <w:r>
              <w:rPr>
                <w:rFonts w:hint="eastAsia"/>
                <w:sz w:val="24"/>
                <w:szCs w:val="24"/>
              </w:rPr>
              <w:t>水类别、污染物及污染治理设施</w:t>
            </w:r>
          </w:p>
          <w:p w14:paraId="260905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sz w:val="24"/>
                <w:szCs w:val="24"/>
                <w:lang w:val="en-US" w:eastAsia="zh-CN"/>
              </w:rPr>
            </w:pPr>
            <w:r>
              <w:rPr>
                <w:rFonts w:hint="eastAsia"/>
                <w:sz w:val="24"/>
                <w:szCs w:val="24"/>
                <w:lang w:val="en-US" w:eastAsia="zh-CN"/>
              </w:rPr>
              <w:t>废</w:t>
            </w:r>
            <w:r>
              <w:rPr>
                <w:rFonts w:hint="eastAsia"/>
                <w:sz w:val="24"/>
                <w:szCs w:val="24"/>
              </w:rPr>
              <w:t>水类别、污染物及污染治理设施</w:t>
            </w:r>
            <w:r>
              <w:rPr>
                <w:rFonts w:hint="eastAsia"/>
                <w:sz w:val="24"/>
                <w:szCs w:val="24"/>
                <w:lang w:val="en-US" w:eastAsia="zh-CN"/>
              </w:rPr>
              <w:t>信息见表4-11：</w:t>
            </w:r>
          </w:p>
          <w:p w14:paraId="41D02237">
            <w:pPr>
              <w:pStyle w:val="8"/>
              <w:jc w:val="center"/>
              <w:rPr>
                <w:rFonts w:hint="eastAsia"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kern w:val="2"/>
                <w:sz w:val="21"/>
                <w:szCs w:val="21"/>
                <w:lang w:val="en-US" w:eastAsia="zh-CN" w:bidi="ar-SA"/>
              </w:rPr>
              <w:t xml:space="preserve">表 </w:t>
            </w:r>
            <w:r>
              <w:rPr>
                <w:rFonts w:hint="eastAsia" w:ascii="Times New Roman" w:hAnsi="Times New Roman" w:eastAsia="宋体" w:cs="Times New Roman"/>
                <w:b/>
                <w:bCs/>
                <w:kern w:val="2"/>
                <w:sz w:val="21"/>
                <w:szCs w:val="21"/>
                <w:lang w:val="en-US" w:eastAsia="zh-CN" w:bidi="ar-SA"/>
              </w:rPr>
              <w:fldChar w:fldCharType="begin"/>
            </w:r>
            <w:r>
              <w:rPr>
                <w:rFonts w:hint="eastAsia" w:ascii="Times New Roman" w:hAnsi="Times New Roman" w:eastAsia="宋体" w:cs="Times New Roman"/>
                <w:b/>
                <w:bCs/>
                <w:kern w:val="2"/>
                <w:sz w:val="21"/>
                <w:szCs w:val="21"/>
                <w:lang w:val="en-US" w:eastAsia="zh-CN" w:bidi="ar-SA"/>
              </w:rPr>
              <w:instrText xml:space="preserve"> STYLEREF 1 \s \* ARABIC </w:instrText>
            </w:r>
            <w:r>
              <w:rPr>
                <w:rFonts w:hint="eastAsia" w:ascii="Times New Roman" w:hAnsi="Times New Roman" w:eastAsia="宋体" w:cs="Times New Roman"/>
                <w:b/>
                <w:bCs/>
                <w:kern w:val="2"/>
                <w:sz w:val="21"/>
                <w:szCs w:val="21"/>
                <w:lang w:val="en-US" w:eastAsia="zh-CN" w:bidi="ar-SA"/>
              </w:rPr>
              <w:fldChar w:fldCharType="separate"/>
            </w:r>
            <w:r>
              <w:rPr>
                <w:rFonts w:hint="eastAsia" w:ascii="Times New Roman" w:hAnsi="Times New Roman" w:eastAsia="宋体" w:cs="Times New Roman"/>
                <w:b/>
                <w:bCs/>
                <w:kern w:val="2"/>
                <w:sz w:val="21"/>
                <w:szCs w:val="21"/>
                <w:lang w:val="en-US" w:eastAsia="zh-CN" w:bidi="ar-SA"/>
              </w:rPr>
              <w:t>4</w:t>
            </w:r>
            <w:r>
              <w:rPr>
                <w:rFonts w:hint="eastAsia" w:ascii="Times New Roman" w:hAnsi="Times New Roman" w:eastAsia="宋体" w:cs="Times New Roman"/>
                <w:b/>
                <w:bCs/>
                <w:kern w:val="2"/>
                <w:sz w:val="21"/>
                <w:szCs w:val="21"/>
                <w:lang w:val="en-US" w:eastAsia="zh-CN" w:bidi="ar-SA"/>
              </w:rPr>
              <w:fldChar w:fldCharType="end"/>
            </w:r>
            <w:r>
              <w:rPr>
                <w:rFonts w:hint="eastAsia" w:ascii="Times New Roman" w:hAnsi="Times New Roman" w:eastAsia="宋体" w:cs="Times New Roman"/>
                <w:b/>
                <w:bCs/>
                <w:kern w:val="2"/>
                <w:sz w:val="21"/>
                <w:szCs w:val="21"/>
                <w:lang w:val="en-US" w:eastAsia="zh-CN" w:bidi="ar-SA"/>
              </w:rPr>
              <w:t>-11废水类别、污染物及污染治理设施信息表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0"/>
              <w:gridCol w:w="1365"/>
              <w:gridCol w:w="885"/>
              <w:gridCol w:w="1065"/>
              <w:gridCol w:w="915"/>
              <w:gridCol w:w="2545"/>
            </w:tblGrid>
            <w:tr w14:paraId="111A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0" w:type="dxa"/>
                  <w:vAlign w:val="top"/>
                </w:tcPr>
                <w:p w14:paraId="7A769A9F">
                  <w:pPr>
                    <w:pStyle w:val="25"/>
                    <w:bidi w:val="0"/>
                    <w:rPr>
                      <w:rFonts w:hint="default" w:ascii="Times New Roman" w:hAnsi="Times New Roman" w:cs="Times New Roman"/>
                    </w:rPr>
                  </w:pPr>
                  <w:r>
                    <w:rPr>
                      <w:rFonts w:hint="default" w:ascii="Times New Roman" w:hAnsi="Times New Roman" w:cs="Times New Roman"/>
                    </w:rPr>
                    <w:t>废水类别</w:t>
                  </w:r>
                </w:p>
              </w:tc>
              <w:tc>
                <w:tcPr>
                  <w:tcW w:w="1365" w:type="dxa"/>
                  <w:vAlign w:val="top"/>
                </w:tcPr>
                <w:p w14:paraId="25B14498">
                  <w:pPr>
                    <w:pStyle w:val="25"/>
                    <w:bidi w:val="0"/>
                    <w:rPr>
                      <w:rFonts w:hint="default" w:ascii="Times New Roman" w:hAnsi="Times New Roman" w:cs="Times New Roman"/>
                    </w:rPr>
                  </w:pPr>
                  <w:r>
                    <w:rPr>
                      <w:rFonts w:hint="default" w:ascii="Times New Roman" w:hAnsi="Times New Roman" w:cs="Times New Roman"/>
                    </w:rPr>
                    <w:t>污染物种类</w:t>
                  </w:r>
                </w:p>
              </w:tc>
              <w:tc>
                <w:tcPr>
                  <w:tcW w:w="885" w:type="dxa"/>
                  <w:vAlign w:val="top"/>
                </w:tcPr>
                <w:p w14:paraId="4632B66A">
                  <w:pPr>
                    <w:pStyle w:val="25"/>
                    <w:bidi w:val="0"/>
                    <w:rPr>
                      <w:rFonts w:hint="default" w:ascii="Times New Roman" w:hAnsi="Times New Roman" w:cs="Times New Roman"/>
                    </w:rPr>
                  </w:pPr>
                  <w:r>
                    <w:rPr>
                      <w:rFonts w:hint="default" w:ascii="Times New Roman" w:hAnsi="Times New Roman" w:cs="Times New Roman"/>
                    </w:rPr>
                    <w:t>排放去向</w:t>
                  </w:r>
                </w:p>
              </w:tc>
              <w:tc>
                <w:tcPr>
                  <w:tcW w:w="1065" w:type="dxa"/>
                  <w:vAlign w:val="top"/>
                </w:tcPr>
                <w:p w14:paraId="3EC8E376">
                  <w:pPr>
                    <w:pStyle w:val="25"/>
                    <w:bidi w:val="0"/>
                    <w:rPr>
                      <w:rFonts w:hint="default" w:ascii="Times New Roman" w:hAnsi="Times New Roman" w:cs="Times New Roman"/>
                    </w:rPr>
                  </w:pPr>
                  <w:r>
                    <w:rPr>
                      <w:rFonts w:hint="default" w:ascii="Times New Roman" w:hAnsi="Times New Roman" w:cs="Times New Roman"/>
                    </w:rPr>
                    <w:t>排放规律</w:t>
                  </w:r>
                </w:p>
              </w:tc>
              <w:tc>
                <w:tcPr>
                  <w:tcW w:w="915" w:type="dxa"/>
                  <w:vAlign w:val="top"/>
                </w:tcPr>
                <w:p w14:paraId="574647DD">
                  <w:pPr>
                    <w:pStyle w:val="25"/>
                    <w:bidi w:val="0"/>
                    <w:rPr>
                      <w:rFonts w:hint="default" w:ascii="Times New Roman" w:hAnsi="Times New Roman" w:cs="Times New Roman"/>
                    </w:rPr>
                  </w:pPr>
                  <w:r>
                    <w:rPr>
                      <w:rFonts w:hint="default" w:ascii="Times New Roman" w:hAnsi="Times New Roman" w:cs="Times New Roman"/>
                    </w:rPr>
                    <w:t>污染治理设施</w:t>
                  </w:r>
                </w:p>
              </w:tc>
              <w:tc>
                <w:tcPr>
                  <w:tcW w:w="2545" w:type="dxa"/>
                  <w:vAlign w:val="top"/>
                </w:tcPr>
                <w:p w14:paraId="22E6513A">
                  <w:pPr>
                    <w:pStyle w:val="25"/>
                    <w:bidi w:val="0"/>
                    <w:rPr>
                      <w:rFonts w:hint="default" w:ascii="Times New Roman" w:hAnsi="Times New Roman" w:cs="Times New Roman"/>
                    </w:rPr>
                  </w:pPr>
                  <w:r>
                    <w:rPr>
                      <w:rFonts w:hint="default" w:ascii="Times New Roman" w:hAnsi="Times New Roman" w:cs="Times New Roman"/>
                    </w:rPr>
                    <w:t>处理能力</w:t>
                  </w:r>
                </w:p>
              </w:tc>
            </w:tr>
            <w:tr w14:paraId="5C1A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0" w:type="dxa"/>
                  <w:vAlign w:val="top"/>
                </w:tcPr>
                <w:p w14:paraId="0486F377">
                  <w:pPr>
                    <w:pStyle w:val="25"/>
                    <w:bidi w:val="0"/>
                    <w:rPr>
                      <w:rFonts w:hint="default" w:ascii="Times New Roman" w:hAnsi="Times New Roman" w:cs="Times New Roman"/>
                    </w:rPr>
                  </w:pPr>
                  <w:r>
                    <w:rPr>
                      <w:rFonts w:hint="default" w:ascii="Times New Roman" w:hAnsi="Times New Roman" w:cs="Times New Roman"/>
                    </w:rPr>
                    <w:t>进厂生活污水+厂内回流水</w:t>
                  </w:r>
                </w:p>
              </w:tc>
              <w:tc>
                <w:tcPr>
                  <w:tcW w:w="1365" w:type="dxa"/>
                  <w:vAlign w:val="top"/>
                </w:tcPr>
                <w:p w14:paraId="00798F31">
                  <w:pPr>
                    <w:pStyle w:val="25"/>
                    <w:bidi w:val="0"/>
                    <w:rPr>
                      <w:rFonts w:hint="default" w:ascii="Times New Roman" w:hAnsi="Times New Roman" w:cs="Times New Roman"/>
                    </w:rPr>
                  </w:pPr>
                  <w:r>
                    <w:rPr>
                      <w:rFonts w:hint="default" w:ascii="Times New Roman" w:hAnsi="Times New Roman" w:cs="Times New Roman"/>
                    </w:rPr>
                    <w:t>COD、BOD</w:t>
                  </w:r>
                  <w:r>
                    <w:rPr>
                      <w:rFonts w:hint="eastAsia" w:ascii="Times New Roman" w:hAnsi="Times New Roman" w:cs="Times New Roman"/>
                      <w:vertAlign w:val="subscript"/>
                      <w:lang w:val="en-US" w:eastAsia="zh-CN"/>
                    </w:rPr>
                    <w:t>5</w:t>
                  </w:r>
                  <w:r>
                    <w:rPr>
                      <w:rFonts w:hint="default" w:ascii="Times New Roman" w:hAnsi="Times New Roman" w:cs="Times New Roman"/>
                    </w:rPr>
                    <w:t>、SS、NH</w:t>
                  </w:r>
                  <w:r>
                    <w:rPr>
                      <w:rFonts w:hint="eastAsia" w:ascii="Times New Roman" w:hAnsi="Times New Roman" w:cs="Times New Roman"/>
                      <w:vertAlign w:val="subscript"/>
                      <w:lang w:val="en-US" w:eastAsia="zh-CN"/>
                    </w:rPr>
                    <w:t>3</w:t>
                  </w:r>
                  <w:r>
                    <w:rPr>
                      <w:rFonts w:hint="default" w:ascii="Times New Roman" w:hAnsi="Times New Roman" w:cs="Times New Roman"/>
                    </w:rPr>
                    <w:t>-N、TN、TP</w:t>
                  </w:r>
                </w:p>
              </w:tc>
              <w:tc>
                <w:tcPr>
                  <w:tcW w:w="885" w:type="dxa"/>
                  <w:vAlign w:val="top"/>
                </w:tcPr>
                <w:p w14:paraId="4E466666">
                  <w:pPr>
                    <w:pStyle w:val="25"/>
                    <w:bidi w:val="0"/>
                    <w:rPr>
                      <w:rFonts w:hint="default" w:ascii="Times New Roman" w:hAnsi="Times New Roman" w:cs="Times New Roman"/>
                    </w:rPr>
                  </w:pPr>
                  <w:r>
                    <w:rPr>
                      <w:rFonts w:hint="default" w:ascii="Times New Roman" w:hAnsi="Times New Roman" w:cs="Times New Roman"/>
                      <w:highlight w:val="none"/>
                    </w:rPr>
                    <w:t>全部回用，不外排</w:t>
                  </w:r>
                </w:p>
              </w:tc>
              <w:tc>
                <w:tcPr>
                  <w:tcW w:w="1065" w:type="dxa"/>
                  <w:vAlign w:val="top"/>
                </w:tcPr>
                <w:p w14:paraId="044093B1">
                  <w:pPr>
                    <w:pStyle w:val="25"/>
                    <w:bidi w:val="0"/>
                    <w:rPr>
                      <w:rFonts w:hint="default" w:ascii="Times New Roman" w:hAnsi="Times New Roman" w:cs="Times New Roman"/>
                    </w:rPr>
                  </w:pPr>
                  <w:r>
                    <w:rPr>
                      <w:rFonts w:hint="default" w:ascii="Times New Roman" w:hAnsi="Times New Roman" w:cs="Times New Roman"/>
                    </w:rPr>
                    <w:t>连续排放，流量稳定</w:t>
                  </w:r>
                </w:p>
              </w:tc>
              <w:tc>
                <w:tcPr>
                  <w:tcW w:w="915" w:type="dxa"/>
                  <w:vAlign w:val="top"/>
                </w:tcPr>
                <w:p w14:paraId="7C51335B">
                  <w:pPr>
                    <w:pStyle w:val="25"/>
                    <w:bidi w:val="0"/>
                    <w:rPr>
                      <w:rFonts w:hint="default" w:ascii="Times New Roman" w:hAnsi="Times New Roman" w:cs="Times New Roman"/>
                    </w:rPr>
                  </w:pPr>
                  <w:r>
                    <w:rPr>
                      <w:rFonts w:hint="default" w:ascii="Times New Roman" w:hAnsi="Times New Roman" w:cs="Times New Roman"/>
                    </w:rPr>
                    <w:t>TW001（污水处理系统）</w:t>
                  </w:r>
                </w:p>
              </w:tc>
              <w:tc>
                <w:tcPr>
                  <w:tcW w:w="2545" w:type="dxa"/>
                  <w:vAlign w:val="top"/>
                </w:tcPr>
                <w:p w14:paraId="223B8BCD">
                  <w:pPr>
                    <w:pStyle w:val="25"/>
                    <w:bidi w:val="0"/>
                    <w:rPr>
                      <w:rFonts w:hint="default" w:ascii="Times New Roman" w:hAnsi="Times New Roman" w:cs="Times New Roman"/>
                    </w:rPr>
                  </w:pPr>
                  <w:r>
                    <w:rPr>
                      <w:rFonts w:hint="default" w:ascii="Times New Roman" w:hAnsi="Times New Roman" w:cs="Times New Roman"/>
                    </w:rPr>
                    <w:t>粗格栅+细格栅+调节池+旋流沉砂器+AAO生物池+二沉池+高效沉淀池+精密过滤+次氯酸钠消毒</w:t>
                  </w:r>
                </w:p>
              </w:tc>
            </w:tr>
          </w:tbl>
          <w:p w14:paraId="2F410878">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4.2.</w:t>
            </w:r>
            <w:r>
              <w:rPr>
                <w:rFonts w:hint="eastAsia"/>
                <w:sz w:val="24"/>
                <w:szCs w:val="24"/>
                <w:lang w:val="en-US" w:eastAsia="zh-CN"/>
              </w:rPr>
              <w:t>2.3</w:t>
            </w:r>
            <w:r>
              <w:rPr>
                <w:rFonts w:hint="eastAsia"/>
                <w:sz w:val="24"/>
                <w:szCs w:val="24"/>
              </w:rPr>
              <w:t>出水水质及回用途径</w:t>
            </w:r>
          </w:p>
          <w:p w14:paraId="2E6139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szCs w:val="24"/>
                <w:lang w:val="en-US" w:eastAsia="zh-CN"/>
              </w:rPr>
            </w:pPr>
            <w:r>
              <w:rPr>
                <w:rFonts w:hint="eastAsia"/>
                <w:sz w:val="24"/>
                <w:szCs w:val="24"/>
              </w:rPr>
              <w:t>本项目设计出水水质执行《城镇污水处理厂污染物排放标准》（GB18918-2002）</w:t>
            </w:r>
            <w:r>
              <w:rPr>
                <w:rFonts w:hint="eastAsia"/>
                <w:sz w:val="24"/>
                <w:szCs w:val="24"/>
                <w:lang w:val="en-US" w:eastAsia="zh-CN"/>
              </w:rPr>
              <w:t>及其修改单</w:t>
            </w:r>
            <w:r>
              <w:rPr>
                <w:rFonts w:hint="eastAsia"/>
                <w:sz w:val="24"/>
                <w:szCs w:val="24"/>
              </w:rPr>
              <w:t>一级A标</w:t>
            </w:r>
            <w:r>
              <w:rPr>
                <w:rFonts w:hint="eastAsia" w:ascii="Times New Roman" w:hAnsi="Times New Roman" w:eastAsia="宋体" w:cs="Times New Roman"/>
                <w:sz w:val="24"/>
                <w:szCs w:val="24"/>
                <w:lang w:val="en-US" w:eastAsia="zh-CN"/>
              </w:rPr>
              <w:t>准，尾水全部回用，不外排。</w:t>
            </w:r>
          </w:p>
          <w:p w14:paraId="2DD173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pacing w:val="-6"/>
                <w:sz w:val="24"/>
                <w:szCs w:val="24"/>
              </w:rPr>
            </w:pPr>
            <w:r>
              <w:rPr>
                <w:rFonts w:hint="eastAsia"/>
                <w:sz w:val="24"/>
                <w:szCs w:val="24"/>
              </w:rPr>
              <w:t>灌溉期（夏季）</w:t>
            </w:r>
            <w:r>
              <w:rPr>
                <w:rFonts w:hint="eastAsia"/>
                <w:spacing w:val="-6"/>
                <w:sz w:val="24"/>
                <w:szCs w:val="24"/>
              </w:rPr>
              <w:t>尾水用于园区绿化灌溉时，执行 《城市污水再生利用 城市杂用水水质》（GB/T 18920-2020）表1中“城市绿化”类别的水质指标限值；</w:t>
            </w:r>
          </w:p>
          <w:p w14:paraId="172922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非灌溉期尾水供给园区企业回用时，执行 《城市污水再生利用 工业用水水质》（GB/T 19923-2024） 表1中相应工业用水类别的水质指标限值。尾水</w:t>
            </w:r>
            <w:r>
              <w:rPr>
                <w:rFonts w:hint="eastAsia"/>
                <w:sz w:val="24"/>
                <w:szCs w:val="24"/>
                <w:lang w:val="en-US" w:eastAsia="zh-CN"/>
              </w:rPr>
              <w:t>供给园区企业回用或储存至现状中水库</w:t>
            </w:r>
            <w:r>
              <w:rPr>
                <w:rFonts w:hint="eastAsia"/>
                <w:sz w:val="24"/>
                <w:szCs w:val="24"/>
              </w:rPr>
              <w:t>。</w:t>
            </w:r>
          </w:p>
          <w:p w14:paraId="21799586">
            <w:pPr>
              <w:pStyle w:val="5"/>
              <w:keepNext/>
              <w:keepLines/>
              <w:pageBreakBefore w:val="0"/>
              <w:widowControl w:val="0"/>
              <w:numPr>
                <w:ilvl w:val="0"/>
                <w:numId w:val="0"/>
              </w:numPr>
              <w:kinsoku/>
              <w:wordWrap/>
              <w:overflowPunct/>
              <w:topLinePunct w:val="0"/>
              <w:autoSpaceDE/>
              <w:autoSpaceDN/>
              <w:bidi w:val="0"/>
              <w:adjustRightInd/>
              <w:snapToGrid/>
              <w:spacing w:before="0" w:beforeLines="0"/>
              <w:ind w:left="426" w:leftChars="202" w:hanging="2" w:hangingChars="1"/>
              <w:textAlignment w:val="auto"/>
              <w:rPr>
                <w:rFonts w:hint="default" w:ascii="Times New Roman" w:hAnsi="Times New Roman" w:cs="Times New Roman"/>
                <w:b w:val="0"/>
                <w:bCs/>
              </w:rPr>
            </w:pPr>
            <w:r>
              <w:rPr>
                <w:rFonts w:hint="eastAsia" w:ascii="Times New Roman" w:hAnsi="Times New Roman" w:cs="Times New Roman"/>
                <w:b w:val="0"/>
                <w:bCs/>
                <w:kern w:val="2"/>
                <w:sz w:val="24"/>
                <w:szCs w:val="24"/>
                <w:lang w:val="en-US" w:eastAsia="zh-CN" w:bidi="ar-SA"/>
              </w:rPr>
              <w:t>1、</w:t>
            </w:r>
            <w:r>
              <w:rPr>
                <w:rFonts w:hint="default" w:ascii="Times New Roman" w:hAnsi="Times New Roman" w:cs="Times New Roman"/>
                <w:b w:val="0"/>
                <w:bCs/>
              </w:rPr>
              <w:t>污水处理工艺可行性分析</w:t>
            </w:r>
          </w:p>
          <w:p w14:paraId="0474D6A7">
            <w:pPr>
              <w:pStyle w:val="7"/>
              <w:bidi w:val="0"/>
              <w:rPr>
                <w:rFonts w:hint="default" w:ascii="Times New Roman" w:hAnsi="Times New Roman" w:cs="Times New Roman"/>
              </w:rPr>
            </w:pPr>
            <w:r>
              <w:rPr>
                <w:rFonts w:hint="default" w:ascii="Times New Roman" w:hAnsi="Times New Roman" w:cs="Times New Roman"/>
              </w:rPr>
              <w:t>本项目采用</w:t>
            </w:r>
            <w:r>
              <w:rPr>
                <w:rFonts w:hint="eastAsia" w:ascii="Times New Roman" w:hAnsi="Times New Roman" w:cs="Times New Roman"/>
                <w:lang w:eastAsia="zh-CN"/>
              </w:rPr>
              <w:t>“</w:t>
            </w:r>
            <w:r>
              <w:rPr>
                <w:rFonts w:hint="default" w:ascii="Times New Roman" w:hAnsi="Times New Roman" w:cs="Times New Roman"/>
              </w:rPr>
              <w:t>粗格栅（利旧）+细格栅（利旧）+调节池（改造）+旋流除砂器+AAO生物池+二沉池+高效沉淀池及滤池+消毒</w:t>
            </w:r>
            <w:r>
              <w:rPr>
                <w:rFonts w:hint="eastAsia" w:ascii="Times New Roman" w:hAnsi="Times New Roman" w:cs="Times New Roman"/>
                <w:lang w:eastAsia="zh-CN"/>
              </w:rPr>
              <w:t>”</w:t>
            </w:r>
            <w:r>
              <w:rPr>
                <w:rFonts w:hint="default" w:ascii="Times New Roman" w:hAnsi="Times New Roman" w:cs="Times New Roman"/>
              </w:rPr>
              <w:t>污水处理工艺。根据《排污许可证申请与核发技术规范</w:t>
            </w:r>
            <w:r>
              <w:rPr>
                <w:rFonts w:hint="eastAsia" w:ascii="Times New Roman" w:hAnsi="Times New Roman" w:cs="Times New Roman"/>
                <w:lang w:val="en-US" w:eastAsia="zh-CN"/>
              </w:rPr>
              <w:t xml:space="preserve"> </w:t>
            </w:r>
            <w:r>
              <w:rPr>
                <w:rFonts w:hint="default" w:ascii="Times New Roman" w:hAnsi="Times New Roman" w:cs="Times New Roman"/>
              </w:rPr>
              <w:t>水处理（试行）》（HJ 978-2018），AAO生物池属于工业废水生化处理可行技术，高效沉淀池属于深度处理可行技术，次氯酸钠消毒属于可行消毒工艺。因此，本项目污水处理工艺在技术上是可行的。</w:t>
            </w:r>
          </w:p>
          <w:p w14:paraId="4DB37BEF">
            <w:pPr>
              <w:pStyle w:val="7"/>
              <w:bidi w:val="0"/>
              <w:rPr>
                <w:rFonts w:hint="default" w:ascii="Times New Roman" w:hAnsi="Times New Roman" w:cs="Times New Roman"/>
                <w:lang w:val="en-US" w:eastAsia="zh-CN"/>
              </w:rPr>
            </w:pPr>
            <w:r>
              <w:rPr>
                <w:rFonts w:hint="default" w:ascii="Times New Roman" w:hAnsi="Times New Roman" w:cs="Times New Roman"/>
                <w:lang w:val="en-US" w:eastAsia="zh-CN"/>
              </w:rPr>
              <w:t>根据</w:t>
            </w:r>
            <w:r>
              <w:rPr>
                <w:rFonts w:hint="default" w:ascii="Times New Roman" w:hAnsi="Times New Roman" w:cs="Times New Roman"/>
              </w:rPr>
              <w:t>《室外排水设计标准》（GB 50014-2021），第7.1.2条的</w:t>
            </w:r>
            <w:r>
              <w:rPr>
                <w:rFonts w:hint="eastAsia" w:ascii="Times New Roman" w:hAnsi="Times New Roman" w:cs="Times New Roman"/>
                <w:lang w:eastAsia="zh-CN"/>
              </w:rPr>
              <w:t>“</w:t>
            </w:r>
            <w:r>
              <w:rPr>
                <w:rFonts w:hint="default" w:ascii="Times New Roman" w:hAnsi="Times New Roman" w:cs="Times New Roman"/>
              </w:rPr>
              <w:t>污水厂的处理效率</w:t>
            </w:r>
            <w:r>
              <w:rPr>
                <w:rFonts w:hint="eastAsia" w:ascii="Times New Roman" w:hAnsi="Times New Roman" w:cs="Times New Roman"/>
                <w:lang w:eastAsia="zh-CN"/>
              </w:rPr>
              <w:t>”</w:t>
            </w:r>
            <w:r>
              <w:rPr>
                <w:rFonts w:hint="default" w:ascii="Times New Roman" w:hAnsi="Times New Roman" w:cs="Times New Roman"/>
                <w:lang w:eastAsia="zh-CN"/>
              </w:rPr>
              <w:t>，</w:t>
            </w:r>
            <w:r>
              <w:rPr>
                <w:rFonts w:hint="default" w:ascii="Times New Roman" w:hAnsi="Times New Roman" w:cs="Times New Roman"/>
                <w:lang w:val="en-US" w:eastAsia="zh-CN"/>
              </w:rPr>
              <w:t>污水厂各单元处理效率如下：</w:t>
            </w:r>
          </w:p>
          <w:p w14:paraId="6DC37B7E">
            <w:pPr>
              <w:pStyle w:val="8"/>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kern w:val="2"/>
                <w:sz w:val="21"/>
                <w:szCs w:val="21"/>
                <w:lang w:val="en-US" w:eastAsia="zh-CN" w:bidi="ar-SA"/>
              </w:rPr>
              <w:t xml:space="preserve">表 </w:t>
            </w:r>
            <w:r>
              <w:rPr>
                <w:rFonts w:hint="default" w:ascii="Times New Roman" w:hAnsi="Times New Roman" w:eastAsia="宋体" w:cs="Times New Roman"/>
                <w:b/>
                <w:bCs/>
                <w:kern w:val="2"/>
                <w:sz w:val="21"/>
                <w:szCs w:val="21"/>
                <w:lang w:val="en-US" w:eastAsia="zh-CN" w:bidi="ar-SA"/>
              </w:rPr>
              <w:fldChar w:fldCharType="begin"/>
            </w:r>
            <w:r>
              <w:rPr>
                <w:rFonts w:hint="default" w:ascii="Times New Roman" w:hAnsi="Times New Roman" w:eastAsia="宋体" w:cs="Times New Roman"/>
                <w:b/>
                <w:bCs/>
                <w:kern w:val="2"/>
                <w:sz w:val="21"/>
                <w:szCs w:val="21"/>
                <w:lang w:val="en-US" w:eastAsia="zh-CN" w:bidi="ar-SA"/>
              </w:rPr>
              <w:instrText xml:space="preserve"> STYLEREF 1 \s \* ARABIC </w:instrText>
            </w:r>
            <w:r>
              <w:rPr>
                <w:rFonts w:hint="default" w:ascii="Times New Roman" w:hAnsi="Times New Roman" w:eastAsia="宋体" w:cs="Times New Roman"/>
                <w:b/>
                <w:bCs/>
                <w:kern w:val="2"/>
                <w:sz w:val="21"/>
                <w:szCs w:val="21"/>
                <w:lang w:val="en-US" w:eastAsia="zh-CN" w:bidi="ar-SA"/>
              </w:rPr>
              <w:fldChar w:fldCharType="separate"/>
            </w:r>
            <w:r>
              <w:rPr>
                <w:rFonts w:hint="default" w:ascii="Times New Roman" w:hAnsi="Times New Roman" w:eastAsia="宋体" w:cs="Times New Roman"/>
                <w:b/>
                <w:bCs/>
                <w:kern w:val="2"/>
                <w:sz w:val="21"/>
                <w:szCs w:val="21"/>
                <w:lang w:val="en-US" w:eastAsia="zh-CN" w:bidi="ar-SA"/>
              </w:rPr>
              <w:t>4</w:t>
            </w:r>
            <w:r>
              <w:rPr>
                <w:rFonts w:hint="default" w:ascii="Times New Roman" w:hAnsi="Times New Roman" w:eastAsia="宋体" w:cs="Times New Roman"/>
                <w:b/>
                <w:bCs/>
                <w:kern w:val="2"/>
                <w:sz w:val="21"/>
                <w:szCs w:val="21"/>
                <w:lang w:val="en-US" w:eastAsia="zh-CN" w:bidi="ar-SA"/>
              </w:rPr>
              <w:fldChar w:fldCharType="end"/>
            </w:r>
            <w:r>
              <w:rPr>
                <w:rFonts w:hint="default" w:ascii="Times New Roman" w:hAnsi="Times New Roman" w:eastAsia="宋体" w:cs="Times New Roman"/>
                <w:b/>
                <w:bCs/>
                <w:kern w:val="2"/>
                <w:sz w:val="21"/>
                <w:szCs w:val="21"/>
                <w:lang w:val="en-US" w:eastAsia="zh-CN" w:bidi="ar-SA"/>
              </w:rPr>
              <w:t>-</w:t>
            </w:r>
            <w:r>
              <w:rPr>
                <w:rFonts w:hint="eastAsia" w:ascii="Times New Roman" w:hAnsi="Times New Roman" w:eastAsia="宋体" w:cs="Times New Roman"/>
                <w:b/>
                <w:bCs/>
                <w:kern w:val="2"/>
                <w:sz w:val="21"/>
                <w:szCs w:val="21"/>
                <w:lang w:val="en-US" w:eastAsia="zh-CN" w:bidi="ar-SA"/>
              </w:rPr>
              <w:t>12</w:t>
            </w:r>
            <w:r>
              <w:rPr>
                <w:rFonts w:hint="default" w:ascii="Times New Roman" w:hAnsi="Times New Roman" w:eastAsia="宋体" w:cs="Times New Roman"/>
                <w:b/>
                <w:bCs/>
                <w:kern w:val="2"/>
                <w:sz w:val="21"/>
                <w:szCs w:val="21"/>
                <w:lang w:val="en-US" w:eastAsia="zh-CN" w:bidi="ar-SA"/>
              </w:rPr>
              <w:t>污水厂各单元处理效率</w:t>
            </w:r>
          </w:p>
          <w:tbl>
            <w:tblPr>
              <w:tblStyle w:val="15"/>
              <w:tblW w:w="78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6"/>
              <w:gridCol w:w="1140"/>
              <w:gridCol w:w="1095"/>
              <w:gridCol w:w="1095"/>
              <w:gridCol w:w="930"/>
              <w:gridCol w:w="915"/>
              <w:gridCol w:w="765"/>
              <w:gridCol w:w="860"/>
            </w:tblGrid>
            <w:tr w14:paraId="69E7A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C56A13">
                  <w:pPr>
                    <w:pStyle w:val="25"/>
                    <w:bidi w:val="0"/>
                    <w:rPr>
                      <w:rFonts w:hint="default" w:ascii="Times New Roman" w:hAnsi="Times New Roman" w:cs="Times New Roman"/>
                    </w:rPr>
                  </w:pPr>
                  <w:r>
                    <w:rPr>
                      <w:rFonts w:hint="default" w:ascii="Times New Roman" w:hAnsi="Times New Roman" w:cs="Times New Roman"/>
                      <w:lang w:val="en-US" w:eastAsia="zh-CN"/>
                    </w:rPr>
                    <w:t>处理级别</w:t>
                  </w: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DDB736">
                  <w:pPr>
                    <w:pStyle w:val="25"/>
                    <w:bidi w:val="0"/>
                    <w:rPr>
                      <w:rFonts w:hint="default" w:ascii="Times New Roman" w:hAnsi="Times New Roman" w:cs="Times New Roman"/>
                    </w:rPr>
                  </w:pPr>
                  <w:r>
                    <w:rPr>
                      <w:rFonts w:hint="default" w:ascii="Times New Roman" w:hAnsi="Times New Roman" w:cs="Times New Roman"/>
                      <w:lang w:val="en-US" w:eastAsia="zh-CN"/>
                    </w:rPr>
                    <w:t>处理方法</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C39A8">
                  <w:pPr>
                    <w:pStyle w:val="25"/>
                    <w:bidi w:val="0"/>
                    <w:rPr>
                      <w:rFonts w:hint="default" w:ascii="Times New Roman" w:hAnsi="Times New Roman" w:cs="Times New Roman"/>
                    </w:rPr>
                  </w:pPr>
                  <w:r>
                    <w:rPr>
                      <w:rFonts w:hint="default" w:ascii="Times New Roman" w:hAnsi="Times New Roman" w:cs="Times New Roman"/>
                      <w:lang w:val="en-US" w:eastAsia="zh-CN"/>
                    </w:rPr>
                    <w:t>主要工艺</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53B0D">
                  <w:pPr>
                    <w:pStyle w:val="25"/>
                    <w:bidi w:val="0"/>
                    <w:rPr>
                      <w:rFonts w:hint="default" w:ascii="Times New Roman" w:hAnsi="Times New Roman" w:cs="Times New Roman"/>
                    </w:rPr>
                  </w:pPr>
                  <w:r>
                    <w:rPr>
                      <w:rFonts w:hint="default" w:ascii="Times New Roman" w:hAnsi="Times New Roman" w:cs="Times New Roman"/>
                      <w:lang w:val="en-US" w:eastAsia="zh-CN"/>
                    </w:rPr>
                    <w:t>计算</w:t>
                  </w:r>
                </w:p>
              </w:tc>
              <w:tc>
                <w:tcPr>
                  <w:tcW w:w="34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E4D8C6">
                  <w:pPr>
                    <w:pStyle w:val="25"/>
                    <w:bidi w:val="0"/>
                    <w:rPr>
                      <w:rFonts w:hint="default" w:ascii="Times New Roman" w:hAnsi="Times New Roman" w:cs="Times New Roman"/>
                    </w:rPr>
                  </w:pPr>
                  <w:r>
                    <w:rPr>
                      <w:rFonts w:hint="default" w:ascii="Times New Roman" w:hAnsi="Times New Roman" w:cs="Times New Roman"/>
                      <w:lang w:val="en-US" w:eastAsia="zh-CN"/>
                    </w:rPr>
                    <w:t>处理效率</w:t>
                  </w:r>
                  <w:r>
                    <w:rPr>
                      <w:rFonts w:hint="eastAsia" w:ascii="Times New Roman" w:cs="Times New Roman"/>
                      <w:lang w:val="en-US" w:eastAsia="zh-CN"/>
                    </w:rPr>
                    <w:t>（</w:t>
                  </w:r>
                  <w:r>
                    <w:rPr>
                      <w:rFonts w:hint="default" w:ascii="Times New Roman" w:hAnsi="Times New Roman" w:cs="Times New Roman"/>
                      <w:lang w:val="en-US" w:eastAsia="zh-CN"/>
                    </w:rPr>
                    <w:t>%</w:t>
                  </w:r>
                  <w:r>
                    <w:rPr>
                      <w:rFonts w:hint="eastAsia" w:ascii="Times New Roman" w:cs="Times New Roman"/>
                      <w:lang w:val="en-US" w:eastAsia="zh-CN"/>
                    </w:rPr>
                    <w:t>）</w:t>
                  </w:r>
                </w:p>
              </w:tc>
            </w:tr>
            <w:tr w14:paraId="17613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7E546">
                  <w:pPr>
                    <w:pStyle w:val="25"/>
                    <w:bidi w:val="0"/>
                    <w:rPr>
                      <w:rFonts w:hint="default" w:ascii="Times New Roman" w:hAnsi="Times New Roman" w:cs="Times New Roman"/>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77378">
                  <w:pPr>
                    <w:pStyle w:val="25"/>
                    <w:bidi w:val="0"/>
                    <w:rPr>
                      <w:rFonts w:hint="default" w:ascii="Times New Roman" w:hAnsi="Times New Roman" w:cs="Times New Roman"/>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20726">
                  <w:pPr>
                    <w:pStyle w:val="25"/>
                    <w:bidi w:val="0"/>
                    <w:rPr>
                      <w:rFonts w:hint="default" w:ascii="Times New Roman" w:hAnsi="Times New Roman" w:cs="Times New Roman"/>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B58F1">
                  <w:pPr>
                    <w:pStyle w:val="25"/>
                    <w:bidi w:val="0"/>
                    <w:rPr>
                      <w:rFonts w:hint="default" w:ascii="Times New Roman" w:hAnsi="Times New Roman" w:cs="Times New Roman"/>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C7BF">
                  <w:pPr>
                    <w:pStyle w:val="25"/>
                    <w:bidi w:val="0"/>
                    <w:rPr>
                      <w:rFonts w:hint="default" w:ascii="Times New Roman" w:hAnsi="Times New Roman" w:cs="Times New Roman"/>
                    </w:rPr>
                  </w:pPr>
                  <w:r>
                    <w:rPr>
                      <w:rFonts w:hint="default" w:ascii="Times New Roman" w:hAnsi="Times New Roman" w:cs="Times New Roman"/>
                      <w:lang w:val="en-US" w:eastAsia="zh-CN"/>
                    </w:rPr>
                    <w:t>SS</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B3CD">
                  <w:pPr>
                    <w:pStyle w:val="25"/>
                    <w:bidi w:val="0"/>
                    <w:rPr>
                      <w:rFonts w:hint="default" w:ascii="Times New Roman" w:hAnsi="Times New Roman" w:cs="Times New Roman"/>
                    </w:rPr>
                  </w:pPr>
                  <w:r>
                    <w:rPr>
                      <w:rFonts w:hint="default" w:ascii="Times New Roman" w:hAnsi="Times New Roman" w:cs="Times New Roman"/>
                      <w:lang w:val="en-US" w:eastAsia="zh-CN"/>
                    </w:rPr>
                    <w:t>BOD</w:t>
                  </w:r>
                  <w:r>
                    <w:rPr>
                      <w:rFonts w:hint="default" w:ascii="Times New Roman" w:hAnsi="Times New Roman" w:cs="Times New Roman"/>
                      <w:vertAlign w:val="subscript"/>
                      <w:lang w:val="en-US" w:eastAsia="zh-CN"/>
                    </w:rPr>
                    <w:t>5</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55E8">
                  <w:pPr>
                    <w:pStyle w:val="25"/>
                    <w:bidi w:val="0"/>
                    <w:rPr>
                      <w:rFonts w:hint="default" w:ascii="Times New Roman" w:hAnsi="Times New Roman" w:cs="Times New Roman"/>
                    </w:rPr>
                  </w:pPr>
                  <w:r>
                    <w:rPr>
                      <w:rFonts w:hint="default" w:ascii="Times New Roman" w:hAnsi="Times New Roman" w:cs="Times New Roman"/>
                      <w:lang w:val="en-US" w:eastAsia="zh-CN"/>
                    </w:rPr>
                    <w:t>TN</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3BDF">
                  <w:pPr>
                    <w:pStyle w:val="25"/>
                    <w:bidi w:val="0"/>
                    <w:rPr>
                      <w:rFonts w:hint="default" w:ascii="Times New Roman" w:hAnsi="Times New Roman" w:cs="Times New Roman"/>
                    </w:rPr>
                  </w:pPr>
                  <w:r>
                    <w:rPr>
                      <w:rFonts w:hint="default" w:ascii="Times New Roman" w:hAnsi="Times New Roman" w:cs="Times New Roman"/>
                      <w:lang w:val="en-US" w:eastAsia="zh-CN"/>
                    </w:rPr>
                    <w:t>TP</w:t>
                  </w:r>
                </w:p>
              </w:tc>
            </w:tr>
            <w:tr w14:paraId="49561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9D967">
                  <w:pPr>
                    <w:pStyle w:val="25"/>
                    <w:bidi w:val="0"/>
                    <w:rPr>
                      <w:rFonts w:hint="default" w:ascii="Times New Roman" w:hAnsi="Times New Roman" w:cs="Times New Roman"/>
                    </w:rPr>
                  </w:pPr>
                  <w:r>
                    <w:rPr>
                      <w:rFonts w:hint="default" w:ascii="Times New Roman" w:hAnsi="Times New Roman" w:cs="Times New Roman"/>
                      <w:lang w:val="en-US" w:eastAsia="zh-CN"/>
                    </w:rPr>
                    <w:t>一级</w:t>
                  </w: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CCE89">
                  <w:pPr>
                    <w:pStyle w:val="25"/>
                    <w:bidi w:val="0"/>
                    <w:rPr>
                      <w:rFonts w:hint="default" w:ascii="Times New Roman" w:hAnsi="Times New Roman" w:cs="Times New Roman"/>
                    </w:rPr>
                  </w:pPr>
                  <w:r>
                    <w:rPr>
                      <w:rFonts w:hint="default" w:ascii="Times New Roman" w:hAnsi="Times New Roman" w:cs="Times New Roman"/>
                      <w:lang w:val="en-US" w:eastAsia="zh-CN"/>
                    </w:rPr>
                    <w:t>沉淀法</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2E932">
                  <w:pPr>
                    <w:pStyle w:val="25"/>
                    <w:bidi w:val="0"/>
                    <w:rPr>
                      <w:rFonts w:hint="default" w:ascii="Times New Roman" w:hAnsi="Times New Roman" w:cs="Times New Roman"/>
                    </w:rPr>
                  </w:pPr>
                  <w:r>
                    <w:rPr>
                      <w:rFonts w:hint="default" w:ascii="Times New Roman" w:hAnsi="Times New Roman" w:cs="Times New Roman"/>
                      <w:lang w:val="en-US" w:eastAsia="zh-CN"/>
                    </w:rPr>
                    <w:t>沉淀（自然沉淀）</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4BFF1">
                  <w:pPr>
                    <w:pStyle w:val="25"/>
                    <w:bidi w:val="0"/>
                    <w:rPr>
                      <w:rFonts w:hint="default" w:ascii="Times New Roman" w:hAnsi="Times New Roman" w:cs="Times New Roman"/>
                    </w:rPr>
                  </w:pPr>
                  <w:r>
                    <w:rPr>
                      <w:rFonts w:hint="default" w:ascii="Times New Roman" w:hAnsi="Times New Roman" w:cs="Times New Roman"/>
                      <w:lang w:val="en-US" w:eastAsia="zh-CN"/>
                    </w:rPr>
                    <w:t>国家标准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500A">
                  <w:pPr>
                    <w:pStyle w:val="25"/>
                    <w:bidi w:val="0"/>
                    <w:rPr>
                      <w:rFonts w:hint="default" w:ascii="Times New Roman" w:hAnsi="Times New Roman" w:cs="Times New Roman"/>
                    </w:rPr>
                  </w:pPr>
                  <w:r>
                    <w:rPr>
                      <w:rFonts w:hint="default" w:ascii="Times New Roman" w:hAnsi="Times New Roman" w:cs="Times New Roman"/>
                      <w:lang w:val="en-US" w:eastAsia="zh-CN"/>
                    </w:rPr>
                    <w:t>40~55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E2BB">
                  <w:pPr>
                    <w:pStyle w:val="25"/>
                    <w:bidi w:val="0"/>
                    <w:rPr>
                      <w:rFonts w:hint="default" w:ascii="Times New Roman" w:hAnsi="Times New Roman" w:cs="Times New Roman"/>
                    </w:rPr>
                  </w:pPr>
                  <w:r>
                    <w:rPr>
                      <w:rFonts w:hint="default" w:ascii="Times New Roman" w:hAnsi="Times New Roman" w:cs="Times New Roman"/>
                      <w:lang w:val="en-US" w:eastAsia="zh-CN"/>
                    </w:rPr>
                    <w:t>20~30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2FD9">
                  <w:pPr>
                    <w:pStyle w:val="25"/>
                    <w:bidi w:val="0"/>
                    <w:rPr>
                      <w:rFonts w:hint="default" w:ascii="Times New Roman" w:hAnsi="Times New Roman" w:cs="Times New Roman"/>
                    </w:rPr>
                  </w:pPr>
                  <w:r>
                    <w:rPr>
                      <w:rFonts w:hint="default" w:ascii="Times New Roman" w:hAnsi="Times New Roman" w:cs="Times New Roman"/>
                      <w:lang w:val="en-US" w:eastAsia="zh-CN"/>
                    </w:rPr>
                    <w:t>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2D9DA">
                  <w:pPr>
                    <w:pStyle w:val="25"/>
                    <w:bidi w:val="0"/>
                    <w:rPr>
                      <w:rFonts w:hint="default" w:ascii="Times New Roman" w:hAnsi="Times New Roman" w:cs="Times New Roman"/>
                    </w:rPr>
                  </w:pPr>
                  <w:r>
                    <w:rPr>
                      <w:rFonts w:hint="default" w:ascii="Times New Roman" w:hAnsi="Times New Roman" w:cs="Times New Roman"/>
                      <w:lang w:val="en-US" w:eastAsia="zh-CN"/>
                    </w:rPr>
                    <w:t>5~10</w:t>
                  </w:r>
                </w:p>
              </w:tc>
            </w:tr>
            <w:tr w14:paraId="44086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404DE">
                  <w:pPr>
                    <w:pStyle w:val="25"/>
                    <w:bidi w:val="0"/>
                    <w:rPr>
                      <w:rFonts w:hint="default" w:ascii="Times New Roman" w:hAnsi="Times New Roman" w:cs="Times New Roman"/>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2F92C">
                  <w:pPr>
                    <w:pStyle w:val="25"/>
                    <w:bidi w:val="0"/>
                    <w:rPr>
                      <w:rFonts w:hint="default" w:ascii="Times New Roman" w:hAnsi="Times New Roman" w:cs="Times New Roman"/>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BF702">
                  <w:pPr>
                    <w:pStyle w:val="25"/>
                    <w:bidi w:val="0"/>
                    <w:rPr>
                      <w:rFonts w:hint="default" w:ascii="Times New Roman" w:hAnsi="Times New Roman" w:cs="Times New Roma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01640">
                  <w:pPr>
                    <w:pStyle w:val="25"/>
                    <w:bidi w:val="0"/>
                    <w:rPr>
                      <w:rFonts w:hint="default" w:ascii="Times New Roman" w:hAnsi="Times New Roman" w:cs="Times New Roman"/>
                    </w:rPr>
                  </w:pPr>
                  <w:r>
                    <w:rPr>
                      <w:rFonts w:hint="default" w:ascii="Times New Roman" w:hAnsi="Times New Roman" w:cs="Times New Roman"/>
                      <w:lang w:val="en-US" w:eastAsia="zh-CN"/>
                    </w:rPr>
                    <w:t>本次采用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45E3C">
                  <w:pPr>
                    <w:pStyle w:val="25"/>
                    <w:bidi w:val="0"/>
                    <w:rPr>
                      <w:rFonts w:hint="default" w:ascii="Times New Roman" w:hAnsi="Times New Roman" w:cs="Times New Roman"/>
                    </w:rPr>
                  </w:pPr>
                  <w:r>
                    <w:rPr>
                      <w:rFonts w:hint="default" w:ascii="Times New Roman" w:hAnsi="Times New Roman" w:cs="Times New Roman"/>
                      <w:lang w:val="en-US" w:eastAsia="zh-CN"/>
                    </w:rPr>
                    <w:t>50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F0D9E">
                  <w:pPr>
                    <w:pStyle w:val="25"/>
                    <w:bidi w:val="0"/>
                    <w:rPr>
                      <w:rFonts w:hint="default" w:ascii="Times New Roman" w:hAnsi="Times New Roman" w:cs="Times New Roman"/>
                    </w:rPr>
                  </w:pPr>
                  <w:r>
                    <w:rPr>
                      <w:rFonts w:hint="default" w:ascii="Times New Roman" w:hAnsi="Times New Roman" w:cs="Times New Roman"/>
                      <w:lang w:val="en-US" w:eastAsia="zh-CN"/>
                    </w:rPr>
                    <w:t>25</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3F5A4">
                  <w:pPr>
                    <w:pStyle w:val="25"/>
                    <w:bidi w:val="0"/>
                    <w:rPr>
                      <w:rFonts w:hint="default" w:ascii="Times New Roman" w:hAnsi="Times New Roman" w:cs="Times New Roman"/>
                    </w:rPr>
                  </w:pPr>
                  <w:r>
                    <w:rPr>
                      <w:rFonts w:hint="default" w:ascii="Times New Roman" w:hAnsi="Times New Roman" w:cs="Times New Roman"/>
                      <w:lang w:val="en-US" w:eastAsia="zh-CN"/>
                    </w:rPr>
                    <w:t>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00019">
                  <w:pPr>
                    <w:pStyle w:val="25"/>
                    <w:bidi w:val="0"/>
                    <w:rPr>
                      <w:rFonts w:hint="default" w:ascii="Times New Roman" w:hAnsi="Times New Roman" w:cs="Times New Roman"/>
                    </w:rPr>
                  </w:pPr>
                  <w:r>
                    <w:rPr>
                      <w:rFonts w:hint="default" w:ascii="Times New Roman" w:hAnsi="Times New Roman" w:cs="Times New Roman"/>
                      <w:lang w:val="en-US" w:eastAsia="zh-CN"/>
                    </w:rPr>
                    <w:t>8</w:t>
                  </w:r>
                </w:p>
              </w:tc>
            </w:tr>
            <w:tr w14:paraId="4EC41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96" w:type="dxa"/>
                  <w:vMerge w:val="restart"/>
                  <w:tcBorders>
                    <w:top w:val="single" w:color="auto" w:sz="4" w:space="0"/>
                    <w:left w:val="single" w:color="000000" w:sz="4" w:space="0"/>
                    <w:right w:val="single" w:color="000000" w:sz="4" w:space="0"/>
                  </w:tcBorders>
                  <w:shd w:val="clear" w:color="auto" w:fill="auto"/>
                  <w:vAlign w:val="center"/>
                </w:tcPr>
                <w:p w14:paraId="2B468445">
                  <w:pPr>
                    <w:pStyle w:val="25"/>
                    <w:bidi w:val="0"/>
                    <w:rPr>
                      <w:rFonts w:hint="default" w:ascii="Times New Roman" w:hAnsi="Times New Roman" w:cs="Times New Roman"/>
                    </w:rPr>
                  </w:pPr>
                  <w:r>
                    <w:rPr>
                      <w:rFonts w:hint="default" w:ascii="Times New Roman" w:hAnsi="Times New Roman" w:cs="Times New Roman"/>
                      <w:lang w:val="en-US" w:eastAsia="zh-CN"/>
                    </w:rPr>
                    <w:t>二级</w:t>
                  </w:r>
                </w:p>
              </w:tc>
              <w:tc>
                <w:tcPr>
                  <w:tcW w:w="114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77B303AF">
                  <w:pPr>
                    <w:pStyle w:val="25"/>
                    <w:bidi w:val="0"/>
                    <w:rPr>
                      <w:rFonts w:hint="default" w:ascii="Times New Roman" w:hAnsi="Times New Roman" w:cs="Times New Roman"/>
                    </w:rPr>
                  </w:pPr>
                  <w:r>
                    <w:rPr>
                      <w:rFonts w:hint="default" w:ascii="Times New Roman" w:hAnsi="Times New Roman" w:cs="Times New Roman"/>
                      <w:lang w:val="en-US" w:eastAsia="zh-CN"/>
                    </w:rPr>
                    <w:t>活性污泥法</w:t>
                  </w:r>
                </w:p>
              </w:tc>
              <w:tc>
                <w:tcPr>
                  <w:tcW w:w="1095"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0B5A39F6">
                  <w:pPr>
                    <w:pStyle w:val="25"/>
                    <w:bidi w:val="0"/>
                    <w:rPr>
                      <w:rFonts w:hint="default" w:ascii="Times New Roman" w:hAnsi="Times New Roman" w:cs="Times New Roman"/>
                    </w:rPr>
                  </w:pPr>
                  <w:r>
                    <w:rPr>
                      <w:rFonts w:hint="default" w:ascii="Times New Roman" w:hAnsi="Times New Roman" w:cs="Times New Roman"/>
                      <w:lang w:val="en-US" w:eastAsia="zh-CN"/>
                    </w:rPr>
                    <w:t>活性污泥反应</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1E98A">
                  <w:pPr>
                    <w:pStyle w:val="25"/>
                    <w:bidi w:val="0"/>
                    <w:rPr>
                      <w:rFonts w:hint="default" w:ascii="Times New Roman" w:hAnsi="Times New Roman" w:cs="Times New Roman"/>
                    </w:rPr>
                  </w:pPr>
                  <w:r>
                    <w:rPr>
                      <w:rFonts w:hint="default" w:ascii="Times New Roman" w:hAnsi="Times New Roman" w:cs="Times New Roman"/>
                      <w:lang w:val="en-US" w:eastAsia="zh-CN"/>
                    </w:rPr>
                    <w:t>国家标准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810EC">
                  <w:pPr>
                    <w:pStyle w:val="25"/>
                    <w:bidi w:val="0"/>
                    <w:rPr>
                      <w:rFonts w:hint="default" w:ascii="Times New Roman" w:hAnsi="Times New Roman" w:cs="Times New Roman"/>
                    </w:rPr>
                  </w:pPr>
                  <w:r>
                    <w:rPr>
                      <w:rFonts w:hint="default" w:ascii="Times New Roman" w:hAnsi="Times New Roman" w:cs="Times New Roman"/>
                      <w:lang w:val="en-US" w:eastAsia="zh-CN"/>
                    </w:rPr>
                    <w:t>70~90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635E">
                  <w:pPr>
                    <w:pStyle w:val="25"/>
                    <w:bidi w:val="0"/>
                    <w:rPr>
                      <w:rFonts w:hint="default" w:ascii="Times New Roman" w:hAnsi="Times New Roman" w:cs="Times New Roman"/>
                    </w:rPr>
                  </w:pPr>
                  <w:r>
                    <w:rPr>
                      <w:rFonts w:hint="default" w:ascii="Times New Roman" w:hAnsi="Times New Roman" w:cs="Times New Roman"/>
                      <w:lang w:val="en-US" w:eastAsia="zh-CN"/>
                    </w:rPr>
                    <w:t>65~95</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007F2">
                  <w:pPr>
                    <w:pStyle w:val="25"/>
                    <w:bidi w:val="0"/>
                    <w:rPr>
                      <w:rFonts w:hint="default" w:ascii="Times New Roman" w:hAnsi="Times New Roman" w:cs="Times New Roman"/>
                    </w:rPr>
                  </w:pPr>
                  <w:r>
                    <w:rPr>
                      <w:rFonts w:hint="default" w:ascii="Times New Roman" w:hAnsi="Times New Roman" w:cs="Times New Roman"/>
                      <w:lang w:val="en-US" w:eastAsia="zh-CN"/>
                    </w:rPr>
                    <w:t>60~85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B0CD">
                  <w:pPr>
                    <w:pStyle w:val="25"/>
                    <w:bidi w:val="0"/>
                    <w:rPr>
                      <w:rFonts w:hint="default" w:ascii="Times New Roman" w:hAnsi="Times New Roman" w:cs="Times New Roman"/>
                    </w:rPr>
                  </w:pPr>
                  <w:r>
                    <w:rPr>
                      <w:rFonts w:hint="default" w:ascii="Times New Roman" w:hAnsi="Times New Roman" w:cs="Times New Roman"/>
                      <w:lang w:val="en-US" w:eastAsia="zh-CN"/>
                    </w:rPr>
                    <w:t>75~85</w:t>
                  </w:r>
                </w:p>
              </w:tc>
            </w:tr>
            <w:tr w14:paraId="1AA14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64AD4">
                  <w:pPr>
                    <w:pStyle w:val="25"/>
                    <w:bidi w:val="0"/>
                    <w:rPr>
                      <w:rFonts w:hint="default" w:ascii="Times New Roman" w:hAnsi="Times New Roman" w:cs="Times New Roman"/>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090F6">
                  <w:pPr>
                    <w:pStyle w:val="25"/>
                    <w:bidi w:val="0"/>
                    <w:rPr>
                      <w:rFonts w:hint="default" w:ascii="Times New Roman" w:hAnsi="Times New Roman" w:cs="Times New Roman"/>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E2D01">
                  <w:pPr>
                    <w:pStyle w:val="25"/>
                    <w:bidi w:val="0"/>
                    <w:rPr>
                      <w:rFonts w:hint="default" w:ascii="Times New Roman" w:hAnsi="Times New Roman" w:cs="Times New Roma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A7E3C">
                  <w:pPr>
                    <w:pStyle w:val="25"/>
                    <w:bidi w:val="0"/>
                    <w:rPr>
                      <w:rFonts w:hint="default" w:ascii="Times New Roman" w:hAnsi="Times New Roman" w:cs="Times New Roman"/>
                    </w:rPr>
                  </w:pPr>
                  <w:r>
                    <w:rPr>
                      <w:rFonts w:hint="default" w:ascii="Times New Roman" w:hAnsi="Times New Roman" w:cs="Times New Roman"/>
                      <w:lang w:val="en-US" w:eastAsia="zh-CN"/>
                    </w:rPr>
                    <w:t>本次采用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1928">
                  <w:pPr>
                    <w:pStyle w:val="25"/>
                    <w:bidi w:val="0"/>
                    <w:rPr>
                      <w:rFonts w:hint="default" w:ascii="Times New Roman" w:hAnsi="Times New Roman" w:cs="Times New Roman"/>
                    </w:rPr>
                  </w:pPr>
                  <w:r>
                    <w:rPr>
                      <w:rFonts w:hint="default" w:ascii="Times New Roman" w:hAnsi="Times New Roman" w:cs="Times New Roman"/>
                      <w:lang w:val="en-US" w:eastAsia="zh-CN"/>
                    </w:rPr>
                    <w:t>90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88A7">
                  <w:pPr>
                    <w:pStyle w:val="25"/>
                    <w:bidi w:val="0"/>
                    <w:rPr>
                      <w:rFonts w:hint="default" w:ascii="Times New Roman" w:hAnsi="Times New Roman" w:cs="Times New Roman"/>
                    </w:rPr>
                  </w:pPr>
                  <w:r>
                    <w:rPr>
                      <w:rFonts w:hint="default" w:ascii="Times New Roman" w:hAnsi="Times New Roman" w:cs="Times New Roman"/>
                      <w:lang w:val="en-US" w:eastAsia="zh-CN"/>
                    </w:rPr>
                    <w:t>90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4E0D">
                  <w:pPr>
                    <w:pStyle w:val="25"/>
                    <w:bidi w:val="0"/>
                    <w:rPr>
                      <w:rFonts w:hint="default" w:ascii="Times New Roman" w:hAnsi="Times New Roman" w:cs="Times New Roman"/>
                    </w:rPr>
                  </w:pPr>
                  <w:r>
                    <w:rPr>
                      <w:rFonts w:hint="default" w:ascii="Times New Roman" w:hAnsi="Times New Roman" w:cs="Times New Roman"/>
                      <w:lang w:val="en-US" w:eastAsia="zh-CN"/>
                    </w:rPr>
                    <w:t>80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48636">
                  <w:pPr>
                    <w:pStyle w:val="25"/>
                    <w:bidi w:val="0"/>
                    <w:rPr>
                      <w:rFonts w:hint="default" w:ascii="Times New Roman" w:hAnsi="Times New Roman" w:cs="Times New Roman"/>
                    </w:rPr>
                  </w:pPr>
                  <w:r>
                    <w:rPr>
                      <w:rFonts w:hint="default" w:ascii="Times New Roman" w:hAnsi="Times New Roman" w:cs="Times New Roman"/>
                      <w:lang w:val="en-US" w:eastAsia="zh-CN"/>
                    </w:rPr>
                    <w:t>85</w:t>
                  </w:r>
                </w:p>
              </w:tc>
            </w:tr>
            <w:tr w14:paraId="6B11C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FECCF">
                  <w:pPr>
                    <w:pStyle w:val="25"/>
                    <w:bidi w:val="0"/>
                    <w:rPr>
                      <w:rFonts w:hint="default" w:ascii="Times New Roman" w:hAnsi="Times New Roman" w:cs="Times New Roman"/>
                    </w:rPr>
                  </w:pPr>
                  <w:r>
                    <w:rPr>
                      <w:rFonts w:hint="default" w:ascii="Times New Roman" w:hAnsi="Times New Roman" w:cs="Times New Roman"/>
                      <w:lang w:val="en-US" w:eastAsia="zh-CN"/>
                    </w:rPr>
                    <w:t>深度处理</w:t>
                  </w: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54089">
                  <w:pPr>
                    <w:pStyle w:val="25"/>
                    <w:bidi w:val="0"/>
                    <w:rPr>
                      <w:rFonts w:hint="default" w:ascii="Times New Roman" w:hAnsi="Times New Roman" w:cs="Times New Roman"/>
                    </w:rPr>
                  </w:pPr>
                  <w:r>
                    <w:rPr>
                      <w:rFonts w:hint="default" w:ascii="Times New Roman" w:hAnsi="Times New Roman" w:cs="Times New Roman"/>
                      <w:lang w:val="en-US" w:eastAsia="zh-CN"/>
                    </w:rPr>
                    <w:t>混凝沉淀过滤</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B9BEF">
                  <w:pPr>
                    <w:pStyle w:val="25"/>
                    <w:bidi w:val="0"/>
                    <w:rPr>
                      <w:rFonts w:hint="default" w:ascii="Times New Roman" w:hAnsi="Times New Roman" w:cs="Times New Roman"/>
                    </w:rPr>
                  </w:pPr>
                  <w:r>
                    <w:rPr>
                      <w:rFonts w:hint="default" w:ascii="Times New Roman" w:hAnsi="Times New Roman" w:cs="Times New Roman"/>
                      <w:lang w:val="en-US"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77888">
                  <w:pPr>
                    <w:pStyle w:val="25"/>
                    <w:bidi w:val="0"/>
                    <w:rPr>
                      <w:rFonts w:hint="default" w:ascii="Times New Roman" w:hAnsi="Times New Roman" w:cs="Times New Roman"/>
                    </w:rPr>
                  </w:pPr>
                  <w:r>
                    <w:rPr>
                      <w:rFonts w:hint="default" w:ascii="Times New Roman" w:hAnsi="Times New Roman" w:cs="Times New Roman"/>
                      <w:lang w:val="en-US" w:eastAsia="zh-CN"/>
                    </w:rPr>
                    <w:t>国家标准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E68C6">
                  <w:pPr>
                    <w:pStyle w:val="25"/>
                    <w:bidi w:val="0"/>
                    <w:rPr>
                      <w:rFonts w:hint="default" w:ascii="Times New Roman" w:hAnsi="Times New Roman" w:cs="Times New Roman"/>
                    </w:rPr>
                  </w:pPr>
                  <w:r>
                    <w:rPr>
                      <w:rFonts w:hint="default" w:ascii="Times New Roman" w:hAnsi="Times New Roman" w:cs="Times New Roman"/>
                      <w:lang w:val="en-US" w:eastAsia="zh-CN"/>
                    </w:rPr>
                    <w:t>90~99</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9C8D">
                  <w:pPr>
                    <w:pStyle w:val="25"/>
                    <w:bidi w:val="0"/>
                    <w:rPr>
                      <w:rFonts w:hint="default" w:ascii="Times New Roman" w:hAnsi="Times New Roman" w:cs="Times New Roman"/>
                    </w:rPr>
                  </w:pPr>
                  <w:r>
                    <w:rPr>
                      <w:rFonts w:hint="default" w:ascii="Times New Roman" w:hAnsi="Times New Roman" w:cs="Times New Roman"/>
                      <w:lang w:val="en-US" w:eastAsia="zh-CN"/>
                    </w:rPr>
                    <w:t>80~96</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9DDC">
                  <w:pPr>
                    <w:pStyle w:val="25"/>
                    <w:bidi w:val="0"/>
                    <w:rPr>
                      <w:rFonts w:hint="default" w:ascii="Times New Roman" w:hAnsi="Times New Roman" w:cs="Times New Roman"/>
                    </w:rPr>
                  </w:pPr>
                  <w:r>
                    <w:rPr>
                      <w:rFonts w:hint="default" w:ascii="Times New Roman" w:hAnsi="Times New Roman" w:cs="Times New Roman"/>
                      <w:lang w:val="en-US" w:eastAsia="zh-CN"/>
                    </w:rPr>
                    <w:t>65~90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45AF4">
                  <w:pPr>
                    <w:pStyle w:val="25"/>
                    <w:bidi w:val="0"/>
                    <w:rPr>
                      <w:rFonts w:hint="default" w:ascii="Times New Roman" w:hAnsi="Times New Roman" w:cs="Times New Roman"/>
                    </w:rPr>
                  </w:pPr>
                  <w:r>
                    <w:rPr>
                      <w:rFonts w:hint="default" w:ascii="Times New Roman" w:hAnsi="Times New Roman" w:cs="Times New Roman"/>
                      <w:lang w:val="en-US" w:eastAsia="zh-CN"/>
                    </w:rPr>
                    <w:t>80~95</w:t>
                  </w:r>
                </w:p>
              </w:tc>
            </w:tr>
            <w:tr w14:paraId="6B6FB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E132B">
                  <w:pPr>
                    <w:pStyle w:val="25"/>
                    <w:bidi w:val="0"/>
                    <w:rPr>
                      <w:rFonts w:hint="default" w:ascii="Times New Roman" w:hAnsi="Times New Roman" w:cs="Times New Roman"/>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D3CF8">
                  <w:pPr>
                    <w:pStyle w:val="25"/>
                    <w:bidi w:val="0"/>
                    <w:rPr>
                      <w:rFonts w:hint="default" w:ascii="Times New Roman" w:hAnsi="Times New Roman" w:cs="Times New Roman"/>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C867B">
                  <w:pPr>
                    <w:pStyle w:val="25"/>
                    <w:bidi w:val="0"/>
                    <w:rPr>
                      <w:rFonts w:hint="default" w:ascii="Times New Roman" w:hAnsi="Times New Roman" w:cs="Times New Roma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E4423">
                  <w:pPr>
                    <w:pStyle w:val="25"/>
                    <w:bidi w:val="0"/>
                    <w:rPr>
                      <w:rFonts w:hint="default" w:ascii="Times New Roman" w:hAnsi="Times New Roman" w:cs="Times New Roman"/>
                    </w:rPr>
                  </w:pPr>
                  <w:r>
                    <w:rPr>
                      <w:rFonts w:hint="default" w:ascii="Times New Roman" w:hAnsi="Times New Roman" w:cs="Times New Roman"/>
                      <w:lang w:val="en-US" w:eastAsia="zh-CN"/>
                    </w:rPr>
                    <w:t>本次采用</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67AA3">
                  <w:pPr>
                    <w:pStyle w:val="25"/>
                    <w:bidi w:val="0"/>
                    <w:rPr>
                      <w:rFonts w:hint="default" w:ascii="Times New Roman" w:hAnsi="Times New Roman" w:cs="Times New Roman"/>
                    </w:rPr>
                  </w:pPr>
                  <w:r>
                    <w:rPr>
                      <w:rFonts w:hint="default" w:ascii="Times New Roman" w:hAnsi="Times New Roman" w:cs="Times New Roman"/>
                      <w:lang w:val="en-US" w:eastAsia="zh-CN"/>
                    </w:rPr>
                    <w:t>95</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D51BC">
                  <w:pPr>
                    <w:pStyle w:val="25"/>
                    <w:bidi w:val="0"/>
                    <w:rPr>
                      <w:rFonts w:hint="default" w:ascii="Times New Roman" w:hAnsi="Times New Roman" w:cs="Times New Roman"/>
                    </w:rPr>
                  </w:pPr>
                  <w:r>
                    <w:rPr>
                      <w:rFonts w:hint="default" w:ascii="Times New Roman" w:hAnsi="Times New Roman" w:cs="Times New Roman"/>
                      <w:lang w:val="en-US" w:eastAsia="zh-CN"/>
                    </w:rPr>
                    <w:t>90</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65594">
                  <w:pPr>
                    <w:pStyle w:val="25"/>
                    <w:bidi w:val="0"/>
                    <w:rPr>
                      <w:rFonts w:hint="default" w:ascii="Times New Roman" w:hAnsi="Times New Roman" w:cs="Times New Roman"/>
                    </w:rPr>
                  </w:pPr>
                  <w:r>
                    <w:rPr>
                      <w:rFonts w:hint="default" w:ascii="Times New Roman" w:hAnsi="Times New Roman" w:cs="Times New Roman"/>
                      <w:lang w:val="en-US" w:eastAsia="zh-CN"/>
                    </w:rPr>
                    <w:t>80</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3FD1D">
                  <w:pPr>
                    <w:pStyle w:val="25"/>
                    <w:bidi w:val="0"/>
                    <w:rPr>
                      <w:rFonts w:hint="default" w:ascii="Times New Roman" w:hAnsi="Times New Roman" w:cs="Times New Roman"/>
                    </w:rPr>
                  </w:pPr>
                  <w:r>
                    <w:rPr>
                      <w:rFonts w:hint="default" w:ascii="Times New Roman" w:hAnsi="Times New Roman" w:cs="Times New Roman"/>
                      <w:lang w:val="en-US" w:eastAsia="zh-CN"/>
                    </w:rPr>
                    <w:t>80</w:t>
                  </w:r>
                </w:p>
              </w:tc>
            </w:tr>
          </w:tbl>
          <w:p w14:paraId="6DD1B347">
            <w:pPr>
              <w:pStyle w:val="5"/>
              <w:numPr>
                <w:ilvl w:val="0"/>
                <w:numId w:val="0"/>
              </w:numPr>
              <w:bidi w:val="0"/>
              <w:ind w:left="426" w:leftChars="202" w:hanging="2" w:hangingChars="1"/>
              <w:rPr>
                <w:rFonts w:hint="default" w:ascii="Times New Roman" w:hAnsi="Times New Roman" w:eastAsia="宋体" w:cs="Times New Roman"/>
                <w:b w:val="0"/>
                <w:bCs/>
              </w:rPr>
            </w:pPr>
            <w:r>
              <w:rPr>
                <w:rFonts w:hint="eastAsia" w:ascii="Times New Roman" w:hAnsi="Times New Roman" w:cs="Times New Roman"/>
                <w:b w:val="0"/>
                <w:bCs/>
                <w:kern w:val="2"/>
                <w:sz w:val="24"/>
                <w:szCs w:val="24"/>
                <w:lang w:val="en-US" w:eastAsia="zh-CN" w:bidi="ar-SA"/>
              </w:rPr>
              <w:t>2、</w:t>
            </w:r>
            <w:r>
              <w:rPr>
                <w:rFonts w:hint="default" w:ascii="Times New Roman" w:hAnsi="Times New Roman" w:eastAsia="宋体" w:cs="Times New Roman"/>
                <w:b w:val="0"/>
                <w:bCs/>
              </w:rPr>
              <w:t>出水水质达标分析</w:t>
            </w:r>
          </w:p>
          <w:p w14:paraId="0A6C3C0B">
            <w:pPr>
              <w:pStyle w:val="7"/>
              <w:bidi w:val="0"/>
              <w:rPr>
                <w:rFonts w:hint="default" w:ascii="Times New Roman" w:hAnsi="Times New Roman" w:cs="Times New Roman"/>
              </w:rPr>
            </w:pPr>
            <w:r>
              <w:rPr>
                <w:rFonts w:hint="default" w:ascii="Times New Roman" w:hAnsi="Times New Roman" w:cs="Times New Roman"/>
              </w:rPr>
              <w:t>本项目通过</w:t>
            </w:r>
            <w:r>
              <w:rPr>
                <w:rFonts w:hint="eastAsia" w:ascii="Times New Roman" w:hAnsi="Times New Roman" w:cs="Times New Roman"/>
                <w:lang w:eastAsia="zh-CN"/>
              </w:rPr>
              <w:t>“</w:t>
            </w:r>
            <w:r>
              <w:rPr>
                <w:rFonts w:hint="default" w:ascii="Times New Roman" w:hAnsi="Times New Roman" w:cs="Times New Roman"/>
              </w:rPr>
              <w:t>预处理→生化处理→深度处理→消毒</w:t>
            </w:r>
            <w:r>
              <w:rPr>
                <w:rFonts w:hint="eastAsia" w:ascii="Times New Roman" w:hAnsi="Times New Roman" w:cs="Times New Roman"/>
                <w:lang w:eastAsia="zh-CN"/>
              </w:rPr>
              <w:t>”</w:t>
            </w:r>
            <w:r>
              <w:rPr>
                <w:rFonts w:hint="default" w:ascii="Times New Roman" w:hAnsi="Times New Roman" w:cs="Times New Roman"/>
              </w:rPr>
              <w:t>的完整工艺路线，各处理单元协同作用，确保出水水质稳定达标：</w:t>
            </w:r>
          </w:p>
          <w:p w14:paraId="624B1102">
            <w:pPr>
              <w:pStyle w:val="7"/>
              <w:bidi w:val="0"/>
              <w:rPr>
                <w:rFonts w:hint="default" w:ascii="Times New Roman" w:hAnsi="Times New Roman" w:cs="Times New Roman"/>
              </w:rPr>
            </w:pPr>
            <w:r>
              <w:rPr>
                <w:rFonts w:hint="default" w:ascii="Times New Roman" w:hAnsi="Times New Roman" w:cs="Times New Roman"/>
              </w:rPr>
              <w:t>预处理单元（格栅+调节池+旋流沉砂器）：去除污水中的漂浮物、大颗粒悬浮物及无机砂粒，为后续生化处理创造良好条件；</w:t>
            </w:r>
          </w:p>
          <w:p w14:paraId="4398D76C">
            <w:pPr>
              <w:pStyle w:val="7"/>
              <w:bidi w:val="0"/>
              <w:rPr>
                <w:rFonts w:hint="default" w:ascii="Times New Roman" w:hAnsi="Times New Roman" w:cs="Times New Roman"/>
              </w:rPr>
            </w:pPr>
            <w:r>
              <w:rPr>
                <w:rFonts w:hint="default" w:ascii="Times New Roman" w:hAnsi="Times New Roman" w:cs="Times New Roman"/>
              </w:rPr>
              <w:t>生化处理单元（AAO生物池+二沉池）：通过厌氧、缺氧、好氧三段功能区的协同作用，有效去除COD、BOD</w:t>
            </w:r>
            <w:r>
              <w:rPr>
                <w:rFonts w:hint="eastAsia" w:ascii="Times New Roman" w:cs="Times New Roman"/>
                <w:vertAlign w:val="subscript"/>
                <w:lang w:val="en-US" w:eastAsia="zh-CN"/>
              </w:rPr>
              <w:t>5</w:t>
            </w:r>
            <w:r>
              <w:rPr>
                <w:rFonts w:hint="default" w:ascii="Times New Roman" w:hAnsi="Times New Roman" w:cs="Times New Roman"/>
              </w:rPr>
              <w:t>、NH</w:t>
            </w:r>
            <w:r>
              <w:rPr>
                <w:rFonts w:hint="eastAsia" w:ascii="Times New Roman" w:cs="Times New Roman"/>
                <w:vertAlign w:val="subscript"/>
                <w:lang w:val="en-US" w:eastAsia="zh-CN"/>
              </w:rPr>
              <w:t>3</w:t>
            </w:r>
            <w:r>
              <w:rPr>
                <w:rFonts w:hint="default" w:ascii="Times New Roman" w:hAnsi="Times New Roman" w:cs="Times New Roman"/>
              </w:rPr>
              <w:t>-N、TN、TP等污染物，AAO工艺具有脱氮除磷效率高、运行稳定可靠的优点；</w:t>
            </w:r>
          </w:p>
          <w:p w14:paraId="3BF926CD">
            <w:pPr>
              <w:pStyle w:val="7"/>
              <w:bidi w:val="0"/>
              <w:rPr>
                <w:rFonts w:hint="default" w:ascii="Times New Roman" w:hAnsi="Times New Roman" w:cs="Times New Roman"/>
              </w:rPr>
            </w:pPr>
            <w:r>
              <w:rPr>
                <w:rFonts w:hint="default" w:ascii="Times New Roman" w:hAnsi="Times New Roman" w:cs="Times New Roman"/>
              </w:rPr>
              <w:t>深度处理单元（高效沉淀池+精密过滤）：通过投加PAC/PAM进一步去除SS、TP及残留的COD，确保出水SS和TP指标稳定达标；</w:t>
            </w:r>
          </w:p>
          <w:p w14:paraId="4C85F9D0">
            <w:pPr>
              <w:pStyle w:val="7"/>
              <w:bidi w:val="0"/>
              <w:rPr>
                <w:rFonts w:hint="default" w:ascii="Times New Roman" w:hAnsi="Times New Roman" w:cs="Times New Roman"/>
              </w:rPr>
            </w:pPr>
            <w:r>
              <w:rPr>
                <w:rFonts w:hint="default" w:ascii="Times New Roman" w:hAnsi="Times New Roman" w:cs="Times New Roman"/>
              </w:rPr>
              <w:t>消毒单元（次氯酸钠消毒）：杀灭污水中的病原体微生物，确保粪大肠菌群数等卫生学指标达标。</w:t>
            </w:r>
          </w:p>
          <w:p w14:paraId="6D3C372F">
            <w:pPr>
              <w:pStyle w:val="7"/>
              <w:bidi w:val="0"/>
              <w:rPr>
                <w:rFonts w:hint="default" w:ascii="Times New Roman" w:hAnsi="Times New Roman" w:cs="Times New Roman"/>
              </w:rPr>
            </w:pPr>
            <w:r>
              <w:rPr>
                <w:rFonts w:hint="default" w:ascii="Times New Roman" w:hAnsi="Times New Roman" w:cs="Times New Roman"/>
              </w:rPr>
              <w:t>经核算，本项目出水各主要污染物浓度均可满足《城镇污水处理厂污染物排放标准》（GB18918-2002）一级A标准要求。设计出水水质与标准限值对比见表</w:t>
            </w:r>
            <w:r>
              <w:rPr>
                <w:rFonts w:hint="eastAsia" w:ascii="Times New Roman" w:cs="Times New Roman"/>
                <w:lang w:val="en-US" w:eastAsia="zh-CN"/>
              </w:rPr>
              <w:t>4-13</w:t>
            </w:r>
            <w:r>
              <w:rPr>
                <w:rFonts w:hint="default" w:ascii="Times New Roman" w:hAnsi="Times New Roman" w:cs="Times New Roman"/>
              </w:rPr>
              <w:t>：</w:t>
            </w:r>
          </w:p>
          <w:p w14:paraId="773FDF23">
            <w:pPr>
              <w:pStyle w:val="8"/>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kern w:val="2"/>
                <w:sz w:val="21"/>
                <w:szCs w:val="21"/>
                <w:lang w:val="en-US" w:eastAsia="zh-CN" w:bidi="ar-SA"/>
              </w:rPr>
              <w:t xml:space="preserve">表 </w:t>
            </w:r>
            <w:r>
              <w:rPr>
                <w:rFonts w:hint="default" w:ascii="Times New Roman" w:hAnsi="Times New Roman" w:eastAsia="宋体" w:cs="Times New Roman"/>
                <w:b/>
                <w:bCs/>
                <w:kern w:val="2"/>
                <w:sz w:val="21"/>
                <w:szCs w:val="21"/>
                <w:lang w:val="en-US" w:eastAsia="zh-CN" w:bidi="ar-SA"/>
              </w:rPr>
              <w:fldChar w:fldCharType="begin"/>
            </w:r>
            <w:r>
              <w:rPr>
                <w:rFonts w:hint="default" w:ascii="Times New Roman" w:hAnsi="Times New Roman" w:eastAsia="宋体" w:cs="Times New Roman"/>
                <w:b/>
                <w:bCs/>
                <w:kern w:val="2"/>
                <w:sz w:val="21"/>
                <w:szCs w:val="21"/>
                <w:lang w:val="en-US" w:eastAsia="zh-CN" w:bidi="ar-SA"/>
              </w:rPr>
              <w:instrText xml:space="preserve"> STYLEREF 1 \s \* ARABIC </w:instrText>
            </w:r>
            <w:r>
              <w:rPr>
                <w:rFonts w:hint="default" w:ascii="Times New Roman" w:hAnsi="Times New Roman" w:eastAsia="宋体" w:cs="Times New Roman"/>
                <w:b/>
                <w:bCs/>
                <w:kern w:val="2"/>
                <w:sz w:val="21"/>
                <w:szCs w:val="21"/>
                <w:lang w:val="en-US" w:eastAsia="zh-CN" w:bidi="ar-SA"/>
              </w:rPr>
              <w:fldChar w:fldCharType="separate"/>
            </w:r>
            <w:r>
              <w:rPr>
                <w:rFonts w:hint="default" w:ascii="Times New Roman" w:hAnsi="Times New Roman" w:eastAsia="宋体" w:cs="Times New Roman"/>
                <w:b/>
                <w:bCs/>
                <w:kern w:val="2"/>
                <w:sz w:val="21"/>
                <w:szCs w:val="21"/>
                <w:lang w:val="en-US" w:eastAsia="zh-CN" w:bidi="ar-SA"/>
              </w:rPr>
              <w:t>4</w:t>
            </w:r>
            <w:r>
              <w:rPr>
                <w:rFonts w:hint="default" w:ascii="Times New Roman" w:hAnsi="Times New Roman" w:eastAsia="宋体" w:cs="Times New Roman"/>
                <w:b/>
                <w:bCs/>
                <w:kern w:val="2"/>
                <w:sz w:val="21"/>
                <w:szCs w:val="21"/>
                <w:lang w:val="en-US" w:eastAsia="zh-CN" w:bidi="ar-SA"/>
              </w:rPr>
              <w:fldChar w:fldCharType="end"/>
            </w:r>
            <w:r>
              <w:rPr>
                <w:rFonts w:hint="default" w:ascii="Times New Roman" w:hAnsi="Times New Roman" w:eastAsia="宋体" w:cs="Times New Roman"/>
                <w:b/>
                <w:bCs/>
                <w:kern w:val="2"/>
                <w:sz w:val="21"/>
                <w:szCs w:val="21"/>
                <w:lang w:val="en-US" w:eastAsia="zh-CN" w:bidi="ar-SA"/>
              </w:rPr>
              <w:t>-</w:t>
            </w:r>
            <w:r>
              <w:rPr>
                <w:rFonts w:hint="eastAsia" w:ascii="Times New Roman" w:hAnsi="Times New Roman" w:eastAsia="宋体" w:cs="Times New Roman"/>
                <w:b/>
                <w:bCs/>
                <w:kern w:val="2"/>
                <w:sz w:val="21"/>
                <w:szCs w:val="21"/>
                <w:lang w:val="en-US" w:eastAsia="zh-CN" w:bidi="ar-SA"/>
              </w:rPr>
              <w:t>13</w:t>
            </w:r>
            <w:r>
              <w:rPr>
                <w:rFonts w:hint="default" w:ascii="Times New Roman" w:hAnsi="Times New Roman" w:eastAsia="宋体" w:cs="Times New Roman"/>
                <w:b/>
                <w:bCs/>
                <w:kern w:val="2"/>
                <w:sz w:val="21"/>
                <w:szCs w:val="21"/>
                <w:lang w:val="en-US" w:eastAsia="zh-CN" w:bidi="ar-SA"/>
              </w:rPr>
              <w:t>各处理单元污染物浓度变化及去除率一览表</w:t>
            </w:r>
          </w:p>
          <w:tbl>
            <w:tblPr>
              <w:tblStyle w:val="15"/>
              <w:tblW w:w="79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97"/>
              <w:gridCol w:w="1301"/>
              <w:gridCol w:w="852"/>
              <w:gridCol w:w="774"/>
              <w:gridCol w:w="699"/>
              <w:gridCol w:w="809"/>
              <w:gridCol w:w="775"/>
              <w:gridCol w:w="734"/>
            </w:tblGrid>
            <w:tr w14:paraId="2DEB2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1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ED9623">
                  <w:pPr>
                    <w:pStyle w:val="25"/>
                    <w:bidi w:val="0"/>
                    <w:rPr>
                      <w:rFonts w:hint="default" w:ascii="Times New Roman" w:hAnsi="Times New Roman" w:cs="Times New Roman"/>
                    </w:rPr>
                  </w:pPr>
                  <w:r>
                    <w:rPr>
                      <w:rFonts w:hint="default" w:ascii="Times New Roman" w:hAnsi="Times New Roman" w:cs="Times New Roman"/>
                      <w:lang w:val="en-US" w:eastAsia="zh-CN"/>
                    </w:rPr>
                    <w:t>处理单元</w:t>
                  </w: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321A28">
                  <w:pPr>
                    <w:pStyle w:val="25"/>
                    <w:bidi w:val="0"/>
                    <w:rPr>
                      <w:rFonts w:hint="default" w:ascii="Times New Roman" w:hAnsi="Times New Roman" w:cs="Times New Roman"/>
                    </w:rPr>
                  </w:pPr>
                  <w:r>
                    <w:rPr>
                      <w:rFonts w:hint="default" w:ascii="Times New Roman" w:hAnsi="Times New Roman" w:cs="Times New Roman"/>
                      <w:lang w:val="en-US" w:eastAsia="zh-CN"/>
                    </w:rPr>
                    <w:t>指标</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FDAD5E">
                  <w:pPr>
                    <w:pStyle w:val="25"/>
                    <w:bidi w:val="0"/>
                    <w:rPr>
                      <w:rFonts w:hint="default" w:ascii="Times New Roman" w:hAnsi="Times New Roman" w:cs="Times New Roman"/>
                    </w:rPr>
                  </w:pPr>
                  <w:r>
                    <w:rPr>
                      <w:rFonts w:hint="default" w:ascii="Times New Roman" w:hAnsi="Times New Roman" w:cs="Times New Roman"/>
                      <w:lang w:val="en-US" w:eastAsia="zh-CN"/>
                    </w:rPr>
                    <w:t>CODcr</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C1081">
                  <w:pPr>
                    <w:pStyle w:val="25"/>
                    <w:bidi w:val="0"/>
                    <w:rPr>
                      <w:rFonts w:hint="default" w:ascii="Times New Roman" w:hAnsi="Times New Roman" w:cs="Times New Roman"/>
                    </w:rPr>
                  </w:pPr>
                  <w:r>
                    <w:rPr>
                      <w:rFonts w:hint="default" w:ascii="Times New Roman" w:hAnsi="Times New Roman" w:cs="Times New Roman"/>
                      <w:lang w:val="en-US" w:eastAsia="zh-CN"/>
                    </w:rPr>
                    <w:t>BOD</w:t>
                  </w:r>
                  <w:r>
                    <w:rPr>
                      <w:rFonts w:hint="default" w:ascii="Times New Roman" w:hAnsi="Times New Roman" w:cs="Times New Roman"/>
                      <w:vertAlign w:val="subscript"/>
                      <w:lang w:val="en-US" w:eastAsia="zh-CN"/>
                    </w:rPr>
                    <w:t>5</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F40526">
                  <w:pPr>
                    <w:pStyle w:val="25"/>
                    <w:bidi w:val="0"/>
                    <w:rPr>
                      <w:rFonts w:hint="default" w:ascii="Times New Roman" w:hAnsi="Times New Roman" w:cs="Times New Roman"/>
                    </w:rPr>
                  </w:pPr>
                  <w:r>
                    <w:rPr>
                      <w:rFonts w:hint="default" w:ascii="Times New Roman" w:hAnsi="Times New Roman" w:cs="Times New Roman"/>
                      <w:lang w:val="en-US" w:eastAsia="zh-CN"/>
                    </w:rPr>
                    <w:t>SS</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88EA10">
                  <w:pPr>
                    <w:pStyle w:val="25"/>
                    <w:bidi w:val="0"/>
                    <w:rPr>
                      <w:rFonts w:hint="default" w:ascii="Times New Roman" w:hAnsi="Times New Roman" w:cs="Times New Roman"/>
                    </w:rPr>
                  </w:pPr>
                  <w:r>
                    <w:rPr>
                      <w:rFonts w:hint="default" w:ascii="Times New Roman" w:hAnsi="Times New Roman" w:cs="Times New Roman"/>
                      <w:lang w:val="en-US" w:eastAsia="zh-CN"/>
                    </w:rPr>
                    <w:t>NH</w:t>
                  </w:r>
                  <w:r>
                    <w:rPr>
                      <w:rFonts w:hint="default" w:ascii="Times New Roman" w:hAnsi="Times New Roman" w:cs="Times New Roman"/>
                      <w:vertAlign w:val="subscript"/>
                      <w:lang w:val="en-US" w:eastAsia="zh-CN"/>
                    </w:rPr>
                    <w:t>3</w:t>
                  </w:r>
                  <w:r>
                    <w:rPr>
                      <w:rFonts w:hint="default" w:ascii="Times New Roman" w:hAnsi="Times New Roman" w:cs="Times New Roman"/>
                      <w:lang w:val="en-US" w:eastAsia="zh-CN"/>
                    </w:rPr>
                    <w:t>-N</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3E145A">
                  <w:pPr>
                    <w:pStyle w:val="25"/>
                    <w:bidi w:val="0"/>
                    <w:rPr>
                      <w:rFonts w:hint="default" w:ascii="Times New Roman" w:hAnsi="Times New Roman" w:cs="Times New Roman"/>
                    </w:rPr>
                  </w:pPr>
                  <w:r>
                    <w:rPr>
                      <w:rFonts w:hint="default" w:ascii="Times New Roman" w:hAnsi="Times New Roman" w:cs="Times New Roman"/>
                      <w:lang w:val="en-US" w:eastAsia="zh-CN"/>
                    </w:rPr>
                    <w:t>TN</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756DB8">
                  <w:pPr>
                    <w:pStyle w:val="25"/>
                    <w:bidi w:val="0"/>
                    <w:rPr>
                      <w:rFonts w:hint="default" w:ascii="Times New Roman" w:hAnsi="Times New Roman" w:cs="Times New Roman"/>
                    </w:rPr>
                  </w:pPr>
                  <w:r>
                    <w:rPr>
                      <w:rFonts w:hint="default" w:ascii="Times New Roman" w:hAnsi="Times New Roman" w:cs="Times New Roman"/>
                      <w:lang w:val="en-US" w:eastAsia="zh-CN"/>
                    </w:rPr>
                    <w:t>TP</w:t>
                  </w:r>
                </w:p>
              </w:tc>
            </w:tr>
            <w:tr w14:paraId="58A9B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691CAF">
                  <w:pPr>
                    <w:pStyle w:val="25"/>
                    <w:bidi w:val="0"/>
                    <w:rPr>
                      <w:rFonts w:hint="default" w:ascii="Times New Roman" w:hAnsi="Times New Roman" w:cs="Times New Roman"/>
                    </w:rPr>
                  </w:pPr>
                  <w:r>
                    <w:rPr>
                      <w:rFonts w:hint="default" w:ascii="Times New Roman" w:hAnsi="Times New Roman" w:cs="Times New Roman"/>
                      <w:lang w:val="en-US" w:eastAsia="zh-CN"/>
                    </w:rPr>
                    <w:t>进水水质（mg/L）</w:t>
                  </w: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F9E8F0">
                  <w:pPr>
                    <w:pStyle w:val="25"/>
                    <w:bidi w:val="0"/>
                    <w:rPr>
                      <w:rFonts w:hint="default" w:ascii="Times New Roman" w:hAnsi="Times New Roman" w:cs="Times New Roman"/>
                    </w:rPr>
                  </w:pPr>
                  <w:r>
                    <w:rPr>
                      <w:rFonts w:hint="default" w:ascii="Times New Roman" w:hAnsi="Times New Roman" w:cs="Times New Roman"/>
                      <w:lang w:val="en-US" w:eastAsia="zh-CN"/>
                    </w:rPr>
                    <w:t>—</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851CAB">
                  <w:pPr>
                    <w:pStyle w:val="25"/>
                    <w:bidi w:val="0"/>
                    <w:rPr>
                      <w:rFonts w:hint="default" w:ascii="Times New Roman" w:hAnsi="Times New Roman" w:cs="Times New Roman"/>
                    </w:rPr>
                  </w:pPr>
                  <w:r>
                    <w:rPr>
                      <w:rFonts w:hint="default" w:ascii="Times New Roman" w:hAnsi="Times New Roman" w:cs="Times New Roman"/>
                      <w:lang w:val="en-US" w:eastAsia="zh-CN"/>
                    </w:rPr>
                    <w:t>640</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5DB532">
                  <w:pPr>
                    <w:pStyle w:val="25"/>
                    <w:bidi w:val="0"/>
                    <w:rPr>
                      <w:rFonts w:hint="default" w:ascii="Times New Roman" w:hAnsi="Times New Roman" w:cs="Times New Roman"/>
                    </w:rPr>
                  </w:pPr>
                  <w:r>
                    <w:rPr>
                      <w:rFonts w:hint="default" w:ascii="Times New Roman" w:hAnsi="Times New Roman" w:cs="Times New Roman"/>
                      <w:lang w:val="en-US" w:eastAsia="zh-CN"/>
                    </w:rPr>
                    <w:t>280</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B70582">
                  <w:pPr>
                    <w:pStyle w:val="25"/>
                    <w:bidi w:val="0"/>
                    <w:rPr>
                      <w:rFonts w:hint="default" w:ascii="Times New Roman" w:hAnsi="Times New Roman" w:cs="Times New Roman"/>
                    </w:rPr>
                  </w:pPr>
                  <w:r>
                    <w:rPr>
                      <w:rFonts w:hint="default" w:ascii="Times New Roman" w:hAnsi="Times New Roman" w:cs="Times New Roman"/>
                      <w:lang w:val="en-US" w:eastAsia="zh-CN"/>
                    </w:rPr>
                    <w:t>150</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2D0526">
                  <w:pPr>
                    <w:pStyle w:val="25"/>
                    <w:bidi w:val="0"/>
                    <w:rPr>
                      <w:rFonts w:hint="default" w:ascii="Times New Roman" w:hAnsi="Times New Roman" w:cs="Times New Roman"/>
                    </w:rPr>
                  </w:pPr>
                  <w:r>
                    <w:rPr>
                      <w:rFonts w:hint="default" w:ascii="Times New Roman" w:hAnsi="Times New Roman" w:cs="Times New Roman"/>
                      <w:lang w:val="en-US" w:eastAsia="zh-CN"/>
                    </w:rPr>
                    <w:t>70</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368B12">
                  <w:pPr>
                    <w:pStyle w:val="25"/>
                    <w:bidi w:val="0"/>
                    <w:rPr>
                      <w:rFonts w:hint="default" w:ascii="Times New Roman" w:hAnsi="Times New Roman" w:cs="Times New Roman"/>
                    </w:rPr>
                  </w:pPr>
                  <w:r>
                    <w:rPr>
                      <w:rFonts w:hint="default" w:ascii="Times New Roman" w:hAnsi="Times New Roman" w:cs="Times New Roman"/>
                      <w:lang w:val="en-US" w:eastAsia="zh-CN"/>
                    </w:rPr>
                    <w:t>80</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1B34C1">
                  <w:pPr>
                    <w:pStyle w:val="25"/>
                    <w:bidi w:val="0"/>
                    <w:rPr>
                      <w:rFonts w:hint="default" w:ascii="Times New Roman" w:hAnsi="Times New Roman" w:cs="Times New Roman"/>
                    </w:rPr>
                  </w:pPr>
                  <w:r>
                    <w:rPr>
                      <w:rFonts w:hint="default" w:ascii="Times New Roman" w:hAnsi="Times New Roman" w:cs="Times New Roman"/>
                      <w:lang w:val="en-US" w:eastAsia="zh-CN"/>
                    </w:rPr>
                    <w:t>8</w:t>
                  </w:r>
                </w:p>
              </w:tc>
            </w:tr>
            <w:tr w14:paraId="6B7F0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125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AF77ED">
                  <w:pPr>
                    <w:pStyle w:val="25"/>
                    <w:bidi w:val="0"/>
                    <w:rPr>
                      <w:rFonts w:hint="default" w:ascii="Times New Roman" w:hAnsi="Times New Roman" w:cs="Times New Roman"/>
                    </w:rPr>
                  </w:pPr>
                  <w:r>
                    <w:rPr>
                      <w:rFonts w:hint="default" w:ascii="Times New Roman" w:hAnsi="Times New Roman" w:cs="Times New Roman"/>
                      <w:lang w:val="en-US" w:eastAsia="zh-CN"/>
                    </w:rPr>
                    <w:t>预处理单元（格栅+调节池+旋流沉砂器）</w:t>
                  </w: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63E78">
                  <w:pPr>
                    <w:pStyle w:val="25"/>
                    <w:bidi w:val="0"/>
                    <w:rPr>
                      <w:rFonts w:hint="default" w:ascii="Times New Roman" w:hAnsi="Times New Roman" w:cs="Times New Roman"/>
                    </w:rPr>
                  </w:pPr>
                  <w:r>
                    <w:rPr>
                      <w:rFonts w:hint="default" w:ascii="Times New Roman" w:hAnsi="Times New Roman" w:cs="Times New Roman"/>
                      <w:lang w:val="en-US" w:eastAsia="zh-CN"/>
                    </w:rPr>
                    <w:t>出水水质（mg/L）</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C00B4">
                  <w:pPr>
                    <w:pStyle w:val="25"/>
                    <w:bidi w:val="0"/>
                    <w:rPr>
                      <w:rFonts w:hint="default" w:ascii="Times New Roman" w:hAnsi="Times New Roman" w:cs="Times New Roman"/>
                    </w:rPr>
                  </w:pPr>
                  <w:r>
                    <w:rPr>
                      <w:rFonts w:hint="default" w:ascii="Times New Roman" w:hAnsi="Times New Roman" w:cs="Times New Roman"/>
                      <w:lang w:val="en-US" w:eastAsia="zh-CN"/>
                    </w:rPr>
                    <w:t>480</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22343D">
                  <w:pPr>
                    <w:pStyle w:val="25"/>
                    <w:bidi w:val="0"/>
                    <w:rPr>
                      <w:rFonts w:hint="default" w:ascii="Times New Roman" w:hAnsi="Times New Roman" w:cs="Times New Roman"/>
                    </w:rPr>
                  </w:pPr>
                  <w:r>
                    <w:rPr>
                      <w:rFonts w:hint="default" w:ascii="Times New Roman" w:hAnsi="Times New Roman" w:cs="Times New Roman"/>
                      <w:lang w:val="en-US" w:eastAsia="zh-CN"/>
                    </w:rPr>
                    <w:t>210</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8E948">
                  <w:pPr>
                    <w:pStyle w:val="25"/>
                    <w:bidi w:val="0"/>
                    <w:rPr>
                      <w:rFonts w:hint="default" w:ascii="Times New Roman" w:hAnsi="Times New Roman" w:cs="Times New Roman"/>
                    </w:rPr>
                  </w:pPr>
                  <w:r>
                    <w:rPr>
                      <w:rFonts w:hint="default" w:ascii="Times New Roman" w:hAnsi="Times New Roman" w:cs="Times New Roman"/>
                      <w:lang w:val="en-US" w:eastAsia="zh-CN"/>
                    </w:rPr>
                    <w:t>75</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27536">
                  <w:pPr>
                    <w:pStyle w:val="25"/>
                    <w:bidi w:val="0"/>
                    <w:rPr>
                      <w:rFonts w:hint="default" w:ascii="Times New Roman" w:hAnsi="Times New Roman" w:cs="Times New Roman"/>
                    </w:rPr>
                  </w:pPr>
                  <w:r>
                    <w:rPr>
                      <w:rFonts w:hint="default" w:ascii="Times New Roman" w:hAnsi="Times New Roman" w:cs="Times New Roman"/>
                      <w:lang w:val="en-US" w:eastAsia="zh-CN"/>
                    </w:rPr>
                    <w:t>70</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DA757A">
                  <w:pPr>
                    <w:pStyle w:val="25"/>
                    <w:bidi w:val="0"/>
                    <w:rPr>
                      <w:rFonts w:hint="default" w:ascii="Times New Roman" w:hAnsi="Times New Roman" w:cs="Times New Roman"/>
                    </w:rPr>
                  </w:pPr>
                  <w:r>
                    <w:rPr>
                      <w:rFonts w:hint="default" w:ascii="Times New Roman" w:hAnsi="Times New Roman" w:cs="Times New Roman"/>
                      <w:lang w:val="en-US" w:eastAsia="zh-CN"/>
                    </w:rPr>
                    <w:t>80</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528FE">
                  <w:pPr>
                    <w:pStyle w:val="25"/>
                    <w:bidi w:val="0"/>
                    <w:rPr>
                      <w:rFonts w:hint="default" w:ascii="Times New Roman" w:hAnsi="Times New Roman" w:cs="Times New Roman"/>
                    </w:rPr>
                  </w:pPr>
                  <w:r>
                    <w:rPr>
                      <w:rFonts w:hint="default" w:ascii="Times New Roman" w:hAnsi="Times New Roman" w:cs="Times New Roman"/>
                      <w:lang w:val="en-US" w:eastAsia="zh-CN"/>
                    </w:rPr>
                    <w:t>7.36</w:t>
                  </w:r>
                </w:p>
              </w:tc>
            </w:tr>
            <w:tr w14:paraId="74FFB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3A8FA5">
                  <w:pPr>
                    <w:pStyle w:val="25"/>
                    <w:bidi w:val="0"/>
                    <w:rPr>
                      <w:rFonts w:hint="default" w:ascii="Times New Roman" w:hAnsi="Times New Roman" w:cs="Times New Roman"/>
                    </w:rPr>
                  </w:pP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5E2B9">
                  <w:pPr>
                    <w:pStyle w:val="25"/>
                    <w:bidi w:val="0"/>
                    <w:rPr>
                      <w:rFonts w:hint="default" w:ascii="Times New Roman" w:hAnsi="Times New Roman" w:cs="Times New Roman"/>
                    </w:rPr>
                  </w:pPr>
                  <w:r>
                    <w:rPr>
                      <w:rFonts w:hint="default" w:ascii="Times New Roman" w:hAnsi="Times New Roman" w:cs="Times New Roman"/>
                      <w:lang w:val="en-US" w:eastAsia="zh-CN"/>
                    </w:rPr>
                    <w:t>去除率（%）</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F020D">
                  <w:pPr>
                    <w:pStyle w:val="25"/>
                    <w:bidi w:val="0"/>
                    <w:rPr>
                      <w:rFonts w:hint="default" w:ascii="Times New Roman" w:hAnsi="Times New Roman" w:cs="Times New Roman"/>
                    </w:rPr>
                  </w:pPr>
                  <w:r>
                    <w:rPr>
                      <w:rFonts w:hint="default" w:ascii="Times New Roman" w:hAnsi="Times New Roman" w:cs="Times New Roman"/>
                      <w:lang w:val="en-US" w:eastAsia="zh-CN"/>
                    </w:rPr>
                    <w:t>25</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668F62">
                  <w:pPr>
                    <w:pStyle w:val="25"/>
                    <w:bidi w:val="0"/>
                    <w:rPr>
                      <w:rFonts w:hint="default" w:ascii="Times New Roman" w:hAnsi="Times New Roman" w:cs="Times New Roman"/>
                    </w:rPr>
                  </w:pPr>
                  <w:r>
                    <w:rPr>
                      <w:rFonts w:hint="default" w:ascii="Times New Roman" w:hAnsi="Times New Roman" w:cs="Times New Roman"/>
                      <w:lang w:val="en-US" w:eastAsia="zh-CN"/>
                    </w:rPr>
                    <w:t>25</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847C1">
                  <w:pPr>
                    <w:pStyle w:val="25"/>
                    <w:bidi w:val="0"/>
                    <w:rPr>
                      <w:rFonts w:hint="default" w:ascii="Times New Roman" w:hAnsi="Times New Roman" w:cs="Times New Roman"/>
                    </w:rPr>
                  </w:pPr>
                  <w:r>
                    <w:rPr>
                      <w:rFonts w:hint="default" w:ascii="Times New Roman" w:hAnsi="Times New Roman" w:cs="Times New Roman"/>
                      <w:lang w:val="en-US" w:eastAsia="zh-CN"/>
                    </w:rPr>
                    <w:t>50</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D1482F">
                  <w:pPr>
                    <w:pStyle w:val="25"/>
                    <w:bidi w:val="0"/>
                    <w:rPr>
                      <w:rFonts w:hint="default" w:ascii="Times New Roman" w:hAnsi="Times New Roman" w:cs="Times New Roman"/>
                    </w:rPr>
                  </w:pPr>
                  <w:r>
                    <w:rPr>
                      <w:rFonts w:hint="default" w:ascii="Times New Roman" w:hAnsi="Times New Roman" w:cs="Times New Roman"/>
                      <w:lang w:val="en-US" w:eastAsia="zh-CN"/>
                    </w:rPr>
                    <w:t>0</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8F449">
                  <w:pPr>
                    <w:pStyle w:val="25"/>
                    <w:bidi w:val="0"/>
                    <w:rPr>
                      <w:rFonts w:hint="default" w:ascii="Times New Roman" w:hAnsi="Times New Roman" w:cs="Times New Roman"/>
                    </w:rPr>
                  </w:pPr>
                  <w:r>
                    <w:rPr>
                      <w:rFonts w:hint="default" w:ascii="Times New Roman" w:hAnsi="Times New Roman" w:cs="Times New Roman"/>
                      <w:lang w:val="en-US" w:eastAsia="zh-CN"/>
                    </w:rPr>
                    <w:t>0</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A6D67">
                  <w:pPr>
                    <w:pStyle w:val="25"/>
                    <w:bidi w:val="0"/>
                    <w:rPr>
                      <w:rFonts w:hint="default" w:ascii="Times New Roman" w:hAnsi="Times New Roman" w:cs="Times New Roman"/>
                    </w:rPr>
                  </w:pPr>
                  <w:r>
                    <w:rPr>
                      <w:rFonts w:hint="default" w:ascii="Times New Roman" w:hAnsi="Times New Roman" w:cs="Times New Roman"/>
                      <w:lang w:val="en-US" w:eastAsia="zh-CN"/>
                    </w:rPr>
                    <w:t>8</w:t>
                  </w:r>
                </w:p>
              </w:tc>
            </w:tr>
            <w:tr w14:paraId="63F17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C67E4B">
                  <w:pPr>
                    <w:pStyle w:val="25"/>
                    <w:bidi w:val="0"/>
                    <w:rPr>
                      <w:rFonts w:hint="default" w:ascii="Times New Roman" w:hAnsi="Times New Roman" w:cs="Times New Roman"/>
                    </w:rPr>
                  </w:pP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46751">
                  <w:pPr>
                    <w:pStyle w:val="25"/>
                    <w:bidi w:val="0"/>
                    <w:rPr>
                      <w:rFonts w:hint="default" w:ascii="Times New Roman" w:hAnsi="Times New Roman" w:cs="Times New Roman"/>
                    </w:rPr>
                  </w:pPr>
                  <w:r>
                    <w:rPr>
                      <w:rFonts w:hint="default" w:ascii="Times New Roman" w:hAnsi="Times New Roman" w:cs="Times New Roman"/>
                      <w:lang w:val="en-US" w:eastAsia="zh-CN"/>
                    </w:rPr>
                    <w:t>去除污染物</w:t>
                  </w:r>
                </w:p>
              </w:tc>
              <w:tc>
                <w:tcPr>
                  <w:tcW w:w="2918"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FFE2BE8">
                  <w:pPr>
                    <w:pStyle w:val="25"/>
                    <w:bidi w:val="0"/>
                    <w:rPr>
                      <w:rFonts w:hint="default" w:ascii="Times New Roman" w:hAnsi="Times New Roman" w:cs="Times New Roman"/>
                    </w:rPr>
                  </w:pPr>
                  <w:r>
                    <w:rPr>
                      <w:rFonts w:hint="default" w:ascii="Times New Roman" w:hAnsi="Times New Roman" w:cs="Times New Roman"/>
                      <w:lang w:val="en-US" w:eastAsia="zh-CN"/>
                    </w:rPr>
                    <w:t>漂浮物、大颗粒悬浮物、无机砂粒</w:t>
                  </w:r>
                </w:p>
              </w:tc>
            </w:tr>
            <w:tr w14:paraId="75597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trPr>
              <w:tc>
                <w:tcPr>
                  <w:tcW w:w="125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F4916D">
                  <w:pPr>
                    <w:pStyle w:val="25"/>
                    <w:bidi w:val="0"/>
                    <w:rPr>
                      <w:rFonts w:hint="default" w:ascii="Times New Roman" w:hAnsi="Times New Roman" w:cs="Times New Roman"/>
                    </w:rPr>
                  </w:pPr>
                  <w:r>
                    <w:rPr>
                      <w:rFonts w:hint="default" w:ascii="Times New Roman" w:hAnsi="Times New Roman" w:cs="Times New Roman"/>
                      <w:lang w:val="en-US" w:eastAsia="zh-CN"/>
                    </w:rPr>
                    <w:t>生化处理单元（AAO生物池+二沉池）</w:t>
                  </w: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CD731D">
                  <w:pPr>
                    <w:pStyle w:val="25"/>
                    <w:bidi w:val="0"/>
                    <w:rPr>
                      <w:rFonts w:hint="default" w:ascii="Times New Roman" w:hAnsi="Times New Roman" w:cs="Times New Roman"/>
                    </w:rPr>
                  </w:pPr>
                  <w:r>
                    <w:rPr>
                      <w:rFonts w:hint="default" w:ascii="Times New Roman" w:hAnsi="Times New Roman" w:cs="Times New Roman"/>
                      <w:lang w:val="en-US" w:eastAsia="zh-CN"/>
                    </w:rPr>
                    <w:t>出水水质（mg/L）</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10133">
                  <w:pPr>
                    <w:pStyle w:val="25"/>
                    <w:bidi w:val="0"/>
                    <w:rPr>
                      <w:rFonts w:hint="default" w:ascii="Times New Roman" w:hAnsi="Times New Roman" w:cs="Times New Roman"/>
                    </w:rPr>
                  </w:pPr>
                  <w:r>
                    <w:rPr>
                      <w:rFonts w:hint="default" w:ascii="Times New Roman" w:hAnsi="Times New Roman" w:cs="Times New Roman"/>
                      <w:lang w:val="en-US" w:eastAsia="zh-CN"/>
                    </w:rPr>
                    <w:t>48</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54085">
                  <w:pPr>
                    <w:pStyle w:val="25"/>
                    <w:bidi w:val="0"/>
                    <w:rPr>
                      <w:rFonts w:hint="default" w:ascii="Times New Roman" w:hAnsi="Times New Roman" w:cs="Times New Roman"/>
                    </w:rPr>
                  </w:pPr>
                  <w:r>
                    <w:rPr>
                      <w:rFonts w:hint="default" w:ascii="Times New Roman" w:hAnsi="Times New Roman" w:cs="Times New Roman"/>
                      <w:lang w:val="en-US" w:eastAsia="zh-CN"/>
                    </w:rPr>
                    <w:t>21</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DD6F9">
                  <w:pPr>
                    <w:pStyle w:val="25"/>
                    <w:bidi w:val="0"/>
                    <w:rPr>
                      <w:rFonts w:hint="default" w:ascii="Times New Roman" w:hAnsi="Times New Roman" w:cs="Times New Roman"/>
                    </w:rPr>
                  </w:pPr>
                  <w:r>
                    <w:rPr>
                      <w:rFonts w:hint="default" w:ascii="Times New Roman" w:hAnsi="Times New Roman" w:cs="Times New Roman"/>
                      <w:lang w:val="en-US" w:eastAsia="zh-CN"/>
                    </w:rPr>
                    <w:t>15</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F3779">
                  <w:pPr>
                    <w:pStyle w:val="25"/>
                    <w:bidi w:val="0"/>
                    <w:rPr>
                      <w:rFonts w:hint="default" w:ascii="Times New Roman" w:hAnsi="Times New Roman" w:cs="Times New Roman"/>
                    </w:rPr>
                  </w:pPr>
                  <w:r>
                    <w:rPr>
                      <w:rFonts w:hint="default" w:ascii="Times New Roman" w:hAnsi="Times New Roman" w:cs="Times New Roman"/>
                      <w:lang w:val="en-US" w:eastAsia="zh-CN"/>
                    </w:rPr>
                    <w:t>10.5</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C1C68">
                  <w:pPr>
                    <w:pStyle w:val="25"/>
                    <w:bidi w:val="0"/>
                    <w:rPr>
                      <w:rFonts w:hint="default" w:ascii="Times New Roman" w:hAnsi="Times New Roman" w:cs="Times New Roman"/>
                    </w:rPr>
                  </w:pPr>
                  <w:r>
                    <w:rPr>
                      <w:rFonts w:hint="default" w:ascii="Times New Roman" w:hAnsi="Times New Roman" w:cs="Times New Roman"/>
                      <w:lang w:val="en-US" w:eastAsia="zh-CN"/>
                    </w:rPr>
                    <w:t>16</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7DB865">
                  <w:pPr>
                    <w:pStyle w:val="25"/>
                    <w:bidi w:val="0"/>
                    <w:rPr>
                      <w:rFonts w:hint="default" w:ascii="Times New Roman" w:hAnsi="Times New Roman" w:cs="Times New Roman"/>
                    </w:rPr>
                  </w:pPr>
                  <w:r>
                    <w:rPr>
                      <w:rFonts w:hint="default" w:ascii="Times New Roman" w:hAnsi="Times New Roman" w:cs="Times New Roman"/>
                      <w:lang w:val="en-US" w:eastAsia="zh-CN"/>
                    </w:rPr>
                    <w:t>1.104</w:t>
                  </w:r>
                </w:p>
              </w:tc>
            </w:tr>
            <w:tr w14:paraId="6A469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4580F7">
                  <w:pPr>
                    <w:pStyle w:val="25"/>
                    <w:bidi w:val="0"/>
                    <w:rPr>
                      <w:rFonts w:hint="default" w:ascii="Times New Roman" w:hAnsi="Times New Roman" w:cs="Times New Roman"/>
                    </w:rPr>
                  </w:pP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2BF0D0">
                  <w:pPr>
                    <w:pStyle w:val="25"/>
                    <w:bidi w:val="0"/>
                    <w:rPr>
                      <w:rFonts w:hint="default" w:ascii="Times New Roman" w:hAnsi="Times New Roman" w:cs="Times New Roman"/>
                    </w:rPr>
                  </w:pPr>
                  <w:r>
                    <w:rPr>
                      <w:rFonts w:hint="default" w:ascii="Times New Roman" w:hAnsi="Times New Roman" w:cs="Times New Roman"/>
                      <w:lang w:val="en-US" w:eastAsia="zh-CN"/>
                    </w:rPr>
                    <w:t>去除率（%）</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2D650">
                  <w:pPr>
                    <w:pStyle w:val="25"/>
                    <w:bidi w:val="0"/>
                    <w:rPr>
                      <w:rFonts w:hint="default" w:ascii="Times New Roman" w:hAnsi="Times New Roman" w:cs="Times New Roman"/>
                    </w:rPr>
                  </w:pPr>
                  <w:r>
                    <w:rPr>
                      <w:rFonts w:hint="default" w:ascii="Times New Roman" w:hAnsi="Times New Roman" w:cs="Times New Roman"/>
                      <w:lang w:val="en-US" w:eastAsia="zh-CN"/>
                    </w:rPr>
                    <w:t>90</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A4B15B">
                  <w:pPr>
                    <w:pStyle w:val="25"/>
                    <w:bidi w:val="0"/>
                    <w:rPr>
                      <w:rFonts w:hint="default" w:ascii="Times New Roman" w:hAnsi="Times New Roman" w:cs="Times New Roman"/>
                    </w:rPr>
                  </w:pPr>
                  <w:r>
                    <w:rPr>
                      <w:rFonts w:hint="default" w:ascii="Times New Roman" w:hAnsi="Times New Roman" w:cs="Times New Roman"/>
                      <w:lang w:val="en-US" w:eastAsia="zh-CN"/>
                    </w:rPr>
                    <w:t>90</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FF4786">
                  <w:pPr>
                    <w:pStyle w:val="25"/>
                    <w:bidi w:val="0"/>
                    <w:rPr>
                      <w:rFonts w:hint="default" w:ascii="Times New Roman" w:hAnsi="Times New Roman" w:cs="Times New Roman"/>
                    </w:rPr>
                  </w:pPr>
                  <w:r>
                    <w:rPr>
                      <w:rFonts w:hint="default" w:ascii="Times New Roman" w:hAnsi="Times New Roman" w:cs="Times New Roman"/>
                      <w:lang w:val="en-US" w:eastAsia="zh-CN"/>
                    </w:rPr>
                    <w:t>80</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F7E3FF">
                  <w:pPr>
                    <w:pStyle w:val="25"/>
                    <w:bidi w:val="0"/>
                    <w:rPr>
                      <w:rFonts w:hint="default" w:ascii="Times New Roman" w:hAnsi="Times New Roman" w:cs="Times New Roman"/>
                    </w:rPr>
                  </w:pPr>
                  <w:r>
                    <w:rPr>
                      <w:rFonts w:hint="default" w:ascii="Times New Roman" w:hAnsi="Times New Roman" w:cs="Times New Roman"/>
                      <w:lang w:val="en-US" w:eastAsia="zh-CN"/>
                    </w:rPr>
                    <w:t>85</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61B779">
                  <w:pPr>
                    <w:pStyle w:val="25"/>
                    <w:bidi w:val="0"/>
                    <w:rPr>
                      <w:rFonts w:hint="default" w:ascii="Times New Roman" w:hAnsi="Times New Roman" w:cs="Times New Roman"/>
                    </w:rPr>
                  </w:pPr>
                  <w:r>
                    <w:rPr>
                      <w:rFonts w:hint="default" w:ascii="Times New Roman" w:hAnsi="Times New Roman" w:cs="Times New Roman"/>
                      <w:lang w:val="en-US" w:eastAsia="zh-CN"/>
                    </w:rPr>
                    <w:t>80</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5A239">
                  <w:pPr>
                    <w:pStyle w:val="25"/>
                    <w:bidi w:val="0"/>
                    <w:rPr>
                      <w:rFonts w:hint="default" w:ascii="Times New Roman" w:hAnsi="Times New Roman" w:cs="Times New Roman"/>
                    </w:rPr>
                  </w:pPr>
                  <w:r>
                    <w:rPr>
                      <w:rFonts w:hint="default" w:ascii="Times New Roman" w:hAnsi="Times New Roman" w:cs="Times New Roman"/>
                      <w:lang w:val="en-US" w:eastAsia="zh-CN"/>
                    </w:rPr>
                    <w:t>85</w:t>
                  </w:r>
                </w:p>
              </w:tc>
            </w:tr>
            <w:tr w14:paraId="6274E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3CD33A">
                  <w:pPr>
                    <w:pStyle w:val="25"/>
                    <w:bidi w:val="0"/>
                    <w:rPr>
                      <w:rFonts w:hint="default" w:ascii="Times New Roman" w:hAnsi="Times New Roman" w:cs="Times New Roman"/>
                    </w:rPr>
                  </w:pP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161652">
                  <w:pPr>
                    <w:pStyle w:val="25"/>
                    <w:bidi w:val="0"/>
                    <w:rPr>
                      <w:rFonts w:hint="default" w:ascii="Times New Roman" w:hAnsi="Times New Roman" w:cs="Times New Roman"/>
                    </w:rPr>
                  </w:pPr>
                  <w:r>
                    <w:rPr>
                      <w:rFonts w:hint="default" w:ascii="Times New Roman" w:hAnsi="Times New Roman" w:cs="Times New Roman"/>
                      <w:lang w:val="en-US" w:eastAsia="zh-CN"/>
                    </w:rPr>
                    <w:t>去除污染物</w:t>
                  </w:r>
                </w:p>
              </w:tc>
              <w:tc>
                <w:tcPr>
                  <w:tcW w:w="2918"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BB03358">
                  <w:pPr>
                    <w:pStyle w:val="25"/>
                    <w:bidi w:val="0"/>
                    <w:rPr>
                      <w:rFonts w:hint="default" w:ascii="Times New Roman" w:hAnsi="Times New Roman" w:cs="Times New Roman"/>
                    </w:rPr>
                  </w:pPr>
                  <w:r>
                    <w:rPr>
                      <w:rFonts w:hint="default" w:ascii="Times New Roman" w:hAnsi="Times New Roman" w:cs="Times New Roman"/>
                      <w:lang w:val="en-US" w:eastAsia="zh-CN"/>
                    </w:rPr>
                    <w:t>溶解性有机物、NH3-N、TN、TP（生物脱氮除磷）</w:t>
                  </w:r>
                </w:p>
              </w:tc>
            </w:tr>
            <w:tr w14:paraId="0747D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125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C6B326">
                  <w:pPr>
                    <w:pStyle w:val="25"/>
                    <w:bidi w:val="0"/>
                    <w:rPr>
                      <w:rFonts w:hint="default" w:ascii="Times New Roman" w:hAnsi="Times New Roman" w:cs="Times New Roman"/>
                    </w:rPr>
                  </w:pPr>
                  <w:r>
                    <w:rPr>
                      <w:rFonts w:hint="default" w:ascii="Times New Roman" w:hAnsi="Times New Roman" w:cs="Times New Roman"/>
                      <w:lang w:val="en-US" w:eastAsia="zh-CN"/>
                    </w:rPr>
                    <w:t>深度处理单元（高效沉淀池+精密过滤）</w:t>
                  </w: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636ADE">
                  <w:pPr>
                    <w:pStyle w:val="25"/>
                    <w:bidi w:val="0"/>
                    <w:rPr>
                      <w:rFonts w:hint="default" w:ascii="Times New Roman" w:hAnsi="Times New Roman" w:cs="Times New Roman"/>
                    </w:rPr>
                  </w:pPr>
                  <w:r>
                    <w:rPr>
                      <w:rFonts w:hint="default" w:ascii="Times New Roman" w:hAnsi="Times New Roman" w:cs="Times New Roman"/>
                      <w:lang w:val="en-US" w:eastAsia="zh-CN"/>
                    </w:rPr>
                    <w:t>出水水质（mg/L）</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47F417">
                  <w:pPr>
                    <w:pStyle w:val="25"/>
                    <w:bidi w:val="0"/>
                    <w:rPr>
                      <w:rFonts w:hint="default" w:ascii="Times New Roman" w:hAnsi="Times New Roman" w:cs="Times New Roman"/>
                    </w:rPr>
                  </w:pPr>
                  <w:r>
                    <w:rPr>
                      <w:rFonts w:hint="default" w:ascii="Times New Roman" w:hAnsi="Times New Roman" w:cs="Times New Roman"/>
                      <w:lang w:val="en-US" w:eastAsia="zh-CN"/>
                    </w:rPr>
                    <w:t>4.8</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1FF5EB">
                  <w:pPr>
                    <w:pStyle w:val="25"/>
                    <w:bidi w:val="0"/>
                    <w:rPr>
                      <w:rFonts w:hint="default" w:ascii="Times New Roman" w:hAnsi="Times New Roman" w:cs="Times New Roman"/>
                    </w:rPr>
                  </w:pPr>
                  <w:r>
                    <w:rPr>
                      <w:rFonts w:hint="default" w:ascii="Times New Roman" w:hAnsi="Times New Roman" w:cs="Times New Roman"/>
                      <w:lang w:val="en-US" w:eastAsia="zh-CN"/>
                    </w:rPr>
                    <w:t>2.1</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DE5509">
                  <w:pPr>
                    <w:pStyle w:val="25"/>
                    <w:bidi w:val="0"/>
                    <w:rPr>
                      <w:rFonts w:hint="default" w:ascii="Times New Roman" w:hAnsi="Times New Roman" w:cs="Times New Roman"/>
                    </w:rPr>
                  </w:pPr>
                  <w:r>
                    <w:rPr>
                      <w:rFonts w:hint="default" w:ascii="Times New Roman" w:hAnsi="Times New Roman" w:cs="Times New Roman"/>
                      <w:lang w:val="en-US" w:eastAsia="zh-CN"/>
                    </w:rPr>
                    <w:t>0.8</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4CEBD6">
                  <w:pPr>
                    <w:pStyle w:val="25"/>
                    <w:bidi w:val="0"/>
                    <w:rPr>
                      <w:rFonts w:hint="default" w:ascii="Times New Roman" w:hAnsi="Times New Roman" w:cs="Times New Roman"/>
                    </w:rPr>
                  </w:pPr>
                  <w:r>
                    <w:rPr>
                      <w:rFonts w:hint="default" w:ascii="Times New Roman" w:hAnsi="Times New Roman" w:cs="Times New Roman"/>
                      <w:lang w:val="en-US" w:eastAsia="zh-CN"/>
                    </w:rPr>
                    <w:t>2.1</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3293A">
                  <w:pPr>
                    <w:pStyle w:val="25"/>
                    <w:bidi w:val="0"/>
                    <w:rPr>
                      <w:rFonts w:hint="default" w:ascii="Times New Roman" w:hAnsi="Times New Roman" w:cs="Times New Roman"/>
                    </w:rPr>
                  </w:pPr>
                  <w:r>
                    <w:rPr>
                      <w:rFonts w:hint="default" w:ascii="Times New Roman" w:hAnsi="Times New Roman" w:cs="Times New Roman"/>
                      <w:lang w:val="en-US" w:eastAsia="zh-CN"/>
                    </w:rPr>
                    <w:t>3.2</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A45D1C">
                  <w:pPr>
                    <w:pStyle w:val="25"/>
                    <w:bidi w:val="0"/>
                    <w:rPr>
                      <w:rFonts w:hint="default" w:ascii="Times New Roman" w:hAnsi="Times New Roman" w:cs="Times New Roman"/>
                    </w:rPr>
                  </w:pPr>
                  <w:r>
                    <w:rPr>
                      <w:rFonts w:hint="default" w:ascii="Times New Roman" w:hAnsi="Times New Roman" w:cs="Times New Roman"/>
                      <w:lang w:val="en-US" w:eastAsia="zh-CN"/>
                    </w:rPr>
                    <w:t>0.2</w:t>
                  </w:r>
                </w:p>
              </w:tc>
            </w:tr>
            <w:tr w14:paraId="5A515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3A07E0">
                  <w:pPr>
                    <w:pStyle w:val="25"/>
                    <w:bidi w:val="0"/>
                    <w:rPr>
                      <w:rFonts w:hint="default" w:ascii="Times New Roman" w:hAnsi="Times New Roman" w:cs="Times New Roman"/>
                    </w:rPr>
                  </w:pP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84B45">
                  <w:pPr>
                    <w:pStyle w:val="25"/>
                    <w:bidi w:val="0"/>
                    <w:rPr>
                      <w:rFonts w:hint="default" w:ascii="Times New Roman" w:hAnsi="Times New Roman" w:cs="Times New Roman"/>
                    </w:rPr>
                  </w:pPr>
                  <w:r>
                    <w:rPr>
                      <w:rFonts w:hint="default" w:ascii="Times New Roman" w:hAnsi="Times New Roman" w:cs="Times New Roman"/>
                      <w:lang w:val="en-US" w:eastAsia="zh-CN"/>
                    </w:rPr>
                    <w:t>去除率（%）</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29542">
                  <w:pPr>
                    <w:pStyle w:val="25"/>
                    <w:bidi w:val="0"/>
                    <w:rPr>
                      <w:rFonts w:hint="default" w:ascii="Times New Roman" w:hAnsi="Times New Roman" w:cs="Times New Roman"/>
                    </w:rPr>
                  </w:pPr>
                  <w:r>
                    <w:rPr>
                      <w:rFonts w:hint="default" w:ascii="Times New Roman" w:hAnsi="Times New Roman" w:cs="Times New Roman"/>
                      <w:lang w:val="en-US" w:eastAsia="zh-CN"/>
                    </w:rPr>
                    <w:t>90</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6B7B5">
                  <w:pPr>
                    <w:pStyle w:val="25"/>
                    <w:bidi w:val="0"/>
                    <w:rPr>
                      <w:rFonts w:hint="default" w:ascii="Times New Roman" w:hAnsi="Times New Roman" w:cs="Times New Roman"/>
                    </w:rPr>
                  </w:pPr>
                  <w:r>
                    <w:rPr>
                      <w:rFonts w:hint="default" w:ascii="Times New Roman" w:hAnsi="Times New Roman" w:cs="Times New Roman"/>
                      <w:lang w:val="en-US" w:eastAsia="zh-CN"/>
                    </w:rPr>
                    <w:t>90</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7697BE">
                  <w:pPr>
                    <w:pStyle w:val="25"/>
                    <w:bidi w:val="0"/>
                    <w:rPr>
                      <w:rFonts w:hint="default" w:ascii="Times New Roman" w:hAnsi="Times New Roman" w:cs="Times New Roman"/>
                    </w:rPr>
                  </w:pPr>
                  <w:r>
                    <w:rPr>
                      <w:rFonts w:hint="default" w:ascii="Times New Roman" w:hAnsi="Times New Roman" w:cs="Times New Roman"/>
                      <w:lang w:val="en-US" w:eastAsia="zh-CN"/>
                    </w:rPr>
                    <w:t>95</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7F5D4F">
                  <w:pPr>
                    <w:pStyle w:val="25"/>
                    <w:bidi w:val="0"/>
                    <w:rPr>
                      <w:rFonts w:hint="default" w:ascii="Times New Roman" w:hAnsi="Times New Roman" w:cs="Times New Roman"/>
                    </w:rPr>
                  </w:pPr>
                  <w:r>
                    <w:rPr>
                      <w:rFonts w:hint="default" w:ascii="Times New Roman" w:hAnsi="Times New Roman" w:cs="Times New Roman"/>
                      <w:lang w:val="en-US" w:eastAsia="zh-CN"/>
                    </w:rPr>
                    <w:t>80</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8C3A4">
                  <w:pPr>
                    <w:pStyle w:val="25"/>
                    <w:bidi w:val="0"/>
                    <w:rPr>
                      <w:rFonts w:hint="default" w:ascii="Times New Roman" w:hAnsi="Times New Roman" w:cs="Times New Roman"/>
                    </w:rPr>
                  </w:pPr>
                  <w:r>
                    <w:rPr>
                      <w:rFonts w:hint="default" w:ascii="Times New Roman" w:hAnsi="Times New Roman" w:cs="Times New Roman"/>
                      <w:lang w:val="en-US" w:eastAsia="zh-CN"/>
                    </w:rPr>
                    <w:t>80</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BFF712">
                  <w:pPr>
                    <w:pStyle w:val="25"/>
                    <w:bidi w:val="0"/>
                    <w:rPr>
                      <w:rFonts w:hint="default" w:ascii="Times New Roman" w:hAnsi="Times New Roman" w:cs="Times New Roman"/>
                    </w:rPr>
                  </w:pPr>
                  <w:r>
                    <w:rPr>
                      <w:rFonts w:hint="default" w:ascii="Times New Roman" w:hAnsi="Times New Roman" w:cs="Times New Roman"/>
                      <w:lang w:val="en-US" w:eastAsia="zh-CN"/>
                    </w:rPr>
                    <w:t>80</w:t>
                  </w:r>
                </w:p>
              </w:tc>
            </w:tr>
            <w:tr w14:paraId="29A28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AB36A7">
                  <w:pPr>
                    <w:pStyle w:val="25"/>
                    <w:bidi w:val="0"/>
                    <w:rPr>
                      <w:rFonts w:hint="default" w:ascii="Times New Roman" w:hAnsi="Times New Roman" w:cs="Times New Roman"/>
                    </w:rPr>
                  </w:pP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655035">
                  <w:pPr>
                    <w:pStyle w:val="25"/>
                    <w:bidi w:val="0"/>
                    <w:rPr>
                      <w:rFonts w:hint="default" w:ascii="Times New Roman" w:hAnsi="Times New Roman" w:cs="Times New Roman"/>
                    </w:rPr>
                  </w:pPr>
                  <w:r>
                    <w:rPr>
                      <w:rFonts w:hint="default" w:ascii="Times New Roman" w:hAnsi="Times New Roman" w:cs="Times New Roman"/>
                      <w:lang w:val="en-US" w:eastAsia="zh-CN"/>
                    </w:rPr>
                    <w:t>去除污染物</w:t>
                  </w:r>
                </w:p>
              </w:tc>
              <w:tc>
                <w:tcPr>
                  <w:tcW w:w="2918"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29865D6">
                  <w:pPr>
                    <w:pStyle w:val="25"/>
                    <w:bidi w:val="0"/>
                    <w:rPr>
                      <w:rFonts w:hint="default" w:ascii="Times New Roman" w:hAnsi="Times New Roman" w:cs="Times New Roman"/>
                    </w:rPr>
                  </w:pPr>
                  <w:r>
                    <w:rPr>
                      <w:rFonts w:hint="default" w:ascii="Times New Roman" w:hAnsi="Times New Roman" w:cs="Times New Roman"/>
                      <w:lang w:val="en-US" w:eastAsia="zh-CN"/>
                    </w:rPr>
                    <w:t>SS、TP、残留COD（混凝沉淀+过滤）</w:t>
                  </w:r>
                </w:p>
              </w:tc>
            </w:tr>
            <w:tr w14:paraId="169A1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trPr>
              <w:tc>
                <w:tcPr>
                  <w:tcW w:w="125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DF7B23">
                  <w:pPr>
                    <w:pStyle w:val="25"/>
                    <w:bidi w:val="0"/>
                    <w:rPr>
                      <w:rFonts w:hint="default" w:ascii="Times New Roman" w:hAnsi="Times New Roman" w:cs="Times New Roman"/>
                    </w:rPr>
                  </w:pPr>
                  <w:r>
                    <w:rPr>
                      <w:rFonts w:hint="default" w:ascii="Times New Roman" w:hAnsi="Times New Roman" w:cs="Times New Roman"/>
                      <w:lang w:val="en-US" w:eastAsia="zh-CN"/>
                    </w:rPr>
                    <w:t>消毒单元（次氯酸钠消毒）</w:t>
                  </w: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E6EAA4">
                  <w:pPr>
                    <w:pStyle w:val="25"/>
                    <w:bidi w:val="0"/>
                    <w:rPr>
                      <w:rFonts w:hint="default" w:ascii="Times New Roman" w:hAnsi="Times New Roman" w:cs="Times New Roman"/>
                    </w:rPr>
                  </w:pPr>
                  <w:r>
                    <w:rPr>
                      <w:rFonts w:hint="default" w:ascii="Times New Roman" w:hAnsi="Times New Roman" w:cs="Times New Roman"/>
                      <w:lang w:val="en-US" w:eastAsia="zh-CN"/>
                    </w:rPr>
                    <w:t>出水水质（mg/L）</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A75981">
                  <w:pPr>
                    <w:pStyle w:val="25"/>
                    <w:bidi w:val="0"/>
                    <w:rPr>
                      <w:rFonts w:hint="default" w:ascii="Times New Roman" w:hAnsi="Times New Roman" w:cs="Times New Roman"/>
                    </w:rPr>
                  </w:pPr>
                  <w:r>
                    <w:rPr>
                      <w:rFonts w:hint="default" w:ascii="Times New Roman" w:hAnsi="Times New Roman" w:cs="Times New Roman"/>
                      <w:lang w:val="en-US" w:eastAsia="zh-CN"/>
                    </w:rPr>
                    <w:t>4.3</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354AB">
                  <w:pPr>
                    <w:pStyle w:val="25"/>
                    <w:bidi w:val="0"/>
                    <w:rPr>
                      <w:rFonts w:hint="default" w:ascii="Times New Roman" w:hAnsi="Times New Roman" w:cs="Times New Roman"/>
                    </w:rPr>
                  </w:pPr>
                  <w:r>
                    <w:rPr>
                      <w:rFonts w:hint="default" w:ascii="Times New Roman" w:hAnsi="Times New Roman" w:cs="Times New Roman"/>
                      <w:lang w:val="en-US" w:eastAsia="zh-CN"/>
                    </w:rPr>
                    <w:t>1.9</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4C0AB">
                  <w:pPr>
                    <w:pStyle w:val="25"/>
                    <w:bidi w:val="0"/>
                    <w:rPr>
                      <w:rFonts w:hint="default" w:ascii="Times New Roman" w:hAnsi="Times New Roman" w:cs="Times New Roman"/>
                    </w:rPr>
                  </w:pPr>
                  <w:r>
                    <w:rPr>
                      <w:rFonts w:hint="default" w:ascii="Times New Roman" w:hAnsi="Times New Roman" w:cs="Times New Roman"/>
                      <w:lang w:val="en-US" w:eastAsia="zh-CN"/>
                    </w:rPr>
                    <w:t>0.8</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7D6CC">
                  <w:pPr>
                    <w:pStyle w:val="25"/>
                    <w:bidi w:val="0"/>
                    <w:rPr>
                      <w:rFonts w:hint="default" w:ascii="Times New Roman" w:hAnsi="Times New Roman" w:cs="Times New Roman"/>
                    </w:rPr>
                  </w:pPr>
                  <w:r>
                    <w:rPr>
                      <w:rFonts w:hint="default" w:ascii="Times New Roman" w:hAnsi="Times New Roman" w:cs="Times New Roman"/>
                      <w:lang w:val="en-US" w:eastAsia="zh-CN"/>
                    </w:rPr>
                    <w:t>0.4</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95CB2A">
                  <w:pPr>
                    <w:pStyle w:val="25"/>
                    <w:bidi w:val="0"/>
                    <w:rPr>
                      <w:rFonts w:hint="default" w:ascii="Times New Roman" w:hAnsi="Times New Roman" w:cs="Times New Roman"/>
                    </w:rPr>
                  </w:pPr>
                  <w:r>
                    <w:rPr>
                      <w:rFonts w:hint="default" w:ascii="Times New Roman" w:hAnsi="Times New Roman" w:cs="Times New Roman"/>
                      <w:lang w:val="en-US" w:eastAsia="zh-CN"/>
                    </w:rPr>
                    <w:t>0.6</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08AB39">
                  <w:pPr>
                    <w:pStyle w:val="25"/>
                    <w:bidi w:val="0"/>
                    <w:rPr>
                      <w:rFonts w:hint="default" w:ascii="Times New Roman" w:hAnsi="Times New Roman" w:cs="Times New Roman"/>
                    </w:rPr>
                  </w:pPr>
                  <w:r>
                    <w:rPr>
                      <w:rFonts w:hint="default" w:ascii="Times New Roman" w:hAnsi="Times New Roman" w:cs="Times New Roman"/>
                      <w:lang w:val="en-US" w:eastAsia="zh-CN"/>
                    </w:rPr>
                    <w:t>0.2</w:t>
                  </w:r>
                </w:p>
              </w:tc>
            </w:tr>
            <w:tr w14:paraId="5C86C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085F49">
                  <w:pPr>
                    <w:pStyle w:val="25"/>
                    <w:bidi w:val="0"/>
                    <w:rPr>
                      <w:rFonts w:hint="default" w:ascii="Times New Roman" w:hAnsi="Times New Roman" w:cs="Times New Roman"/>
                    </w:rPr>
                  </w:pP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29794B">
                  <w:pPr>
                    <w:pStyle w:val="25"/>
                    <w:bidi w:val="0"/>
                    <w:rPr>
                      <w:rFonts w:hint="default" w:ascii="Times New Roman" w:hAnsi="Times New Roman" w:cs="Times New Roman"/>
                    </w:rPr>
                  </w:pPr>
                  <w:r>
                    <w:rPr>
                      <w:rFonts w:hint="default" w:ascii="Times New Roman" w:hAnsi="Times New Roman" w:cs="Times New Roman"/>
                      <w:lang w:val="en-US" w:eastAsia="zh-CN"/>
                    </w:rPr>
                    <w:t>去除率（%）</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16BB38">
                  <w:pPr>
                    <w:pStyle w:val="25"/>
                    <w:bidi w:val="0"/>
                    <w:rPr>
                      <w:rFonts w:hint="default" w:ascii="Times New Roman" w:hAnsi="Times New Roman" w:cs="Times New Roman"/>
                    </w:rPr>
                  </w:pPr>
                  <w:r>
                    <w:rPr>
                      <w:rFonts w:hint="default" w:ascii="Times New Roman" w:hAnsi="Times New Roman" w:cs="Times New Roman"/>
                      <w:lang w:val="en-US" w:eastAsia="zh-CN"/>
                    </w:rPr>
                    <w:t>10</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06A76">
                  <w:pPr>
                    <w:pStyle w:val="25"/>
                    <w:bidi w:val="0"/>
                    <w:rPr>
                      <w:rFonts w:hint="default" w:ascii="Times New Roman" w:hAnsi="Times New Roman" w:cs="Times New Roman"/>
                    </w:rPr>
                  </w:pPr>
                  <w:r>
                    <w:rPr>
                      <w:rFonts w:hint="default" w:ascii="Times New Roman" w:hAnsi="Times New Roman" w:cs="Times New Roman"/>
                      <w:lang w:val="en-US" w:eastAsia="zh-CN"/>
                    </w:rPr>
                    <w:t>10</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78C71C">
                  <w:pPr>
                    <w:pStyle w:val="25"/>
                    <w:bidi w:val="0"/>
                    <w:rPr>
                      <w:rFonts w:hint="default" w:ascii="Times New Roman" w:hAnsi="Times New Roman" w:cs="Times New Roman"/>
                    </w:rPr>
                  </w:pPr>
                  <w:r>
                    <w:rPr>
                      <w:rFonts w:hint="default" w:ascii="Times New Roman" w:hAnsi="Times New Roman" w:cs="Times New Roman"/>
                      <w:lang w:val="en-US" w:eastAsia="zh-CN"/>
                    </w:rPr>
                    <w:t>0</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B0F22">
                  <w:pPr>
                    <w:pStyle w:val="25"/>
                    <w:bidi w:val="0"/>
                    <w:rPr>
                      <w:rFonts w:hint="default" w:ascii="Times New Roman" w:hAnsi="Times New Roman" w:cs="Times New Roman"/>
                    </w:rPr>
                  </w:pPr>
                  <w:r>
                    <w:rPr>
                      <w:rFonts w:hint="default" w:ascii="Times New Roman" w:hAnsi="Times New Roman" w:cs="Times New Roman"/>
                      <w:lang w:val="en-US" w:eastAsia="zh-CN"/>
                    </w:rPr>
                    <w:t>80</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0D7E3">
                  <w:pPr>
                    <w:pStyle w:val="25"/>
                    <w:bidi w:val="0"/>
                    <w:rPr>
                      <w:rFonts w:hint="default" w:ascii="Times New Roman" w:hAnsi="Times New Roman" w:cs="Times New Roman"/>
                    </w:rPr>
                  </w:pPr>
                  <w:r>
                    <w:rPr>
                      <w:rFonts w:hint="default" w:ascii="Times New Roman" w:hAnsi="Times New Roman" w:cs="Times New Roman"/>
                      <w:lang w:val="en-US" w:eastAsia="zh-CN"/>
                    </w:rPr>
                    <w:t>80</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71E86">
                  <w:pPr>
                    <w:pStyle w:val="25"/>
                    <w:bidi w:val="0"/>
                    <w:rPr>
                      <w:rFonts w:hint="default" w:ascii="Times New Roman" w:hAnsi="Times New Roman" w:cs="Times New Roman"/>
                    </w:rPr>
                  </w:pPr>
                  <w:r>
                    <w:rPr>
                      <w:rFonts w:hint="default" w:ascii="Times New Roman" w:hAnsi="Times New Roman" w:cs="Times New Roman"/>
                      <w:lang w:val="en-US" w:eastAsia="zh-CN"/>
                    </w:rPr>
                    <w:t>0</w:t>
                  </w:r>
                </w:p>
              </w:tc>
            </w:tr>
            <w:tr w14:paraId="7F88C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1CA2A9">
                  <w:pPr>
                    <w:pStyle w:val="25"/>
                    <w:bidi w:val="0"/>
                    <w:rPr>
                      <w:rFonts w:hint="default" w:ascii="Times New Roman" w:hAnsi="Times New Roman" w:cs="Times New Roman"/>
                    </w:rPr>
                  </w:pP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9F778">
                  <w:pPr>
                    <w:pStyle w:val="25"/>
                    <w:bidi w:val="0"/>
                    <w:rPr>
                      <w:rFonts w:hint="default" w:ascii="Times New Roman" w:hAnsi="Times New Roman" w:cs="Times New Roman"/>
                    </w:rPr>
                  </w:pPr>
                  <w:r>
                    <w:rPr>
                      <w:rFonts w:hint="default" w:ascii="Times New Roman" w:hAnsi="Times New Roman" w:cs="Times New Roman"/>
                      <w:lang w:val="en-US" w:eastAsia="zh-CN"/>
                    </w:rPr>
                    <w:t>去除污染物</w:t>
                  </w:r>
                </w:p>
              </w:tc>
              <w:tc>
                <w:tcPr>
                  <w:tcW w:w="2918"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1CE4270">
                  <w:pPr>
                    <w:pStyle w:val="25"/>
                    <w:bidi w:val="0"/>
                    <w:rPr>
                      <w:rFonts w:hint="default" w:ascii="Times New Roman" w:hAnsi="Times New Roman" w:cs="Times New Roman"/>
                    </w:rPr>
                  </w:pPr>
                  <w:r>
                    <w:rPr>
                      <w:rFonts w:hint="default" w:ascii="Times New Roman" w:hAnsi="Times New Roman" w:cs="Times New Roman"/>
                      <w:lang w:val="en-US" w:eastAsia="zh-CN"/>
                    </w:rPr>
                    <w:t>粪大肠菌群等病原体微生物</w:t>
                  </w:r>
                </w:p>
              </w:tc>
            </w:tr>
            <w:tr w14:paraId="4F4D6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trPr>
              <w:tc>
                <w:tcPr>
                  <w:tcW w:w="1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A513B4">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出水水质（mg/L）</w:t>
                  </w: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7DE868">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819C32">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4.3</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FD6D88">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1.9</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ABBB99">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0.8</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191F93">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0.4</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43D9B1">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0.6</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49092">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0.2</w:t>
                  </w:r>
                </w:p>
              </w:tc>
            </w:tr>
            <w:tr w14:paraId="79039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1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FB93EC">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设计出水水质（mg/L）</w:t>
                  </w: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D3911C">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DBAE31">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≤50</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2E5DCB">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≤10</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316DD">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≤10</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5A754">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7A954">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≤15</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FC9BC1">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≤0.5</w:t>
                  </w:r>
                </w:p>
              </w:tc>
            </w:tr>
            <w:tr w14:paraId="75FFF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1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8AFAE9">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GB18918-2002一级A标准（mg/L）</w:t>
                  </w: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4238E1">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04BF6">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≤50</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ADAB38">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≤10</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EDA8A6">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≤10</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7967AA">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≤5（8）</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1BDE69">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≤15</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4C6A9A">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≤0.5</w:t>
                  </w:r>
                </w:p>
              </w:tc>
            </w:tr>
            <w:tr w14:paraId="2177C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trPr>
              <w:tc>
                <w:tcPr>
                  <w:tcW w:w="1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F58929">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《炼油化工企业污水回用管理导则》中初级再生水</w:t>
                  </w: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392A6">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7EF3A7">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eastAsia" w:ascii="Times New Roman" w:hAnsi="Times New Roman" w:cs="Times New Roman"/>
                      <w:lang w:val="en-US" w:eastAsia="zh-CN"/>
                    </w:rPr>
                    <w:t>40</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732A55">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eastAsia" w:ascii="Times New Roman" w:hAnsi="Times New Roman" w:cs="Times New Roman"/>
                      <w:lang w:val="en-US" w:eastAsia="zh-CN"/>
                    </w:rPr>
                    <w:t>5</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9D201">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eastAsia" w:ascii="Times New Roman" w:hAnsi="Times New Roman" w:cs="Times New Roman"/>
                      <w:lang w:val="en-US" w:eastAsia="zh-CN"/>
                    </w:rPr>
                    <w:t>3</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E686D">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F38B3E">
                  <w:pPr>
                    <w:pStyle w:val="25"/>
                    <w:bidi w:val="0"/>
                    <w:rPr>
                      <w:rFonts w:hint="default" w:ascii="Times New Roman" w:hAnsi="Times New Roman" w:cs="Times New Roman"/>
                      <w:lang w:val="en-US" w:eastAsia="zh-CN"/>
                    </w:rPr>
                  </w:pPr>
                  <w:r>
                    <w:rPr>
                      <w:rFonts w:hint="eastAsia" w:ascii="Times New Roman" w:hAnsi="Times New Roman" w:cs="Times New Roman"/>
                      <w:lang w:val="en-US" w:eastAsia="zh-CN"/>
                    </w:rPr>
                    <w:t>\</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E2137">
                  <w:pPr>
                    <w:pStyle w:val="25"/>
                    <w:bidi w:val="0"/>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eastAsia" w:ascii="Times New Roman" w:hAnsi="Times New Roman" w:cs="Times New Roman"/>
                      <w:lang w:val="en-US" w:eastAsia="zh-CN"/>
                    </w:rPr>
                    <w:t>1.0</w:t>
                  </w:r>
                </w:p>
              </w:tc>
            </w:tr>
            <w:tr w14:paraId="46065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1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7456D3">
                  <w:pPr>
                    <w:pStyle w:val="25"/>
                    <w:bidi w:val="0"/>
                    <w:rPr>
                      <w:rFonts w:hint="default" w:ascii="Times New Roman" w:hAnsi="Times New Roman" w:cs="Times New Roman"/>
                    </w:rPr>
                  </w:pPr>
                  <w:r>
                    <w:rPr>
                      <w:rFonts w:hint="default" w:ascii="Times New Roman" w:hAnsi="Times New Roman" w:cs="Times New Roman"/>
                      <w:lang w:val="en-US" w:eastAsia="zh-CN"/>
                    </w:rPr>
                    <w:t>总去除率（%）</w:t>
                  </w: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86246D">
                  <w:pPr>
                    <w:pStyle w:val="25"/>
                    <w:bidi w:val="0"/>
                    <w:rPr>
                      <w:rFonts w:hint="default" w:ascii="Times New Roman" w:hAnsi="Times New Roman" w:cs="Times New Roman"/>
                    </w:rPr>
                  </w:pPr>
                  <w:r>
                    <w:rPr>
                      <w:rFonts w:hint="default" w:ascii="Times New Roman" w:hAnsi="Times New Roman" w:cs="Times New Roman"/>
                      <w:lang w:val="en-US" w:eastAsia="zh-CN"/>
                    </w:rPr>
                    <w:t>—</w:t>
                  </w: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A7D8EB">
                  <w:pPr>
                    <w:pStyle w:val="25"/>
                    <w:bidi w:val="0"/>
                    <w:rPr>
                      <w:rFonts w:hint="default" w:ascii="Times New Roman" w:hAnsi="Times New Roman" w:cs="Times New Roman"/>
                    </w:rPr>
                  </w:pPr>
                  <w:r>
                    <w:rPr>
                      <w:rFonts w:hint="default" w:ascii="Times New Roman" w:hAnsi="Times New Roman" w:cs="Times New Roman"/>
                      <w:lang w:val="en-US" w:eastAsia="zh-CN"/>
                    </w:rPr>
                    <w:t>≥92.2</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EE313">
                  <w:pPr>
                    <w:pStyle w:val="25"/>
                    <w:bidi w:val="0"/>
                    <w:rPr>
                      <w:rFonts w:hint="default" w:ascii="Times New Roman" w:hAnsi="Times New Roman" w:cs="Times New Roman"/>
                    </w:rPr>
                  </w:pPr>
                  <w:r>
                    <w:rPr>
                      <w:rFonts w:hint="default" w:ascii="Times New Roman" w:hAnsi="Times New Roman" w:cs="Times New Roman"/>
                      <w:lang w:val="en-US" w:eastAsia="zh-CN"/>
                    </w:rPr>
                    <w:t>≥96.4</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6AAC65">
                  <w:pPr>
                    <w:pStyle w:val="25"/>
                    <w:bidi w:val="0"/>
                    <w:rPr>
                      <w:rFonts w:hint="default" w:ascii="Times New Roman" w:hAnsi="Times New Roman" w:cs="Times New Roman"/>
                    </w:rPr>
                  </w:pPr>
                  <w:r>
                    <w:rPr>
                      <w:rFonts w:hint="default" w:ascii="Times New Roman" w:hAnsi="Times New Roman" w:cs="Times New Roman"/>
                      <w:lang w:val="en-US" w:eastAsia="zh-CN"/>
                    </w:rPr>
                    <w:t>≥93.3</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ABBA2E">
                  <w:pPr>
                    <w:pStyle w:val="25"/>
                    <w:bidi w:val="0"/>
                    <w:rPr>
                      <w:rFonts w:hint="default" w:ascii="Times New Roman" w:hAnsi="Times New Roman" w:cs="Times New Roman"/>
                    </w:rPr>
                  </w:pPr>
                  <w:r>
                    <w:rPr>
                      <w:rFonts w:hint="default" w:ascii="Times New Roman" w:hAnsi="Times New Roman" w:cs="Times New Roman"/>
                      <w:lang w:val="en-US" w:eastAsia="zh-CN"/>
                    </w:rPr>
                    <w:t>≥92.9</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4C7120">
                  <w:pPr>
                    <w:pStyle w:val="25"/>
                    <w:bidi w:val="0"/>
                    <w:rPr>
                      <w:rFonts w:hint="default" w:ascii="Times New Roman" w:hAnsi="Times New Roman" w:cs="Times New Roman"/>
                    </w:rPr>
                  </w:pPr>
                  <w:r>
                    <w:rPr>
                      <w:rFonts w:hint="default" w:ascii="Times New Roman" w:hAnsi="Times New Roman" w:cs="Times New Roman"/>
                      <w:lang w:val="en-US" w:eastAsia="zh-CN"/>
                    </w:rPr>
                    <w:t>≥81.3</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917CA">
                  <w:pPr>
                    <w:pStyle w:val="25"/>
                    <w:bidi w:val="0"/>
                    <w:rPr>
                      <w:rFonts w:hint="default" w:ascii="Times New Roman" w:hAnsi="Times New Roman" w:cs="Times New Roman"/>
                    </w:rPr>
                  </w:pPr>
                  <w:r>
                    <w:rPr>
                      <w:rFonts w:hint="default" w:ascii="Times New Roman" w:hAnsi="Times New Roman" w:cs="Times New Roman"/>
                      <w:lang w:val="en-US" w:eastAsia="zh-CN"/>
                    </w:rPr>
                    <w:t>≥93.8</w:t>
                  </w:r>
                </w:p>
              </w:tc>
            </w:tr>
            <w:tr w14:paraId="5DE27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3D3663">
                  <w:pPr>
                    <w:pStyle w:val="25"/>
                    <w:bidi w:val="0"/>
                    <w:rPr>
                      <w:rFonts w:hint="default" w:ascii="Times New Roman" w:hAnsi="Times New Roman" w:cs="Times New Roman"/>
                    </w:rPr>
                  </w:pPr>
                  <w:r>
                    <w:rPr>
                      <w:rFonts w:hint="default" w:ascii="Times New Roman" w:hAnsi="Times New Roman" w:cs="Times New Roman"/>
                      <w:lang w:val="en-US" w:eastAsia="zh-CN"/>
                    </w:rPr>
                    <w:t>达标情况</w:t>
                  </w:r>
                </w:p>
              </w:tc>
              <w:tc>
                <w:tcPr>
                  <w:tcW w:w="8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9372EA">
                  <w:pPr>
                    <w:pStyle w:val="25"/>
                    <w:bidi w:val="0"/>
                    <w:rPr>
                      <w:rFonts w:hint="default" w:ascii="Times New Roman" w:hAnsi="Times New Roman" w:cs="Times New Roman"/>
                    </w:rPr>
                  </w:pPr>
                </w:p>
              </w:tc>
              <w:tc>
                <w:tcPr>
                  <w:tcW w:w="5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BAA466">
                  <w:pPr>
                    <w:pStyle w:val="25"/>
                    <w:bidi w:val="0"/>
                    <w:rPr>
                      <w:rFonts w:hint="default" w:ascii="Times New Roman" w:hAnsi="Times New Roman" w:cs="Times New Roman"/>
                    </w:rPr>
                  </w:pPr>
                  <w:r>
                    <w:rPr>
                      <w:rFonts w:hint="default" w:ascii="Times New Roman" w:hAnsi="Times New Roman" w:cs="Times New Roman"/>
                      <w:lang w:val="en-US" w:eastAsia="zh-CN"/>
                    </w:rPr>
                    <w:t>达标</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931DE8">
                  <w:pPr>
                    <w:pStyle w:val="25"/>
                    <w:bidi w:val="0"/>
                    <w:rPr>
                      <w:rFonts w:hint="default" w:ascii="Times New Roman" w:hAnsi="Times New Roman" w:cs="Times New Roman"/>
                    </w:rPr>
                  </w:pPr>
                  <w:r>
                    <w:rPr>
                      <w:rFonts w:hint="default" w:ascii="Times New Roman" w:hAnsi="Times New Roman" w:cs="Times New Roman"/>
                      <w:lang w:val="en-US" w:eastAsia="zh-CN"/>
                    </w:rPr>
                    <w:t>达标</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A068DD">
                  <w:pPr>
                    <w:pStyle w:val="25"/>
                    <w:bidi w:val="0"/>
                    <w:rPr>
                      <w:rFonts w:hint="default" w:ascii="Times New Roman" w:hAnsi="Times New Roman" w:cs="Times New Roman"/>
                    </w:rPr>
                  </w:pPr>
                  <w:r>
                    <w:rPr>
                      <w:rFonts w:hint="default" w:ascii="Times New Roman" w:hAnsi="Times New Roman" w:cs="Times New Roman"/>
                      <w:lang w:val="en-US" w:eastAsia="zh-CN"/>
                    </w:rPr>
                    <w:t>达标</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08600">
                  <w:pPr>
                    <w:pStyle w:val="25"/>
                    <w:bidi w:val="0"/>
                    <w:rPr>
                      <w:rFonts w:hint="default" w:ascii="Times New Roman" w:hAnsi="Times New Roman" w:cs="Times New Roman"/>
                    </w:rPr>
                  </w:pPr>
                  <w:r>
                    <w:rPr>
                      <w:rFonts w:hint="default" w:ascii="Times New Roman" w:hAnsi="Times New Roman" w:cs="Times New Roman"/>
                      <w:lang w:val="en-US" w:eastAsia="zh-CN"/>
                    </w:rPr>
                    <w:t>达标</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276E0F">
                  <w:pPr>
                    <w:pStyle w:val="25"/>
                    <w:bidi w:val="0"/>
                    <w:rPr>
                      <w:rFonts w:hint="default" w:ascii="Times New Roman" w:hAnsi="Times New Roman" w:cs="Times New Roman"/>
                    </w:rPr>
                  </w:pPr>
                  <w:r>
                    <w:rPr>
                      <w:rFonts w:hint="default" w:ascii="Times New Roman" w:hAnsi="Times New Roman" w:cs="Times New Roman"/>
                      <w:lang w:val="en-US" w:eastAsia="zh-CN"/>
                    </w:rPr>
                    <w:t>达标</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9E75D">
                  <w:pPr>
                    <w:pStyle w:val="25"/>
                    <w:bidi w:val="0"/>
                    <w:rPr>
                      <w:rFonts w:hint="default" w:ascii="Times New Roman" w:hAnsi="Times New Roman" w:cs="Times New Roman"/>
                    </w:rPr>
                  </w:pPr>
                  <w:r>
                    <w:rPr>
                      <w:rFonts w:hint="default" w:ascii="Times New Roman" w:hAnsi="Times New Roman" w:cs="Times New Roman"/>
                      <w:lang w:val="en-US" w:eastAsia="zh-CN"/>
                    </w:rPr>
                    <w:t>达标</w:t>
                  </w:r>
                </w:p>
              </w:tc>
            </w:tr>
          </w:tbl>
          <w:p w14:paraId="6AE652A8">
            <w:pPr>
              <w:pStyle w:val="5"/>
              <w:numPr>
                <w:ilvl w:val="0"/>
                <w:numId w:val="0"/>
              </w:numPr>
              <w:bidi w:val="0"/>
              <w:ind w:left="426" w:leftChars="202" w:hanging="2" w:hangingChars="1"/>
              <w:rPr>
                <w:rFonts w:hint="default" w:ascii="Times New Roman" w:hAnsi="Times New Roman" w:eastAsia="宋体" w:cs="Times New Roman"/>
                <w:b w:val="0"/>
                <w:bCs/>
              </w:rPr>
            </w:pPr>
            <w:r>
              <w:rPr>
                <w:rFonts w:hint="eastAsia" w:ascii="Times New Roman" w:hAnsi="Times New Roman" w:cs="Times New Roman"/>
                <w:b w:val="0"/>
                <w:bCs/>
                <w:kern w:val="2"/>
                <w:sz w:val="24"/>
                <w:szCs w:val="24"/>
                <w:lang w:val="en-US" w:eastAsia="zh-CN" w:bidi="ar-SA"/>
              </w:rPr>
              <w:t>3、</w:t>
            </w:r>
            <w:r>
              <w:rPr>
                <w:rFonts w:hint="default" w:ascii="Times New Roman" w:hAnsi="Times New Roman" w:eastAsia="宋体" w:cs="Times New Roman"/>
                <w:b w:val="0"/>
                <w:bCs/>
              </w:rPr>
              <w:t>各单元处理效果分析</w:t>
            </w:r>
          </w:p>
          <w:p w14:paraId="768930F4">
            <w:pPr>
              <w:pStyle w:val="6"/>
              <w:keepNext/>
              <w:keepLines/>
              <w:pageBreakBefore w:val="0"/>
              <w:widowControl w:val="0"/>
              <w:numPr>
                <w:ilvl w:val="0"/>
                <w:numId w:val="0"/>
              </w:numPr>
              <w:kinsoku/>
              <w:wordWrap/>
              <w:overflowPunct/>
              <w:topLinePunct w:val="0"/>
              <w:autoSpaceDE/>
              <w:autoSpaceDN/>
              <w:bidi w:val="0"/>
              <w:adjustRightInd/>
              <w:snapToGrid/>
              <w:spacing w:before="0" w:beforeLines="0"/>
              <w:ind w:leftChars="200"/>
              <w:textAlignment w:val="auto"/>
              <w:rPr>
                <w:rFonts w:hint="default" w:ascii="Times New Roman" w:hAnsi="Times New Roman" w:cs="Times New Roman"/>
                <w:b w:val="0"/>
                <w:bCs/>
              </w:rPr>
            </w:pPr>
            <w:r>
              <w:rPr>
                <w:rFonts w:hint="eastAsia" w:ascii="Times New Roman" w:hAnsi="Times New Roman" w:cs="Times New Roman"/>
                <w:b w:val="0"/>
                <w:bCs/>
                <w:lang w:eastAsia="zh-CN"/>
              </w:rPr>
              <w:t>（</w:t>
            </w:r>
            <w:r>
              <w:rPr>
                <w:rFonts w:hint="eastAsia" w:ascii="Times New Roman" w:hAnsi="Times New Roman" w:cs="Times New Roman"/>
                <w:b w:val="0"/>
                <w:bCs/>
                <w:lang w:val="en-US" w:eastAsia="zh-CN"/>
              </w:rPr>
              <w:t>1</w:t>
            </w:r>
            <w:r>
              <w:rPr>
                <w:rFonts w:hint="eastAsia" w:ascii="Times New Roman" w:hAnsi="Times New Roman" w:cs="Times New Roman"/>
                <w:b w:val="0"/>
                <w:bCs/>
                <w:lang w:eastAsia="zh-CN"/>
              </w:rPr>
              <w:t>）</w:t>
            </w:r>
            <w:r>
              <w:rPr>
                <w:rFonts w:hint="default" w:ascii="Times New Roman" w:hAnsi="Times New Roman" w:cs="Times New Roman"/>
                <w:b w:val="0"/>
                <w:bCs/>
              </w:rPr>
              <w:t>预处理单元</w:t>
            </w:r>
          </w:p>
          <w:p w14:paraId="009A0FC2">
            <w:pPr>
              <w:pStyle w:val="7"/>
              <w:bidi w:val="0"/>
              <w:rPr>
                <w:rFonts w:hint="default" w:ascii="Times New Roman" w:hAnsi="Times New Roman" w:cs="Times New Roman"/>
              </w:rPr>
            </w:pPr>
            <w:r>
              <w:rPr>
                <w:rFonts w:hint="default" w:ascii="Times New Roman" w:hAnsi="Times New Roman" w:cs="Times New Roman"/>
              </w:rPr>
              <w:t>废水经格栅拦截大颗粒杂物、调节池均质均量、旋流沉砂器去除无机砂粒，此阶段主要去除SS等悬浮物，COD及BOD</w:t>
            </w:r>
            <w:r>
              <w:rPr>
                <w:rFonts w:hint="eastAsia" w:ascii="Times New Roman" w:hAnsi="Times New Roman" w:cs="Times New Roman"/>
                <w:vertAlign w:val="subscript"/>
                <w:lang w:val="en-US" w:eastAsia="zh-CN"/>
              </w:rPr>
              <w:t>5</w:t>
            </w:r>
            <w:r>
              <w:rPr>
                <w:rFonts w:hint="default" w:ascii="Times New Roman" w:hAnsi="Times New Roman" w:cs="Times New Roman"/>
              </w:rPr>
              <w:t>略有去除，为后续生化处理创造良好条件。预处理单元SS去除率约</w:t>
            </w:r>
            <w:r>
              <w:rPr>
                <w:rFonts w:hint="default" w:ascii="Times New Roman" w:hAnsi="Times New Roman" w:cs="Times New Roman"/>
                <w:lang w:val="en-US" w:eastAsia="zh-CN"/>
              </w:rPr>
              <w:t>5</w:t>
            </w:r>
            <w:r>
              <w:rPr>
                <w:rFonts w:hint="default" w:ascii="Times New Roman" w:hAnsi="Times New Roman" w:cs="Times New Roman"/>
              </w:rPr>
              <w:t>0%。</w:t>
            </w:r>
          </w:p>
          <w:p w14:paraId="05474D44">
            <w:pPr>
              <w:pStyle w:val="6"/>
              <w:keepNext/>
              <w:keepLines/>
              <w:pageBreakBefore w:val="0"/>
              <w:widowControl w:val="0"/>
              <w:numPr>
                <w:ilvl w:val="0"/>
                <w:numId w:val="0"/>
              </w:numPr>
              <w:kinsoku/>
              <w:wordWrap/>
              <w:overflowPunct/>
              <w:topLinePunct w:val="0"/>
              <w:autoSpaceDE/>
              <w:autoSpaceDN/>
              <w:bidi w:val="0"/>
              <w:adjustRightInd/>
              <w:snapToGrid/>
              <w:spacing w:before="157" w:beforeLines="50"/>
              <w:ind w:left="403" w:leftChars="0"/>
              <w:textAlignment w:val="auto"/>
              <w:rPr>
                <w:rFonts w:hint="default" w:ascii="Times New Roman" w:hAnsi="Times New Roman" w:cs="Times New Roman"/>
                <w:b w:val="0"/>
                <w:bCs/>
              </w:rPr>
            </w:pPr>
            <w:r>
              <w:rPr>
                <w:rFonts w:hint="eastAsia" w:ascii="Times New Roman" w:hAnsi="Times New Roman" w:cs="Times New Roman"/>
                <w:b w:val="0"/>
                <w:bCs/>
                <w:lang w:eastAsia="zh-CN"/>
              </w:rPr>
              <w:t>（</w:t>
            </w:r>
            <w:r>
              <w:rPr>
                <w:rFonts w:hint="eastAsia" w:ascii="Times New Roman" w:hAnsi="Times New Roman" w:cs="Times New Roman"/>
                <w:b w:val="0"/>
                <w:bCs/>
                <w:lang w:val="en-US" w:eastAsia="zh-CN"/>
              </w:rPr>
              <w:t>2</w:t>
            </w:r>
            <w:r>
              <w:rPr>
                <w:rFonts w:hint="eastAsia" w:ascii="Times New Roman" w:hAnsi="Times New Roman" w:cs="Times New Roman"/>
                <w:b w:val="0"/>
                <w:bCs/>
                <w:lang w:eastAsia="zh-CN"/>
              </w:rPr>
              <w:t>）</w:t>
            </w:r>
            <w:r>
              <w:rPr>
                <w:rFonts w:hint="default" w:ascii="Times New Roman" w:hAnsi="Times New Roman" w:cs="Times New Roman"/>
                <w:b w:val="0"/>
                <w:bCs/>
              </w:rPr>
              <w:t>生化处理单元（核心处理单元）</w:t>
            </w:r>
          </w:p>
          <w:p w14:paraId="34CE05D9">
            <w:pPr>
              <w:pStyle w:val="7"/>
              <w:bidi w:val="0"/>
              <w:rPr>
                <w:rFonts w:hint="default" w:ascii="Times New Roman" w:hAnsi="Times New Roman" w:cs="Times New Roman"/>
              </w:rPr>
            </w:pPr>
            <w:r>
              <w:rPr>
                <w:rFonts w:hint="default" w:ascii="Times New Roman" w:hAnsi="Times New Roman" w:cs="Times New Roman"/>
              </w:rPr>
              <w:t>废水进入AAO生物池后，在厌氧、缺氧、好氧三种环境条件下，通过聚磷菌释磷、反硝化菌脱氮、好氧菌降解有机物等生化反应，COD、BOD</w:t>
            </w:r>
            <w:r>
              <w:rPr>
                <w:rFonts w:hint="eastAsia" w:ascii="Times New Roman" w:hAnsi="Times New Roman" w:cs="Times New Roman"/>
                <w:vertAlign w:val="subscript"/>
                <w:lang w:val="en-US" w:eastAsia="zh-CN"/>
              </w:rPr>
              <w:t>5</w:t>
            </w:r>
            <w:r>
              <w:rPr>
                <w:rFonts w:hint="default" w:ascii="Times New Roman" w:hAnsi="Times New Roman" w:cs="Times New Roman"/>
              </w:rPr>
              <w:t>得到大幅降解，NH</w:t>
            </w:r>
            <w:r>
              <w:rPr>
                <w:rFonts w:hint="eastAsia" w:ascii="Times New Roman" w:hAnsi="Times New Roman" w:cs="Times New Roman"/>
                <w:vertAlign w:val="subscript"/>
                <w:lang w:val="en-US" w:eastAsia="zh-CN"/>
              </w:rPr>
              <w:t>3</w:t>
            </w:r>
            <w:r>
              <w:rPr>
                <w:rFonts w:hint="default" w:ascii="Times New Roman" w:hAnsi="Times New Roman" w:cs="Times New Roman"/>
              </w:rPr>
              <w:t>-N通过硝化反应转化为硝酸盐氮，TN通过反硝化反应脱除，TP通过聚磷菌过量摄磷后随剩余污泥排出。该单元为污染物去除的核心环节，COD去除率约90%，BOD</w:t>
            </w:r>
            <w:r>
              <w:rPr>
                <w:rFonts w:hint="eastAsia" w:ascii="Times New Roman" w:hAnsi="Times New Roman" w:cs="Times New Roman"/>
                <w:vertAlign w:val="subscript"/>
                <w:lang w:val="en-US" w:eastAsia="zh-CN"/>
              </w:rPr>
              <w:t>5</w:t>
            </w:r>
            <w:r>
              <w:rPr>
                <w:rFonts w:hint="default" w:ascii="Times New Roman" w:hAnsi="Times New Roman" w:cs="Times New Roman"/>
              </w:rPr>
              <w:t>去除率约9</w:t>
            </w:r>
            <w:r>
              <w:rPr>
                <w:rFonts w:hint="default" w:ascii="Times New Roman" w:hAnsi="Times New Roman" w:cs="Times New Roman"/>
                <w:lang w:val="en-US" w:eastAsia="zh-CN"/>
              </w:rPr>
              <w:t>0</w:t>
            </w:r>
            <w:r>
              <w:rPr>
                <w:rFonts w:hint="default" w:ascii="Times New Roman" w:hAnsi="Times New Roman" w:cs="Times New Roman"/>
              </w:rPr>
              <w:t>%，NH</w:t>
            </w:r>
            <w:r>
              <w:rPr>
                <w:rFonts w:hint="eastAsia" w:ascii="Times New Roman" w:hAnsi="Times New Roman" w:cs="Times New Roman"/>
                <w:vertAlign w:val="subscript"/>
                <w:lang w:val="en-US" w:eastAsia="zh-CN"/>
              </w:rPr>
              <w:t>3</w:t>
            </w:r>
            <w:r>
              <w:rPr>
                <w:rFonts w:hint="default" w:ascii="Times New Roman" w:hAnsi="Times New Roman" w:cs="Times New Roman"/>
              </w:rPr>
              <w:t>-N去除率约</w:t>
            </w:r>
            <w:r>
              <w:rPr>
                <w:rFonts w:hint="default" w:ascii="Times New Roman" w:hAnsi="Times New Roman" w:cs="Times New Roman"/>
                <w:lang w:val="en-US" w:eastAsia="zh-CN"/>
              </w:rPr>
              <w:t>8</w:t>
            </w:r>
            <w:r>
              <w:rPr>
                <w:rFonts w:hint="default" w:ascii="Times New Roman" w:hAnsi="Times New Roman" w:cs="Times New Roman"/>
              </w:rPr>
              <w:t>0%。</w:t>
            </w:r>
          </w:p>
          <w:p w14:paraId="7FD31503">
            <w:pPr>
              <w:pStyle w:val="6"/>
              <w:keepNext/>
              <w:keepLines/>
              <w:pageBreakBefore w:val="0"/>
              <w:widowControl w:val="0"/>
              <w:numPr>
                <w:ilvl w:val="0"/>
                <w:numId w:val="0"/>
              </w:numPr>
              <w:kinsoku/>
              <w:wordWrap/>
              <w:overflowPunct/>
              <w:topLinePunct w:val="0"/>
              <w:autoSpaceDE/>
              <w:autoSpaceDN/>
              <w:bidi w:val="0"/>
              <w:adjustRightInd/>
              <w:snapToGrid/>
              <w:spacing w:before="0" w:beforeLines="0"/>
              <w:ind w:left="403" w:leftChars="0"/>
              <w:textAlignment w:val="auto"/>
              <w:rPr>
                <w:rFonts w:hint="default" w:ascii="Times New Roman" w:hAnsi="Times New Roman" w:cs="Times New Roman"/>
                <w:b w:val="0"/>
                <w:bCs/>
              </w:rPr>
            </w:pPr>
            <w:r>
              <w:rPr>
                <w:rFonts w:hint="eastAsia" w:ascii="Times New Roman" w:hAnsi="Times New Roman" w:cs="Times New Roman"/>
                <w:b w:val="0"/>
                <w:bCs/>
                <w:lang w:eastAsia="zh-CN"/>
              </w:rPr>
              <w:t>（</w:t>
            </w:r>
            <w:r>
              <w:rPr>
                <w:rFonts w:hint="eastAsia" w:ascii="Times New Roman" w:hAnsi="Times New Roman" w:cs="Times New Roman"/>
                <w:b w:val="0"/>
                <w:bCs/>
                <w:lang w:val="en-US" w:eastAsia="zh-CN"/>
              </w:rPr>
              <w:t>3</w:t>
            </w:r>
            <w:r>
              <w:rPr>
                <w:rFonts w:hint="eastAsia" w:ascii="Times New Roman" w:hAnsi="Times New Roman" w:cs="Times New Roman"/>
                <w:b w:val="0"/>
                <w:bCs/>
                <w:lang w:eastAsia="zh-CN"/>
              </w:rPr>
              <w:t>）</w:t>
            </w:r>
            <w:r>
              <w:rPr>
                <w:rFonts w:hint="default" w:ascii="Times New Roman" w:hAnsi="Times New Roman" w:cs="Times New Roman"/>
                <w:b w:val="0"/>
                <w:bCs/>
              </w:rPr>
              <w:t>深度处理单元</w:t>
            </w:r>
          </w:p>
          <w:p w14:paraId="70DF0018">
            <w:pPr>
              <w:pStyle w:val="7"/>
              <w:bidi w:val="0"/>
              <w:rPr>
                <w:rFonts w:hint="default" w:ascii="Times New Roman" w:hAnsi="Times New Roman" w:cs="Times New Roman"/>
              </w:rPr>
            </w:pPr>
            <w:r>
              <w:rPr>
                <w:rFonts w:hint="default" w:ascii="Times New Roman" w:hAnsi="Times New Roman" w:cs="Times New Roman"/>
              </w:rPr>
              <w:t>废水进入高效沉淀池后通过投加PAC/PAM进行混凝絮凝反应，进一步去除SS及TP，出水经精密过滤滤池拦截残留悬浮物，确保SS和TP稳定达标。TP去除率约80%，SS去除率约</w:t>
            </w:r>
            <w:r>
              <w:rPr>
                <w:rFonts w:hint="default" w:ascii="Times New Roman" w:hAnsi="Times New Roman" w:cs="Times New Roman"/>
                <w:lang w:val="en-US" w:eastAsia="zh-CN"/>
              </w:rPr>
              <w:t>95</w:t>
            </w:r>
            <w:r>
              <w:rPr>
                <w:rFonts w:hint="default" w:ascii="Times New Roman" w:hAnsi="Times New Roman" w:cs="Times New Roman"/>
              </w:rPr>
              <w:t>%。</w:t>
            </w:r>
          </w:p>
          <w:p w14:paraId="74B713AA">
            <w:pPr>
              <w:pStyle w:val="6"/>
              <w:keepNext/>
              <w:keepLines/>
              <w:pageBreakBefore w:val="0"/>
              <w:widowControl w:val="0"/>
              <w:numPr>
                <w:ilvl w:val="0"/>
                <w:numId w:val="0"/>
              </w:numPr>
              <w:kinsoku/>
              <w:wordWrap/>
              <w:overflowPunct/>
              <w:topLinePunct w:val="0"/>
              <w:autoSpaceDE/>
              <w:autoSpaceDN/>
              <w:bidi w:val="0"/>
              <w:adjustRightInd/>
              <w:snapToGrid/>
              <w:spacing w:before="0" w:beforeLines="0"/>
              <w:ind w:left="403" w:leftChars="0"/>
              <w:textAlignment w:val="auto"/>
              <w:rPr>
                <w:rFonts w:hint="default" w:ascii="Times New Roman" w:hAnsi="Times New Roman" w:cs="Times New Roman"/>
                <w:b w:val="0"/>
                <w:bCs/>
              </w:rPr>
            </w:pPr>
            <w:r>
              <w:rPr>
                <w:rFonts w:hint="eastAsia" w:ascii="Times New Roman" w:hAnsi="Times New Roman" w:cs="Times New Roman"/>
                <w:b w:val="0"/>
                <w:bCs/>
                <w:lang w:eastAsia="zh-CN"/>
              </w:rPr>
              <w:t>（</w:t>
            </w:r>
            <w:r>
              <w:rPr>
                <w:rFonts w:hint="eastAsia" w:ascii="Times New Roman" w:hAnsi="Times New Roman" w:cs="Times New Roman"/>
                <w:b w:val="0"/>
                <w:bCs/>
                <w:lang w:val="en-US" w:eastAsia="zh-CN"/>
              </w:rPr>
              <w:t>4</w:t>
            </w:r>
            <w:r>
              <w:rPr>
                <w:rFonts w:hint="eastAsia" w:ascii="Times New Roman" w:hAnsi="Times New Roman" w:cs="Times New Roman"/>
                <w:b w:val="0"/>
                <w:bCs/>
                <w:lang w:eastAsia="zh-CN"/>
              </w:rPr>
              <w:t>）</w:t>
            </w:r>
            <w:r>
              <w:rPr>
                <w:rFonts w:hint="default" w:ascii="Times New Roman" w:hAnsi="Times New Roman" w:cs="Times New Roman"/>
                <w:b w:val="0"/>
                <w:bCs/>
              </w:rPr>
              <w:t>消毒单元</w:t>
            </w:r>
          </w:p>
          <w:p w14:paraId="06427606">
            <w:pPr>
              <w:pStyle w:val="7"/>
              <w:bidi w:val="0"/>
              <w:rPr>
                <w:rFonts w:hint="default" w:ascii="Times New Roman" w:hAnsi="Times New Roman" w:cs="Times New Roman"/>
              </w:rPr>
            </w:pPr>
            <w:r>
              <w:rPr>
                <w:rFonts w:hint="default" w:ascii="Times New Roman" w:hAnsi="Times New Roman" w:cs="Times New Roman"/>
              </w:rPr>
              <w:t>废水进入消毒接触池后投加次氯酸钠消毒剂，有效杀灭病原体微生物，确保粪大肠菌群数等卫生学指标满足排放标准要求。</w:t>
            </w:r>
          </w:p>
          <w:p w14:paraId="31807C1B">
            <w:pPr>
              <w:pStyle w:val="5"/>
              <w:keepNext/>
              <w:keepLines/>
              <w:pageBreakBefore w:val="0"/>
              <w:widowControl w:val="0"/>
              <w:numPr>
                <w:ilvl w:val="0"/>
                <w:numId w:val="0"/>
              </w:numPr>
              <w:kinsoku/>
              <w:wordWrap/>
              <w:overflowPunct/>
              <w:topLinePunct w:val="0"/>
              <w:autoSpaceDE/>
              <w:autoSpaceDN/>
              <w:bidi w:val="0"/>
              <w:adjustRightInd/>
              <w:snapToGrid/>
              <w:spacing w:before="0" w:beforeLines="0"/>
              <w:ind w:left="426" w:leftChars="202" w:hanging="2" w:hangingChars="1"/>
              <w:textAlignment w:val="auto"/>
              <w:rPr>
                <w:rFonts w:hint="default" w:ascii="Times New Roman" w:hAnsi="Times New Roman" w:eastAsia="宋体" w:cs="Times New Roman"/>
                <w:b w:val="0"/>
                <w:bCs/>
              </w:rPr>
            </w:pPr>
            <w:r>
              <w:rPr>
                <w:rFonts w:hint="eastAsia" w:ascii="Times New Roman" w:hAnsi="Times New Roman" w:cs="Times New Roman"/>
                <w:b w:val="0"/>
                <w:bCs/>
                <w:kern w:val="2"/>
                <w:sz w:val="24"/>
                <w:szCs w:val="24"/>
                <w:lang w:val="en-US" w:eastAsia="zh-CN" w:bidi="ar-SA"/>
              </w:rPr>
              <w:t>（5）</w:t>
            </w:r>
            <w:r>
              <w:rPr>
                <w:rFonts w:hint="default" w:ascii="Times New Roman" w:hAnsi="Times New Roman" w:eastAsia="宋体" w:cs="Times New Roman"/>
                <w:b w:val="0"/>
                <w:bCs/>
              </w:rPr>
              <w:t>废水零排放可行性分析</w:t>
            </w:r>
          </w:p>
          <w:p w14:paraId="1F0229EC">
            <w:pPr>
              <w:pStyle w:val="7"/>
              <w:bidi w:val="0"/>
              <w:rPr>
                <w:rFonts w:hint="default" w:ascii="Times New Roman" w:hAnsi="Times New Roman" w:cs="Times New Roman"/>
              </w:rPr>
            </w:pPr>
            <w:r>
              <w:rPr>
                <w:rFonts w:hint="default" w:ascii="Times New Roman" w:hAnsi="Times New Roman" w:cs="Times New Roman"/>
              </w:rPr>
              <w:t>本项目夏季（灌溉期）尾水用于园区绿化灌溉，非灌溉期供给园区企业回用或暂存于中水库。灌溉季按270天计，绿化用水定额按600m</w:t>
            </w:r>
            <w:r>
              <w:rPr>
                <w:rFonts w:hint="eastAsia" w:ascii="Times New Roman" w:hAnsi="Times New Roman" w:cs="Times New Roman"/>
                <w:vertAlign w:val="superscript"/>
                <w:lang w:val="en-US" w:eastAsia="zh-CN"/>
              </w:rPr>
              <w:t>3</w:t>
            </w:r>
            <w:r>
              <w:rPr>
                <w:rFonts w:hint="default" w:ascii="Times New Roman" w:hAnsi="Times New Roman" w:cs="Times New Roman"/>
              </w:rPr>
              <w:t>/亩</w:t>
            </w:r>
            <w:r>
              <w:rPr>
                <w:rFonts w:hint="eastAsia" w:ascii="Times New Roman" w:cs="Times New Roman"/>
                <w:lang w:val="en-US" w:eastAsia="zh-CN"/>
              </w:rPr>
              <w:t>·</w:t>
            </w:r>
            <w:r>
              <w:rPr>
                <w:rFonts w:hint="default" w:ascii="Times New Roman" w:hAnsi="Times New Roman" w:cs="Times New Roman"/>
              </w:rPr>
              <w:t>年，园区绿化面积可消纳全部尾水；冬季（非灌溉期）90天出水暂存于中水库及厂内回用水池，待来年灌溉季回用。通过</w:t>
            </w:r>
            <w:r>
              <w:rPr>
                <w:rFonts w:hint="eastAsia" w:ascii="Times New Roman" w:hAnsi="Times New Roman" w:cs="Times New Roman"/>
                <w:lang w:eastAsia="zh-CN"/>
              </w:rPr>
              <w:t>“</w:t>
            </w:r>
            <w:r>
              <w:rPr>
                <w:rFonts w:hint="default" w:ascii="Times New Roman" w:hAnsi="Times New Roman" w:cs="Times New Roman"/>
              </w:rPr>
              <w:t>冬储夏灌</w:t>
            </w:r>
            <w:r>
              <w:rPr>
                <w:rFonts w:hint="eastAsia" w:ascii="Times New Roman" w:hAnsi="Times New Roman" w:cs="Times New Roman"/>
                <w:lang w:eastAsia="zh-CN"/>
              </w:rPr>
              <w:t>”</w:t>
            </w:r>
            <w:r>
              <w:rPr>
                <w:rFonts w:hint="default" w:ascii="Times New Roman" w:hAnsi="Times New Roman" w:cs="Times New Roman"/>
              </w:rPr>
              <w:t>及企业回用相结合的途径，可实现尾水全部回用，不外排。</w:t>
            </w:r>
          </w:p>
          <w:p w14:paraId="37D2CCC4">
            <w:pPr>
              <w:pStyle w:val="5"/>
              <w:keepNext/>
              <w:keepLines/>
              <w:pageBreakBefore w:val="0"/>
              <w:widowControl w:val="0"/>
              <w:numPr>
                <w:ilvl w:val="0"/>
                <w:numId w:val="0"/>
              </w:numPr>
              <w:kinsoku/>
              <w:wordWrap/>
              <w:overflowPunct/>
              <w:topLinePunct w:val="0"/>
              <w:autoSpaceDE/>
              <w:autoSpaceDN/>
              <w:bidi w:val="0"/>
              <w:adjustRightInd/>
              <w:snapToGrid/>
              <w:spacing w:before="0" w:beforeLines="0"/>
              <w:ind w:left="426" w:leftChars="202" w:hanging="2" w:hangingChars="1"/>
              <w:textAlignment w:val="auto"/>
              <w:rPr>
                <w:rFonts w:hint="default" w:ascii="Times New Roman" w:hAnsi="Times New Roman" w:eastAsia="宋体" w:cs="Times New Roman"/>
                <w:b w:val="0"/>
                <w:bCs/>
              </w:rPr>
            </w:pPr>
            <w:r>
              <w:rPr>
                <w:rFonts w:hint="eastAsia" w:ascii="Times New Roman" w:hAnsi="Times New Roman" w:cs="Times New Roman"/>
                <w:b w:val="0"/>
                <w:bCs/>
                <w:kern w:val="2"/>
                <w:sz w:val="24"/>
                <w:szCs w:val="24"/>
                <w:lang w:val="en-US" w:eastAsia="zh-CN" w:bidi="ar-SA"/>
              </w:rPr>
              <w:t>（6）</w:t>
            </w:r>
            <w:r>
              <w:rPr>
                <w:rFonts w:hint="default" w:ascii="Times New Roman" w:hAnsi="Times New Roman" w:eastAsia="宋体" w:cs="Times New Roman"/>
                <w:b w:val="0"/>
                <w:bCs/>
              </w:rPr>
              <w:t>污水处理工艺可行性分析</w:t>
            </w:r>
          </w:p>
          <w:p w14:paraId="27494E1A">
            <w:pPr>
              <w:pStyle w:val="7"/>
              <w:numPr>
                <w:ilvl w:val="0"/>
                <w:numId w:val="0"/>
              </w:numPr>
              <w:bidi w:val="0"/>
              <w:ind w:left="425" w:leftChars="0"/>
              <w:rPr>
                <w:rFonts w:hint="default" w:ascii="Times New Roman" w:hAnsi="Times New Roman" w:cs="Times New Roman"/>
              </w:rPr>
            </w:pPr>
            <w:r>
              <w:rPr>
                <w:rFonts w:hint="eastAsia" w:ascii="Times New Roman" w:hAnsi="Times New Roman" w:cs="Times New Roman"/>
                <w:lang w:val="en-US" w:eastAsia="zh-CN"/>
              </w:rPr>
              <w:t>1）</w:t>
            </w:r>
            <w:r>
              <w:rPr>
                <w:rFonts w:hint="default" w:ascii="Times New Roman" w:hAnsi="Times New Roman" w:cs="Times New Roman"/>
              </w:rPr>
              <w:t>预处理措施可行性分析</w:t>
            </w:r>
          </w:p>
          <w:p w14:paraId="2B494B01">
            <w:pPr>
              <w:pStyle w:val="7"/>
              <w:bidi w:val="0"/>
              <w:rPr>
                <w:rFonts w:hint="default" w:ascii="Times New Roman" w:hAnsi="Times New Roman" w:cs="Times New Roman"/>
              </w:rPr>
            </w:pPr>
            <w:r>
              <w:rPr>
                <w:rFonts w:hint="default" w:ascii="Times New Roman" w:hAnsi="Times New Roman" w:cs="Times New Roman"/>
              </w:rPr>
              <w:t>本项目预处理设施包括利旧的格栅间（粗格栅、细格栅）、改造后的调节池及新建的旋流沉砂器等，主要目的是利用格栅去除进水中的漂浮物及大颗粒悬浮物，利用调节池对水质、水量进行调节（停留时间7.28h），利用旋流沉砂器去除污水中比重大于2.65、粒径大于0.2mm的无机砂粒，从而减轻后续处理工序的处理负荷，起到保护水泵、管道、仪表的作用。以上预处理工艺为目前污水处理厂广泛采用的成熟工艺，属于《排污许可证申请与核发技术规范 水处理（试行）》（HJ 978-2018）表4中的预处理可行技术。</w:t>
            </w:r>
          </w:p>
          <w:p w14:paraId="56F95416">
            <w:pPr>
              <w:pStyle w:val="7"/>
              <w:keepNext w:val="0"/>
              <w:keepLines w:val="0"/>
              <w:pageBreakBefore w:val="0"/>
              <w:widowControl w:val="0"/>
              <w:numPr>
                <w:ilvl w:val="0"/>
                <w:numId w:val="0"/>
              </w:numPr>
              <w:kinsoku/>
              <w:wordWrap/>
              <w:overflowPunct/>
              <w:topLinePunct w:val="0"/>
              <w:autoSpaceDE/>
              <w:autoSpaceDN/>
              <w:bidi w:val="0"/>
              <w:adjustRightInd/>
              <w:snapToGrid/>
              <w:ind w:left="425" w:leftChars="0"/>
              <w:textAlignment w:val="auto"/>
              <w:rPr>
                <w:rFonts w:hint="default" w:ascii="Times New Roman" w:hAnsi="Times New Roman" w:cs="Times New Roman"/>
              </w:rPr>
            </w:pPr>
            <w:r>
              <w:rPr>
                <w:rFonts w:hint="eastAsia" w:ascii="Times New Roman" w:hAnsi="Times New Roman" w:cs="Times New Roman"/>
                <w:lang w:val="en-US" w:eastAsia="zh-CN"/>
              </w:rPr>
              <w:t>2）</w:t>
            </w:r>
            <w:r>
              <w:rPr>
                <w:rFonts w:hint="default" w:ascii="Times New Roman" w:hAnsi="Times New Roman" w:cs="Times New Roman"/>
              </w:rPr>
              <w:t>生化处理可行性分析</w:t>
            </w:r>
          </w:p>
          <w:p w14:paraId="0E325D50">
            <w:pPr>
              <w:pStyle w:val="7"/>
              <w:bidi w:val="0"/>
              <w:rPr>
                <w:rFonts w:hint="default" w:ascii="Times New Roman" w:hAnsi="Times New Roman" w:cs="Times New Roman"/>
              </w:rPr>
            </w:pPr>
            <w:r>
              <w:rPr>
                <w:rFonts w:hint="default" w:ascii="Times New Roman" w:hAnsi="Times New Roman" w:cs="Times New Roman"/>
              </w:rPr>
              <w:t>本项目生化处理单元采用改良AAO（五段Bardenpho）工艺，由厌氧区、前缺氧区、前好氧区、后缺氧区及后好氧区五部分组成。对照HJ 978-2018，AAO工艺属于工业废水生化处理的可行技术。改良AAO工艺具有以下优势：①厌氧、缺氧、好氧三段功能明确，脱氮除磷效率高；②工艺调节灵活，对水质水量适应性强；③采用鼓风曝气，氧利用率较高，能耗较低；④可根据进出水水质灵活调节运行模式，操作可控性强。</w:t>
            </w:r>
          </w:p>
          <w:p w14:paraId="5E1D3FB3">
            <w:pPr>
              <w:pStyle w:val="7"/>
              <w:bidi w:val="0"/>
              <w:rPr>
                <w:rFonts w:hint="default" w:ascii="Times New Roman" w:hAnsi="Times New Roman" w:cs="Times New Roman"/>
              </w:rPr>
            </w:pPr>
            <w:r>
              <w:rPr>
                <w:rFonts w:hint="default" w:ascii="Times New Roman" w:hAnsi="Times New Roman" w:cs="Times New Roman"/>
              </w:rPr>
              <w:t>针对新疆冬季低温对生化处理效率的影响，本项目采取以下保障措施：①生化池外壁贴保温材料，减少热量散失；②适当增加水力停留时间（名义HRT=19.18h）；③按照《寒冷地区污水活性污泥法设计规程》（CECS111:2000）要求进行设计；④室外管道外壁包裹保温材料，防止冰冻。</w:t>
            </w:r>
          </w:p>
          <w:p w14:paraId="2A705D61">
            <w:pPr>
              <w:pStyle w:val="7"/>
              <w:numPr>
                <w:ilvl w:val="0"/>
                <w:numId w:val="0"/>
              </w:numPr>
              <w:bidi w:val="0"/>
              <w:ind w:left="0" w:leftChars="0" w:firstLine="425" w:firstLineChars="0"/>
              <w:rPr>
                <w:rFonts w:hint="default" w:ascii="Times New Roman" w:hAnsi="Times New Roman" w:cs="Times New Roman"/>
                <w:lang w:eastAsia="zh-CN"/>
              </w:rPr>
            </w:pPr>
            <w:r>
              <w:rPr>
                <w:rFonts w:hint="eastAsia" w:ascii="Times New Roman" w:hAnsi="Times New Roman" w:cs="Times New Roman"/>
                <w:kern w:val="2"/>
                <w:sz w:val="24"/>
                <w:szCs w:val="24"/>
                <w:lang w:val="en-US" w:eastAsia="zh-CN" w:bidi="ar-SA"/>
              </w:rPr>
              <w:t>3）</w:t>
            </w:r>
            <w:r>
              <w:rPr>
                <w:rFonts w:hint="default" w:ascii="Times New Roman" w:hAnsi="Times New Roman" w:cs="Times New Roman"/>
                <w:lang w:eastAsia="zh-CN"/>
              </w:rPr>
              <w:t>深度处理可行性分析</w:t>
            </w:r>
          </w:p>
          <w:p w14:paraId="62EAE84D">
            <w:pPr>
              <w:pStyle w:val="7"/>
              <w:bidi w:val="0"/>
              <w:rPr>
                <w:rFonts w:hint="default" w:ascii="Times New Roman" w:hAnsi="Times New Roman" w:cs="Times New Roman"/>
                <w:lang w:eastAsia="zh-CN"/>
              </w:rPr>
            </w:pPr>
            <w:r>
              <w:rPr>
                <w:rFonts w:hint="default" w:ascii="Times New Roman" w:hAnsi="Times New Roman" w:cs="Times New Roman"/>
                <w:lang w:eastAsia="zh-CN"/>
              </w:rPr>
              <w:t>二沉池出水进入高效沉淀池及精密过滤滤池，通过投加PAC/PAM进一步去除污水中的COD、SS和TP。高效沉淀池集混合、反应、沉淀于一体，精密过滤滤池采用滤布滤池进一步去除残留悬浮物。根据HJ 978-2018，深度处理工艺中混凝沉淀、过滤等均属于可行技术-。</w:t>
            </w:r>
          </w:p>
          <w:p w14:paraId="65D5B55E">
            <w:pPr>
              <w:pStyle w:val="7"/>
              <w:numPr>
                <w:ilvl w:val="0"/>
                <w:numId w:val="0"/>
              </w:numPr>
              <w:bidi w:val="0"/>
              <w:ind w:left="0" w:leftChars="0" w:firstLine="425" w:firstLineChars="0"/>
              <w:rPr>
                <w:rFonts w:hint="default" w:ascii="Times New Roman" w:hAnsi="Times New Roman" w:cs="Times New Roman"/>
                <w:lang w:eastAsia="zh-CN"/>
              </w:rPr>
            </w:pPr>
            <w:r>
              <w:rPr>
                <w:rFonts w:hint="eastAsia" w:ascii="Times New Roman" w:hAnsi="Times New Roman" w:cs="Times New Roman"/>
                <w:kern w:val="2"/>
                <w:sz w:val="24"/>
                <w:szCs w:val="24"/>
                <w:lang w:val="en-US" w:eastAsia="zh-CN" w:bidi="ar-SA"/>
              </w:rPr>
              <w:t>4）</w:t>
            </w:r>
            <w:r>
              <w:rPr>
                <w:rFonts w:hint="default" w:ascii="Times New Roman" w:hAnsi="Times New Roman" w:cs="Times New Roman"/>
                <w:lang w:eastAsia="zh-CN"/>
              </w:rPr>
              <w:t>消毒处理可行性分析</w:t>
            </w:r>
          </w:p>
          <w:p w14:paraId="5F65DC8E">
            <w:pPr>
              <w:pStyle w:val="7"/>
              <w:bidi w:val="0"/>
              <w:rPr>
                <w:rFonts w:hint="default" w:ascii="Times New Roman" w:hAnsi="Times New Roman" w:cs="Times New Roman"/>
                <w:lang w:eastAsia="zh-CN"/>
              </w:rPr>
            </w:pPr>
            <w:r>
              <w:rPr>
                <w:rFonts w:hint="default" w:ascii="Times New Roman" w:hAnsi="Times New Roman" w:cs="Times New Roman"/>
                <w:lang w:eastAsia="zh-CN"/>
              </w:rPr>
              <w:t>本项目消毒采用次氯酸钠消毒工艺，该工艺为HJ 978-2018表4中工业废水深度处理的可行技术之一。次氯酸钠消毒具有试剂无毒、运行简单、操作安全等优点，能够有效杀灭病原体微生物，确保粪大肠菌群数等卫生学指标达标。</w:t>
            </w:r>
          </w:p>
          <w:p w14:paraId="76E20BFB">
            <w:pPr>
              <w:pStyle w:val="5"/>
              <w:keepNext/>
              <w:keepLines/>
              <w:pageBreakBefore w:val="0"/>
              <w:widowControl w:val="0"/>
              <w:numPr>
                <w:ilvl w:val="0"/>
                <w:numId w:val="0"/>
              </w:numPr>
              <w:kinsoku/>
              <w:wordWrap/>
              <w:overflowPunct/>
              <w:topLinePunct w:val="0"/>
              <w:autoSpaceDE/>
              <w:autoSpaceDN/>
              <w:bidi w:val="0"/>
              <w:adjustRightInd/>
              <w:snapToGrid/>
              <w:spacing w:before="0" w:beforeLines="0"/>
              <w:ind w:left="426" w:leftChars="202" w:hanging="2" w:hangingChars="1"/>
              <w:textAlignment w:val="auto"/>
              <w:rPr>
                <w:rFonts w:hint="default" w:ascii="Times New Roman" w:hAnsi="Times New Roman" w:eastAsia="宋体" w:cs="Times New Roman"/>
                <w:b w:val="0"/>
                <w:bCs/>
                <w:lang w:eastAsia="zh-CN"/>
              </w:rPr>
            </w:pPr>
            <w:r>
              <w:rPr>
                <w:rFonts w:hint="eastAsia" w:ascii="Times New Roman" w:hAnsi="Times New Roman" w:cs="Times New Roman"/>
                <w:b w:val="0"/>
                <w:bCs/>
                <w:kern w:val="2"/>
                <w:sz w:val="24"/>
                <w:szCs w:val="24"/>
                <w:lang w:val="en-US" w:eastAsia="zh-CN" w:bidi="ar-SA"/>
              </w:rPr>
              <w:t>（7）</w:t>
            </w:r>
            <w:r>
              <w:rPr>
                <w:rFonts w:hint="default" w:ascii="Times New Roman" w:hAnsi="Times New Roman" w:eastAsia="宋体" w:cs="Times New Roman"/>
                <w:b w:val="0"/>
                <w:bCs/>
                <w:lang w:eastAsia="zh-CN"/>
              </w:rPr>
              <w:t>尾水回用可行性分析</w:t>
            </w:r>
          </w:p>
          <w:p w14:paraId="2C0F41F6">
            <w:pPr>
              <w:pStyle w:val="7"/>
              <w:numPr>
                <w:ilvl w:val="0"/>
                <w:numId w:val="0"/>
              </w:numPr>
              <w:bidi w:val="0"/>
              <w:ind w:left="0" w:leftChars="0" w:firstLine="425" w:firstLineChars="0"/>
              <w:rPr>
                <w:rFonts w:hint="default" w:ascii="Times New Roman" w:hAnsi="Times New Roman" w:cs="Times New Roman"/>
                <w:lang w:eastAsia="zh-CN"/>
              </w:rPr>
            </w:pPr>
            <w:r>
              <w:rPr>
                <w:rFonts w:hint="default" w:ascii="Times New Roman" w:hAnsi="Times New Roman" w:eastAsia="宋体" w:cs="Times New Roman"/>
                <w:kern w:val="2"/>
                <w:sz w:val="24"/>
                <w:szCs w:val="24"/>
                <w:lang w:val="en-US" w:eastAsia="zh-CN" w:bidi="ar-SA"/>
              </w:rPr>
              <w:t>1</w:t>
            </w:r>
            <w:r>
              <w:rPr>
                <w:rFonts w:hint="eastAsia" w:ascii="Times New Roman" w:hAnsi="Times New Roman" w:cs="Times New Roman"/>
                <w:kern w:val="2"/>
                <w:sz w:val="24"/>
                <w:szCs w:val="24"/>
                <w:lang w:val="en-US" w:eastAsia="zh-CN" w:bidi="ar-SA"/>
              </w:rPr>
              <w:t>）</w:t>
            </w:r>
            <w:r>
              <w:rPr>
                <w:rFonts w:hint="default" w:ascii="Times New Roman" w:hAnsi="Times New Roman" w:cs="Times New Roman"/>
                <w:lang w:eastAsia="zh-CN"/>
              </w:rPr>
              <w:t>灌溉期回用可行性</w:t>
            </w:r>
          </w:p>
          <w:p w14:paraId="4ECCBDC8">
            <w:pPr>
              <w:pStyle w:val="7"/>
              <w:bidi w:val="0"/>
              <w:rPr>
                <w:rFonts w:hint="default" w:ascii="Times New Roman" w:hAnsi="Times New Roman" w:cs="Times New Roman"/>
                <w:lang w:eastAsia="zh-CN"/>
              </w:rPr>
            </w:pPr>
            <w:r>
              <w:rPr>
                <w:rFonts w:hint="default" w:ascii="Times New Roman" w:hAnsi="Times New Roman" w:cs="Times New Roman"/>
                <w:lang w:eastAsia="zh-CN"/>
              </w:rPr>
              <w:t>灌溉期（夏季，约270天），尾水用于园区绿化灌溉。根据《库尔勒上库高新技术产业开发区国土空间专项规划（2024-2035年）环境影响报告书》，园区规划公园绿地和防护林绿地面积共计311.23hm</w:t>
            </w:r>
            <w:r>
              <w:rPr>
                <w:rFonts w:hint="eastAsia" w:ascii="Times New Roman" w:hAnsi="Times New Roman" w:cs="Times New Roman"/>
                <w:vertAlign w:val="superscript"/>
                <w:lang w:val="en-US" w:eastAsia="zh-CN"/>
              </w:rPr>
              <w:t>2</w:t>
            </w:r>
            <w:r>
              <w:rPr>
                <w:rFonts w:hint="default" w:ascii="Times New Roman" w:hAnsi="Times New Roman" w:cs="Times New Roman"/>
                <w:lang w:eastAsia="zh-CN"/>
              </w:rPr>
              <w:t>（约4668.45亩）。根据《新疆维吾尔自治区生活用水定额》，南疆区绿化用水定额为500～600m</w:t>
            </w:r>
            <w:r>
              <w:rPr>
                <w:rFonts w:hint="eastAsia" w:ascii="Times New Roman" w:hAnsi="Times New Roman" w:cs="Times New Roman"/>
                <w:vertAlign w:val="superscript"/>
                <w:lang w:val="en-US" w:eastAsia="zh-CN"/>
              </w:rPr>
              <w:t>3</w:t>
            </w:r>
            <w:r>
              <w:rPr>
                <w:rFonts w:hint="default" w:ascii="Times New Roman" w:hAnsi="Times New Roman" w:cs="Times New Roman"/>
                <w:lang w:eastAsia="zh-CN"/>
              </w:rPr>
              <w:t>/亩</w:t>
            </w:r>
            <w:r>
              <w:rPr>
                <w:rFonts w:hint="eastAsia" w:ascii="Times New Roman" w:cs="Times New Roman"/>
                <w:lang w:val="en-US" w:eastAsia="zh-CN"/>
              </w:rPr>
              <w:t>·</w:t>
            </w:r>
            <w:r>
              <w:rPr>
                <w:rFonts w:hint="default" w:ascii="Times New Roman" w:hAnsi="Times New Roman" w:cs="Times New Roman"/>
                <w:lang w:eastAsia="zh-CN"/>
              </w:rPr>
              <w:t>年，本项目取600m</w:t>
            </w:r>
            <w:r>
              <w:rPr>
                <w:rFonts w:hint="eastAsia" w:ascii="Times New Roman" w:hAnsi="Times New Roman" w:cs="Times New Roman"/>
                <w:vertAlign w:val="superscript"/>
                <w:lang w:val="en-US" w:eastAsia="zh-CN"/>
              </w:rPr>
              <w:t>3</w:t>
            </w:r>
            <w:r>
              <w:rPr>
                <w:rFonts w:hint="default" w:ascii="Times New Roman" w:hAnsi="Times New Roman" w:cs="Times New Roman"/>
                <w:lang w:eastAsia="zh-CN"/>
              </w:rPr>
              <w:t>/亩</w:t>
            </w:r>
            <w:r>
              <w:rPr>
                <w:rFonts w:hint="eastAsia" w:ascii="Times New Roman" w:hAnsi="Times New Roman" w:cs="Times New Roman"/>
                <w:lang w:val="en-US" w:eastAsia="zh-CN"/>
              </w:rPr>
              <w:t>·</w:t>
            </w:r>
            <w:r>
              <w:rPr>
                <w:rFonts w:hint="default" w:ascii="Times New Roman" w:hAnsi="Times New Roman" w:cs="Times New Roman"/>
                <w:lang w:eastAsia="zh-CN"/>
              </w:rPr>
              <w:t>年，则园区绿化灌溉需水量为280.1万m</w:t>
            </w:r>
            <w:r>
              <w:rPr>
                <w:rFonts w:hint="eastAsia" w:ascii="Times New Roman" w:hAnsi="Times New Roman" w:cs="Times New Roman"/>
                <w:vertAlign w:val="superscript"/>
                <w:lang w:val="en-US" w:eastAsia="zh-CN"/>
              </w:rPr>
              <w:t>3</w:t>
            </w:r>
            <w:r>
              <w:rPr>
                <w:rFonts w:hint="default" w:ascii="Times New Roman" w:hAnsi="Times New Roman" w:cs="Times New Roman"/>
                <w:lang w:eastAsia="zh-CN"/>
              </w:rPr>
              <w:t>/a。本项目灌溉期（270天）排水量为2500m</w:t>
            </w:r>
            <w:r>
              <w:rPr>
                <w:rFonts w:hint="eastAsia" w:ascii="Times New Roman" w:hAnsi="Times New Roman" w:cs="Times New Roman"/>
                <w:vertAlign w:val="superscript"/>
                <w:lang w:val="en-US" w:eastAsia="zh-CN"/>
              </w:rPr>
              <w:t>3</w:t>
            </w:r>
            <w:r>
              <w:rPr>
                <w:rFonts w:hint="default" w:ascii="Times New Roman" w:hAnsi="Times New Roman" w:cs="Times New Roman"/>
                <w:lang w:eastAsia="zh-CN"/>
              </w:rPr>
              <w:t>/d×270d=67.5万m</w:t>
            </w:r>
            <w:r>
              <w:rPr>
                <w:rFonts w:hint="eastAsia" w:ascii="Times New Roman" w:hAnsi="Times New Roman" w:cs="Times New Roman"/>
                <w:vertAlign w:val="superscript"/>
                <w:lang w:val="en-US" w:eastAsia="zh-CN"/>
              </w:rPr>
              <w:t>3</w:t>
            </w:r>
            <w:r>
              <w:rPr>
                <w:rFonts w:hint="default" w:ascii="Times New Roman" w:hAnsi="Times New Roman" w:cs="Times New Roman"/>
                <w:lang w:eastAsia="zh-CN"/>
              </w:rPr>
              <w:t>/a（二期）</w:t>
            </w:r>
            <w:r>
              <w:rPr>
                <w:rFonts w:hint="eastAsia" w:ascii="Times New Roman" w:cs="Times New Roman"/>
                <w:lang w:val="en-US" w:eastAsia="zh-CN"/>
              </w:rPr>
              <w:t>+</w:t>
            </w:r>
            <w:r>
              <w:rPr>
                <w:rFonts w:hint="default" w:ascii="Times New Roman" w:hAnsi="Times New Roman" w:cs="Times New Roman"/>
                <w:lang w:eastAsia="zh-CN"/>
              </w:rPr>
              <w:t>一期13.5万m</w:t>
            </w:r>
            <w:r>
              <w:rPr>
                <w:rFonts w:hint="eastAsia" w:ascii="Times New Roman" w:hAnsi="Times New Roman" w:cs="Times New Roman"/>
                <w:vertAlign w:val="superscript"/>
                <w:lang w:val="en-US" w:eastAsia="zh-CN"/>
              </w:rPr>
              <w:t>3</w:t>
            </w:r>
            <w:r>
              <w:rPr>
                <w:rFonts w:hint="default" w:ascii="Times New Roman" w:hAnsi="Times New Roman" w:cs="Times New Roman"/>
                <w:lang w:eastAsia="zh-CN"/>
              </w:rPr>
              <w:t>/a=81万m</w:t>
            </w:r>
            <w:r>
              <w:rPr>
                <w:rFonts w:hint="eastAsia" w:ascii="Times New Roman" w:hAnsi="Times New Roman" w:cs="Times New Roman"/>
                <w:vertAlign w:val="superscript"/>
                <w:lang w:val="en-US" w:eastAsia="zh-CN"/>
              </w:rPr>
              <w:t>3</w:t>
            </w:r>
            <w:r>
              <w:rPr>
                <w:rFonts w:hint="default" w:ascii="Times New Roman" w:hAnsi="Times New Roman" w:cs="Times New Roman"/>
                <w:lang w:eastAsia="zh-CN"/>
              </w:rPr>
              <w:t>/a（按全厂3000m</w:t>
            </w:r>
            <w:r>
              <w:rPr>
                <w:rFonts w:hint="eastAsia" w:ascii="Times New Roman" w:hAnsi="Times New Roman" w:cs="Times New Roman"/>
                <w:vertAlign w:val="superscript"/>
                <w:lang w:val="en-US" w:eastAsia="zh-CN"/>
              </w:rPr>
              <w:t>3</w:t>
            </w:r>
            <w:r>
              <w:rPr>
                <w:rFonts w:hint="default" w:ascii="Times New Roman" w:hAnsi="Times New Roman" w:cs="Times New Roman"/>
                <w:lang w:eastAsia="zh-CN"/>
              </w:rPr>
              <w:t>/d计为81万m</w:t>
            </w:r>
            <w:r>
              <w:rPr>
                <w:rFonts w:hint="eastAsia" w:ascii="Times New Roman" w:hAnsi="Times New Roman" w:cs="Times New Roman"/>
                <w:vertAlign w:val="superscript"/>
                <w:lang w:val="en-US" w:eastAsia="zh-CN"/>
              </w:rPr>
              <w:t>3</w:t>
            </w:r>
            <w:r>
              <w:rPr>
                <w:rFonts w:hint="default" w:ascii="Times New Roman" w:hAnsi="Times New Roman" w:cs="Times New Roman"/>
                <w:lang w:eastAsia="zh-CN"/>
              </w:rPr>
              <w:t>/a）。园区绿化需水量（280.1万m</w:t>
            </w:r>
            <w:r>
              <w:rPr>
                <w:rFonts w:hint="eastAsia" w:ascii="Times New Roman" w:hAnsi="Times New Roman" w:cs="Times New Roman"/>
                <w:vertAlign w:val="superscript"/>
                <w:lang w:val="en-US" w:eastAsia="zh-CN"/>
              </w:rPr>
              <w:t>3</w:t>
            </w:r>
            <w:r>
              <w:rPr>
                <w:rFonts w:hint="default" w:ascii="Times New Roman" w:hAnsi="Times New Roman" w:cs="Times New Roman"/>
                <w:lang w:eastAsia="zh-CN"/>
              </w:rPr>
              <w:t>/a）远大于本项目尾水产生量（81万m</w:t>
            </w:r>
            <w:r>
              <w:rPr>
                <w:rFonts w:hint="eastAsia" w:ascii="Times New Roman" w:hAnsi="Times New Roman" w:cs="Times New Roman"/>
                <w:vertAlign w:val="superscript"/>
                <w:lang w:val="en-US" w:eastAsia="zh-CN"/>
              </w:rPr>
              <w:t>3</w:t>
            </w:r>
            <w:r>
              <w:rPr>
                <w:rFonts w:hint="default" w:ascii="Times New Roman" w:hAnsi="Times New Roman" w:cs="Times New Roman"/>
                <w:lang w:eastAsia="zh-CN"/>
              </w:rPr>
              <w:t>/a），能够完全消纳本项目全部尾水。</w:t>
            </w:r>
          </w:p>
          <w:p w14:paraId="791A787D">
            <w:pPr>
              <w:pStyle w:val="7"/>
              <w:numPr>
                <w:ilvl w:val="0"/>
                <w:numId w:val="0"/>
              </w:numPr>
              <w:bidi w:val="0"/>
              <w:ind w:left="0" w:leftChars="0" w:firstLine="425" w:firstLineChars="0"/>
              <w:rPr>
                <w:rFonts w:hint="default" w:ascii="Times New Roman" w:hAnsi="Times New Roman" w:cs="Times New Roman"/>
                <w:lang w:eastAsia="zh-CN"/>
              </w:rPr>
            </w:pPr>
            <w:r>
              <w:rPr>
                <w:rFonts w:hint="default" w:ascii="Times New Roman" w:hAnsi="Times New Roman" w:eastAsia="宋体" w:cs="Times New Roman"/>
                <w:kern w:val="2"/>
                <w:sz w:val="24"/>
                <w:szCs w:val="24"/>
                <w:lang w:val="en-US" w:eastAsia="zh-CN" w:bidi="ar-SA"/>
              </w:rPr>
              <w:t>2</w:t>
            </w:r>
            <w:r>
              <w:rPr>
                <w:rFonts w:hint="eastAsia" w:ascii="Times New Roman" w:hAnsi="Times New Roman" w:cs="Times New Roman"/>
                <w:kern w:val="2"/>
                <w:sz w:val="24"/>
                <w:szCs w:val="24"/>
                <w:lang w:val="en-US" w:eastAsia="zh-CN" w:bidi="ar-SA"/>
              </w:rPr>
              <w:t>）</w:t>
            </w:r>
            <w:r>
              <w:rPr>
                <w:rFonts w:hint="default" w:ascii="Times New Roman" w:hAnsi="Times New Roman" w:cs="Times New Roman"/>
                <w:lang w:eastAsia="zh-CN"/>
              </w:rPr>
              <w:t>非灌溉期回用可行性</w:t>
            </w:r>
          </w:p>
          <w:p w14:paraId="73E2F23D">
            <w:pPr>
              <w:pStyle w:val="7"/>
              <w:bidi w:val="0"/>
              <w:rPr>
                <w:rFonts w:hint="default" w:ascii="Times New Roman" w:hAnsi="Times New Roman" w:cs="Times New Roman"/>
                <w:lang w:eastAsia="zh-CN"/>
              </w:rPr>
            </w:pPr>
            <w:r>
              <w:rPr>
                <w:rFonts w:hint="default" w:ascii="Times New Roman" w:hAnsi="Times New Roman" w:cs="Times New Roman"/>
                <w:lang w:eastAsia="zh-CN"/>
              </w:rPr>
              <w:t>非灌溉期（冬季，约90天），园区绿化用水需求大幅减少，尾水暂存于中水库或供给园区企业回用。</w:t>
            </w:r>
            <w:r>
              <w:rPr>
                <w:rFonts w:hint="default" w:ascii="Times New Roman" w:hAnsi="Times New Roman" w:cs="Times New Roman"/>
                <w:highlight w:val="none"/>
                <w:lang w:eastAsia="zh-CN"/>
              </w:rPr>
              <w:t>污水处理厂处理等级采用深度处理，出水达到一级</w:t>
            </w:r>
            <w:r>
              <w:rPr>
                <w:rFonts w:hint="default" w:ascii="Times New Roman" w:hAnsi="Times New Roman" w:cs="Times New Roman"/>
                <w:highlight w:val="none"/>
                <w:lang w:val="en-US" w:eastAsia="zh-CN"/>
              </w:rPr>
              <w:t>A</w:t>
            </w:r>
            <w:r>
              <w:rPr>
                <w:rFonts w:hint="default" w:ascii="Times New Roman" w:hAnsi="Times New Roman" w:cs="Times New Roman"/>
                <w:highlight w:val="none"/>
                <w:lang w:eastAsia="zh-CN"/>
              </w:rPr>
              <w:t>标准并满足《城市污水再生利用 工业用水水质》（GB/T 19923-2024）要求后，</w:t>
            </w:r>
            <w:r>
              <w:rPr>
                <w:rFonts w:hint="default" w:ascii="Times New Roman" w:hAnsi="Times New Roman" w:cs="Times New Roman"/>
                <w:highlight w:val="none"/>
                <w:lang w:val="en-US" w:eastAsia="zh-CN"/>
              </w:rPr>
              <w:t>回用水达到《炼油化工企业污水回用管理导则》中初级再生水标准后</w:t>
            </w:r>
            <w:r>
              <w:rPr>
                <w:rFonts w:hint="default" w:ascii="Times New Roman" w:hAnsi="Times New Roman" w:cs="Times New Roman"/>
                <w:highlight w:val="none"/>
                <w:lang w:eastAsia="zh-CN"/>
              </w:rPr>
              <w:t>，</w:t>
            </w:r>
            <w:r>
              <w:rPr>
                <w:rFonts w:hint="default" w:ascii="Times New Roman" w:hAnsi="Times New Roman" w:cs="Times New Roman"/>
                <w:highlight w:val="none"/>
                <w:lang w:val="en-US" w:eastAsia="zh-CN"/>
              </w:rPr>
              <w:t>用</w:t>
            </w:r>
            <w:r>
              <w:rPr>
                <w:rFonts w:hint="default" w:ascii="Times New Roman" w:hAnsi="Times New Roman" w:cs="Times New Roman"/>
                <w:highlight w:val="none"/>
                <w:lang w:eastAsia="zh-CN"/>
              </w:rPr>
              <w:t>于企业</w:t>
            </w:r>
            <w:r>
              <w:rPr>
                <w:rFonts w:hint="default" w:ascii="Times New Roman" w:hAnsi="Times New Roman" w:cs="Times New Roman"/>
                <w:highlight w:val="none"/>
                <w:lang w:val="en-US" w:eastAsia="zh-CN"/>
              </w:rPr>
              <w:t>回用</w:t>
            </w:r>
            <w:r>
              <w:rPr>
                <w:rFonts w:hint="default" w:ascii="Times New Roman" w:hAnsi="Times New Roman" w:cs="Times New Roman"/>
                <w:highlight w:val="none"/>
                <w:lang w:eastAsia="zh-CN"/>
              </w:rPr>
              <w:t>生产、绿化、</w:t>
            </w:r>
            <w:r>
              <w:rPr>
                <w:rFonts w:hint="default" w:ascii="Times New Roman" w:hAnsi="Times New Roman" w:cs="Times New Roman"/>
                <w:highlight w:val="none"/>
                <w:lang w:val="en-US" w:eastAsia="zh-CN"/>
              </w:rPr>
              <w:t>湿地灌溉</w:t>
            </w:r>
            <w:r>
              <w:rPr>
                <w:rFonts w:hint="default" w:ascii="Times New Roman" w:hAnsi="Times New Roman" w:cs="Times New Roman"/>
                <w:highlight w:val="none"/>
                <w:lang w:eastAsia="zh-CN"/>
              </w:rPr>
              <w:t>。冬季绿化用水减少时</w:t>
            </w:r>
            <w:r>
              <w:rPr>
                <w:rFonts w:hint="default" w:ascii="Times New Roman" w:hAnsi="Times New Roman" w:cs="Times New Roman"/>
                <w:highlight w:val="none"/>
                <w:lang w:val="en-US" w:eastAsia="zh-CN"/>
              </w:rPr>
              <w:t>加大企业</w:t>
            </w:r>
            <w:r>
              <w:rPr>
                <w:rFonts w:hint="default" w:ascii="Times New Roman" w:hAnsi="Times New Roman" w:cs="Times New Roman"/>
                <w:highlight w:val="none"/>
                <w:lang w:eastAsia="zh-CN"/>
              </w:rPr>
              <w:t>中水</w:t>
            </w:r>
            <w:r>
              <w:rPr>
                <w:rFonts w:hint="default" w:ascii="Times New Roman" w:hAnsi="Times New Roman" w:cs="Times New Roman"/>
                <w:highlight w:val="none"/>
                <w:lang w:val="en-US" w:eastAsia="zh-CN"/>
              </w:rPr>
              <w:t>回用比例，也</w:t>
            </w:r>
            <w:r>
              <w:rPr>
                <w:rFonts w:hint="default" w:ascii="Times New Roman" w:hAnsi="Times New Roman" w:cs="Times New Roman"/>
                <w:highlight w:val="none"/>
                <w:lang w:eastAsia="zh-CN"/>
              </w:rPr>
              <w:t>可</w:t>
            </w:r>
            <w:r>
              <w:rPr>
                <w:rFonts w:hint="default" w:ascii="Times New Roman" w:hAnsi="Times New Roman" w:cs="Times New Roman"/>
                <w:highlight w:val="none"/>
                <w:lang w:val="en-US" w:eastAsia="zh-CN"/>
              </w:rPr>
              <w:t>排入园区的中水库暂存。</w:t>
            </w:r>
          </w:p>
          <w:p w14:paraId="7FB9BAF3">
            <w:pPr>
              <w:pStyle w:val="7"/>
              <w:numPr>
                <w:ilvl w:val="0"/>
                <w:numId w:val="3"/>
              </w:numPr>
              <w:bidi w:val="0"/>
              <w:ind w:left="0" w:leftChars="0" w:firstLine="420" w:firstLineChars="0"/>
              <w:rPr>
                <w:rFonts w:hint="default" w:ascii="Times New Roman" w:hAnsi="Times New Roman" w:cs="Times New Roman"/>
                <w:lang w:eastAsia="zh-CN"/>
              </w:rPr>
            </w:pPr>
            <w:r>
              <w:rPr>
                <w:rFonts w:hint="default" w:ascii="Times New Roman" w:hAnsi="Times New Roman" w:cs="Times New Roman"/>
                <w:lang w:eastAsia="zh-CN"/>
              </w:rPr>
              <w:t>中水库暂存</w:t>
            </w:r>
          </w:p>
          <w:p w14:paraId="1D398106">
            <w:pPr>
              <w:pStyle w:val="7"/>
              <w:bidi w:val="0"/>
              <w:rPr>
                <w:rFonts w:hint="default" w:ascii="Times New Roman" w:hAnsi="Times New Roman" w:cs="Times New Roman"/>
                <w:lang w:eastAsia="zh-CN"/>
              </w:rPr>
            </w:pPr>
            <w:r>
              <w:rPr>
                <w:rFonts w:hint="default" w:ascii="Times New Roman" w:hAnsi="Times New Roman" w:cs="Times New Roman"/>
                <w:highlight w:val="none"/>
                <w:lang w:eastAsia="zh-CN"/>
              </w:rPr>
              <w:t>本项目依托厂区</w:t>
            </w:r>
            <w:r>
              <w:rPr>
                <w:rFonts w:hint="eastAsia" w:ascii="Times New Roman" w:cs="Times New Roman"/>
                <w:highlight w:val="none"/>
                <w:lang w:val="en-US" w:eastAsia="zh-CN"/>
              </w:rPr>
              <w:t>东北</w:t>
            </w:r>
            <w:r>
              <w:rPr>
                <w:rFonts w:hint="default" w:ascii="Times New Roman" w:hAnsi="Times New Roman" w:cs="Times New Roman"/>
                <w:highlight w:val="none"/>
                <w:lang w:eastAsia="zh-CN"/>
              </w:rPr>
              <w:t>侧</w:t>
            </w:r>
            <w:r>
              <w:rPr>
                <w:rFonts w:hint="eastAsia" w:ascii="Times New Roman" w:cs="Times New Roman"/>
                <w:highlight w:val="none"/>
                <w:lang w:val="en-US" w:eastAsia="zh-CN"/>
              </w:rPr>
              <w:t>3.35</w:t>
            </w:r>
            <w:r>
              <w:rPr>
                <w:rFonts w:hint="default" w:ascii="Times New Roman" w:hAnsi="Times New Roman" w:cs="Times New Roman"/>
                <w:highlight w:val="none"/>
                <w:lang w:eastAsia="zh-CN"/>
              </w:rPr>
              <w:t>km处的</w:t>
            </w:r>
            <w:r>
              <w:rPr>
                <w:rFonts w:hint="eastAsia" w:ascii="Times New Roman" w:cs="Times New Roman"/>
                <w:highlight w:val="none"/>
                <w:lang w:val="en-US" w:eastAsia="zh-CN"/>
              </w:rPr>
              <w:t>现状</w:t>
            </w:r>
            <w:r>
              <w:rPr>
                <w:rFonts w:hint="default" w:ascii="Times New Roman" w:hAnsi="Times New Roman" w:cs="Times New Roman"/>
                <w:highlight w:val="none"/>
                <w:lang w:eastAsia="zh-CN"/>
              </w:rPr>
              <w:t>中水库（有效库容</w:t>
            </w:r>
            <w:r>
              <w:rPr>
                <w:rFonts w:hint="eastAsia" w:ascii="Times New Roman" w:cs="Times New Roman"/>
                <w:highlight w:val="none"/>
                <w:lang w:val="en-US" w:eastAsia="zh-CN"/>
              </w:rPr>
              <w:t>3</w:t>
            </w:r>
            <w:r>
              <w:rPr>
                <w:rFonts w:hint="default" w:ascii="Times New Roman" w:hAnsi="Times New Roman" w:cs="Times New Roman"/>
                <w:highlight w:val="none"/>
                <w:lang w:eastAsia="zh-CN"/>
              </w:rPr>
              <w:t>万m</w:t>
            </w:r>
            <w:r>
              <w:rPr>
                <w:rFonts w:hint="eastAsia" w:ascii="Times New Roman" w:cs="Times New Roman"/>
                <w:highlight w:val="none"/>
                <w:vertAlign w:val="superscript"/>
                <w:lang w:val="en-US" w:eastAsia="zh-CN"/>
              </w:rPr>
              <w:t>3</w:t>
            </w:r>
            <w:r>
              <w:rPr>
                <w:rFonts w:hint="default" w:ascii="Times New Roman" w:hAnsi="Times New Roman" w:cs="Times New Roman"/>
                <w:highlight w:val="none"/>
                <w:lang w:eastAsia="zh-CN"/>
              </w:rPr>
              <w:t>），</w:t>
            </w:r>
            <w:r>
              <w:rPr>
                <w:rFonts w:hint="default" w:ascii="Times New Roman" w:hAnsi="Times New Roman" w:cs="Times New Roman"/>
                <w:lang w:eastAsia="zh-CN"/>
              </w:rPr>
              <w:t>该中水库目前处于动态运行状态，主要承担园区再生水的调蓄和向园区企业的工业供水任务，与本项目通过再生水管道（约8481m，DN300）直接连通，可实现尾水的双向调度。</w:t>
            </w:r>
          </w:p>
          <w:p w14:paraId="5A7EDFFD">
            <w:pPr>
              <w:pStyle w:val="7"/>
              <w:bidi w:val="0"/>
              <w:rPr>
                <w:rFonts w:hint="default" w:ascii="Times New Roman" w:hAnsi="Times New Roman" w:cs="Times New Roman"/>
                <w:lang w:val="en-US" w:eastAsia="zh-CN"/>
              </w:rPr>
            </w:pPr>
            <w:r>
              <w:rPr>
                <w:rFonts w:hint="eastAsia" w:ascii="Times New Roman" w:hAnsi="Times New Roman" w:cs="Times New Roman"/>
                <w:lang w:val="en-US" w:eastAsia="zh-CN"/>
              </w:rPr>
              <w:t>中水库</w:t>
            </w:r>
            <w:r>
              <w:rPr>
                <w:rFonts w:hint="default" w:ascii="Times New Roman" w:hAnsi="Times New Roman" w:cs="Times New Roman"/>
                <w:lang w:val="en-US" w:eastAsia="zh-CN"/>
              </w:rPr>
              <w:t>依托可行性论证：</w:t>
            </w:r>
          </w:p>
          <w:p w14:paraId="7A944F8A">
            <w:pPr>
              <w:pStyle w:val="7"/>
              <w:bidi w:val="0"/>
              <w:rPr>
                <w:rFonts w:hint="default" w:ascii="Times New Roman" w:hAnsi="Times New Roman" w:cs="Times New Roman"/>
                <w:lang w:eastAsia="zh-CN"/>
              </w:rPr>
            </w:pPr>
            <w:r>
              <w:rPr>
                <w:rFonts w:hint="default" w:ascii="Times New Roman" w:hAnsi="Times New Roman" w:cs="Times New Roman"/>
                <w:lang w:eastAsia="zh-CN"/>
              </w:rPr>
              <w:t>现状中水库主要起水量调峰缓冲作用，非灌溉期尾水优先供给园区企业回用，中水库仅调节短期水量波动。非灌溉期（冬季约90天），全厂（一期+二期）尾水产生量为3000m</w:t>
            </w:r>
            <w:r>
              <w:rPr>
                <w:rFonts w:hint="eastAsia" w:ascii="Times New Roman" w:hAnsi="Times New Roman" w:cs="Times New Roman"/>
                <w:vertAlign w:val="superscript"/>
                <w:lang w:val="en-US" w:eastAsia="zh-CN"/>
              </w:rPr>
              <w:t>3</w:t>
            </w:r>
            <w:r>
              <w:rPr>
                <w:rFonts w:hint="default" w:ascii="Times New Roman" w:hAnsi="Times New Roman" w:cs="Times New Roman"/>
                <w:lang w:eastAsia="zh-CN"/>
              </w:rPr>
              <w:t>/d×90d=27万m</w:t>
            </w:r>
            <w:r>
              <w:rPr>
                <w:rFonts w:hint="eastAsia" w:ascii="Times New Roman" w:hAnsi="Times New Roman" w:cs="Times New Roman"/>
                <w:vertAlign w:val="superscript"/>
                <w:lang w:val="en-US" w:eastAsia="zh-CN"/>
              </w:rPr>
              <w:t>3</w:t>
            </w:r>
            <w:r>
              <w:rPr>
                <w:rFonts w:hint="default" w:ascii="Times New Roman" w:hAnsi="Times New Roman" w:cs="Times New Roman"/>
                <w:lang w:eastAsia="zh-CN"/>
              </w:rPr>
              <w:t>。消纳途径为：优先加大园区企业中水回用比例（冬季园区企业循环冷却补水需求相对稳定，为主要消纳途径），富余水量通过再生水管道排入3万m</w:t>
            </w:r>
            <w:r>
              <w:rPr>
                <w:rFonts w:hint="eastAsia" w:ascii="Times New Roman" w:hAnsi="Times New Roman" w:cs="Times New Roman"/>
                <w:vertAlign w:val="superscript"/>
                <w:lang w:val="en-US" w:eastAsia="zh-CN"/>
              </w:rPr>
              <w:t>3</w:t>
            </w:r>
            <w:r>
              <w:rPr>
                <w:rFonts w:hint="default" w:ascii="Times New Roman" w:hAnsi="Times New Roman" w:cs="Times New Roman"/>
                <w:lang w:eastAsia="zh-CN"/>
              </w:rPr>
              <w:t>中水库暂存，水库进水的同时持续向企业供水，形成</w:t>
            </w:r>
            <w:r>
              <w:rPr>
                <w:rFonts w:hint="eastAsia" w:ascii="Times New Roman" w:hAnsi="Times New Roman" w:cs="Times New Roman"/>
                <w:lang w:eastAsia="zh-CN"/>
              </w:rPr>
              <w:t>“</w:t>
            </w:r>
            <w:r>
              <w:rPr>
                <w:rFonts w:hint="default" w:ascii="Times New Roman" w:hAnsi="Times New Roman" w:cs="Times New Roman"/>
                <w:lang w:eastAsia="zh-CN"/>
              </w:rPr>
              <w:t>边进边出</w:t>
            </w:r>
            <w:r>
              <w:rPr>
                <w:rFonts w:hint="eastAsia" w:ascii="Times New Roman" w:hAnsi="Times New Roman" w:cs="Times New Roman"/>
                <w:lang w:eastAsia="zh-CN"/>
              </w:rPr>
              <w:t>”</w:t>
            </w:r>
            <w:r>
              <w:rPr>
                <w:rFonts w:hint="default" w:ascii="Times New Roman" w:hAnsi="Times New Roman" w:cs="Times New Roman"/>
                <w:lang w:eastAsia="zh-CN"/>
              </w:rPr>
              <w:t>的动态周转模式，实际起水量调峰缓冲作用，而非静态储存全部尾水。</w:t>
            </w:r>
          </w:p>
          <w:p w14:paraId="0CDB6EB2">
            <w:pPr>
              <w:pStyle w:val="7"/>
              <w:bidi w:val="0"/>
              <w:rPr>
                <w:rFonts w:hint="default" w:ascii="Times New Roman" w:hAnsi="Times New Roman" w:cs="Times New Roman"/>
                <w:lang w:val="en-US" w:eastAsia="zh-CN"/>
              </w:rPr>
            </w:pPr>
            <w:r>
              <w:rPr>
                <w:rFonts w:hint="default" w:ascii="Times New Roman" w:hAnsi="Times New Roman" w:cs="Times New Roman"/>
                <w:lang w:val="en-US" w:eastAsia="zh-CN"/>
              </w:rPr>
              <w:t>经核算，非灌溉期若企业直接回用量按尾水量的60%计（16.2万m</w:t>
            </w:r>
            <w:r>
              <w:rPr>
                <w:rFonts w:hint="eastAsia" w:ascii="Times New Roman" w:hAnsi="Times New Roman" w:cs="Times New Roman"/>
                <w:vertAlign w:val="superscript"/>
                <w:lang w:val="en-US" w:eastAsia="zh-CN"/>
              </w:rPr>
              <w:t>3</w:t>
            </w:r>
            <w:r>
              <w:rPr>
                <w:rFonts w:hint="default" w:ascii="Times New Roman" w:hAnsi="Times New Roman" w:cs="Times New Roman"/>
                <w:lang w:val="en-US" w:eastAsia="zh-CN"/>
              </w:rPr>
              <w:t>），需暂存水量为10.8万m</w:t>
            </w:r>
            <w:r>
              <w:rPr>
                <w:rFonts w:hint="eastAsia" w:ascii="Times New Roman" w:hAnsi="Times New Roman" w:cs="Times New Roman"/>
                <w:vertAlign w:val="superscript"/>
                <w:lang w:val="en-US" w:eastAsia="zh-CN"/>
              </w:rPr>
              <w:t>3</w:t>
            </w:r>
            <w:r>
              <w:rPr>
                <w:rFonts w:hint="default" w:ascii="Times New Roman" w:hAnsi="Times New Roman" w:cs="Times New Roman"/>
                <w:lang w:val="en-US" w:eastAsia="zh-CN"/>
              </w:rPr>
              <w:t>；按3万m</w:t>
            </w:r>
            <w:r>
              <w:rPr>
                <w:rFonts w:hint="eastAsia" w:ascii="Times New Roman" w:hAnsi="Times New Roman" w:cs="Times New Roman"/>
                <w:vertAlign w:val="superscript"/>
                <w:lang w:val="en-US" w:eastAsia="zh-CN"/>
              </w:rPr>
              <w:t>3</w:t>
            </w:r>
            <w:r>
              <w:rPr>
                <w:rFonts w:hint="default" w:ascii="Times New Roman" w:hAnsi="Times New Roman" w:cs="Times New Roman"/>
                <w:lang w:val="en-US" w:eastAsia="zh-CN"/>
              </w:rPr>
              <w:t>库容、周转周期不超过25天计（即水库每25天完成一次进水—供水循环），10.8万m</w:t>
            </w:r>
            <w:r>
              <w:rPr>
                <w:rFonts w:hint="eastAsia" w:ascii="Times New Roman" w:hAnsi="Times New Roman" w:cs="Times New Roman"/>
                <w:vertAlign w:val="superscript"/>
                <w:lang w:val="en-US" w:eastAsia="zh-CN"/>
              </w:rPr>
              <w:t>3</w:t>
            </w:r>
            <w:r>
              <w:rPr>
                <w:rFonts w:hint="default" w:ascii="Times New Roman" w:hAnsi="Times New Roman" w:cs="Times New Roman"/>
                <w:lang w:val="en-US" w:eastAsia="zh-CN"/>
              </w:rPr>
              <w:t>可在90天内完成3~4次周转，3万m</w:t>
            </w:r>
            <w:r>
              <w:rPr>
                <w:rFonts w:hint="eastAsia" w:ascii="Times New Roman" w:hAnsi="Times New Roman" w:cs="Times New Roman"/>
                <w:vertAlign w:val="superscript"/>
                <w:lang w:val="en-US" w:eastAsia="zh-CN"/>
              </w:rPr>
              <w:t>3</w:t>
            </w:r>
            <w:r>
              <w:rPr>
                <w:rFonts w:hint="default" w:ascii="Times New Roman" w:hAnsi="Times New Roman" w:cs="Times New Roman"/>
                <w:lang w:val="en-US" w:eastAsia="zh-CN"/>
              </w:rPr>
              <w:t>库容完全满足调蓄需求。若企业回用量按80%计，需暂存水量仅5.4万m</w:t>
            </w:r>
            <w:r>
              <w:rPr>
                <w:rFonts w:hint="eastAsia" w:ascii="Times New Roman" w:hAnsi="Times New Roman" w:cs="Times New Roman"/>
                <w:vertAlign w:val="superscript"/>
                <w:lang w:val="en-US" w:eastAsia="zh-CN"/>
              </w:rPr>
              <w:t>3</w:t>
            </w:r>
            <w:r>
              <w:rPr>
                <w:rFonts w:hint="default" w:ascii="Times New Roman" w:hAnsi="Times New Roman" w:cs="Times New Roman"/>
                <w:lang w:val="en-US" w:eastAsia="zh-CN"/>
              </w:rPr>
              <w:t>，周转2次即可消纳。因此，依托现状3万m</w:t>
            </w:r>
            <w:r>
              <w:rPr>
                <w:rFonts w:hint="eastAsia" w:ascii="Times New Roman" w:hAnsi="Times New Roman" w:cs="Times New Roman"/>
                <w:vertAlign w:val="superscript"/>
                <w:lang w:val="en-US" w:eastAsia="zh-CN"/>
              </w:rPr>
              <w:t>3</w:t>
            </w:r>
            <w:r>
              <w:rPr>
                <w:rFonts w:hint="default" w:ascii="Times New Roman" w:hAnsi="Times New Roman" w:cs="Times New Roman"/>
                <w:lang w:val="en-US" w:eastAsia="zh-CN"/>
              </w:rPr>
              <w:t>中水库的动态调蓄功能，结合企业回用，可保障非灌溉期尾水不外排，实现废水零排放。</w:t>
            </w:r>
          </w:p>
          <w:p w14:paraId="1610FA1B">
            <w:pPr>
              <w:pStyle w:val="7"/>
              <w:numPr>
                <w:ilvl w:val="0"/>
                <w:numId w:val="3"/>
              </w:numPr>
              <w:bidi w:val="0"/>
              <w:ind w:left="0" w:leftChars="0" w:firstLine="420" w:firstLineChars="0"/>
              <w:rPr>
                <w:rFonts w:hint="default" w:ascii="Times New Roman" w:hAnsi="Times New Roman" w:cs="Times New Roman"/>
                <w:lang w:eastAsia="zh-CN"/>
              </w:rPr>
            </w:pPr>
            <w:r>
              <w:rPr>
                <w:rFonts w:hint="default" w:ascii="Times New Roman" w:hAnsi="Times New Roman" w:cs="Times New Roman"/>
                <w:lang w:eastAsia="zh-CN"/>
              </w:rPr>
              <w:t>园区企业回用</w:t>
            </w:r>
          </w:p>
          <w:p w14:paraId="3FAA54E7">
            <w:pPr>
              <w:pStyle w:val="7"/>
              <w:bidi w:val="0"/>
              <w:rPr>
                <w:rFonts w:hint="default" w:ascii="Times New Roman" w:hAnsi="Times New Roman" w:cs="Times New Roman"/>
                <w:lang w:eastAsia="zh-CN"/>
              </w:rPr>
            </w:pPr>
            <w:r>
              <w:rPr>
                <w:rFonts w:hint="default" w:ascii="Times New Roman" w:hAnsi="Times New Roman" w:cs="Times New Roman"/>
                <w:lang w:eastAsia="zh-CN"/>
              </w:rPr>
              <w:t>本项目非灌溉期部分尾水通过再生水管道供给园区企业回用，执行《城市污水再生利用 工业用水水质》（GB/T 19923-2024）标准。</w:t>
            </w:r>
          </w:p>
          <w:p w14:paraId="5EDCC59B">
            <w:pPr>
              <w:pStyle w:val="7"/>
              <w:bidi w:val="0"/>
              <w:rPr>
                <w:rFonts w:hint="default" w:ascii="Times New Roman" w:hAnsi="Times New Roman" w:cs="Times New Roman"/>
                <w:lang w:eastAsia="zh-CN"/>
              </w:rPr>
            </w:pPr>
            <w:r>
              <w:rPr>
                <w:rFonts w:hint="default" w:ascii="Times New Roman" w:hAnsi="Times New Roman" w:cs="Times New Roman"/>
                <w:lang w:eastAsia="zh-CN"/>
              </w:rPr>
              <w:t>具体用途包括：</w:t>
            </w:r>
          </w:p>
          <w:p w14:paraId="3ADE2673">
            <w:pPr>
              <w:pStyle w:val="7"/>
              <w:bidi w:val="0"/>
              <w:rPr>
                <w:rFonts w:hint="default" w:ascii="Times New Roman" w:hAnsi="Times New Roman" w:cs="Times New Roman"/>
                <w:lang w:eastAsia="zh-CN"/>
              </w:rPr>
            </w:pPr>
            <w:r>
              <w:rPr>
                <w:rFonts w:hint="default" w:ascii="Times New Roman" w:hAnsi="Times New Roman" w:cs="Times New Roman"/>
                <w:lang w:eastAsia="zh-CN"/>
              </w:rPr>
              <w:t>①循环冷却水系统补充水：供给园区内石油化工、煤化工等企业的循环冷却水系统作为补充水，替代新鲜水资源；</w:t>
            </w:r>
          </w:p>
          <w:p w14:paraId="2FB67776">
            <w:pPr>
              <w:pStyle w:val="7"/>
              <w:bidi w:val="0"/>
              <w:rPr>
                <w:rFonts w:hint="eastAsia" w:ascii="Times New Roman" w:hAnsi="Times New Roman" w:cs="Times New Roman"/>
                <w:lang w:val="en-US" w:eastAsia="zh-CN"/>
              </w:rPr>
            </w:pPr>
            <w:r>
              <w:rPr>
                <w:rFonts w:hint="default" w:ascii="Times New Roman" w:hAnsi="Times New Roman" w:cs="Times New Roman"/>
                <w:lang w:eastAsia="zh-CN"/>
              </w:rPr>
              <w:t>本项目尾水通过深度处理单元（高效沉淀池+精密过滤）进一步去除残留污染物后，出水水质可稳定达到COD≤50mg/L、BOD</w:t>
            </w:r>
            <w:r>
              <w:rPr>
                <w:rFonts w:hint="eastAsia" w:ascii="Times New Roman" w:hAnsi="Times New Roman" w:cs="Times New Roman"/>
                <w:vertAlign w:val="subscript"/>
                <w:lang w:val="en-US" w:eastAsia="zh-CN"/>
              </w:rPr>
              <w:t>5</w:t>
            </w:r>
            <w:r>
              <w:rPr>
                <w:rFonts w:hint="default" w:ascii="Times New Roman" w:hAnsi="Times New Roman" w:cs="Times New Roman"/>
                <w:lang w:eastAsia="zh-CN"/>
              </w:rPr>
              <w:t>≤10mg/L、SS≤10mg/L、氨氮≤5mg/L、TP≤0.5mg/L。该水质可满足《炼油化工企业污水回用管理导则》中初级再生水（用于循环冷却水补充水）的水质控制指标要求。本项目作为园区配套污水处理设施，出水经再生水管道输送至园区企业后，可直接用于循环冷却水系统补充水、生产工艺用水等用途，无需企业另行深度处理</w:t>
            </w:r>
            <w:r>
              <w:rPr>
                <w:rFonts w:hint="eastAsia" w:ascii="Times New Roman" w:hAnsi="Times New Roman" w:cs="Times New Roman"/>
                <w:lang w:val="en-US" w:eastAsia="zh-CN"/>
              </w:rPr>
              <w:t>。</w:t>
            </w:r>
          </w:p>
          <w:p w14:paraId="5ADF0A60">
            <w:pPr>
              <w:pStyle w:val="7"/>
              <w:bidi w:val="0"/>
              <w:rPr>
                <w:rFonts w:hint="eastAsia" w:ascii="Times New Roman" w:hAnsi="Times New Roman" w:cs="Times New Roman"/>
                <w:lang w:val="en-US" w:eastAsia="zh-CN"/>
              </w:rPr>
            </w:pPr>
            <w:r>
              <w:rPr>
                <w:rFonts w:hint="eastAsia" w:ascii="Times New Roman" w:hAnsi="Times New Roman" w:cs="Times New Roman"/>
                <w:lang w:val="en-US" w:eastAsia="zh-CN"/>
              </w:rPr>
              <w:t>《炼油化工企业污水回用管理导则》按回用用途对再生水水质实行分类控制，初级再生水主要适用于循环冷却系统补水、绿化、道路浇洒、景观及湿地补水等一般回用用途。将本项目出水与初级再生水主要控制指标逐项对比，见表4-14：</w:t>
            </w:r>
          </w:p>
          <w:p w14:paraId="02E14247">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line="240" w:lineRule="auto"/>
              <w:ind w:leftChars="200"/>
              <w:jc w:val="center"/>
              <w:textAlignment w:val="auto"/>
              <w:rPr>
                <w:rFonts w:hint="eastAsia"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kern w:val="2"/>
                <w:sz w:val="21"/>
                <w:szCs w:val="21"/>
                <w:lang w:val="en-US" w:eastAsia="zh-CN" w:bidi="ar-SA"/>
              </w:rPr>
              <w:t>表</w:t>
            </w:r>
            <w:r>
              <w:rPr>
                <w:rFonts w:hint="eastAsia" w:ascii="Times New Roman" w:cs="Times New Roman"/>
                <w:b/>
                <w:bCs/>
                <w:kern w:val="2"/>
                <w:sz w:val="21"/>
                <w:szCs w:val="21"/>
                <w:lang w:val="en-US" w:eastAsia="zh-CN" w:bidi="ar-SA"/>
              </w:rPr>
              <w:t>4-14</w:t>
            </w:r>
            <w:r>
              <w:rPr>
                <w:rFonts w:hint="eastAsia" w:ascii="Times New Roman" w:hAnsi="Times New Roman" w:eastAsia="宋体" w:cs="Times New Roman"/>
                <w:b/>
                <w:bCs/>
                <w:kern w:val="2"/>
                <w:sz w:val="21"/>
                <w:szCs w:val="21"/>
                <w:lang w:val="en-US" w:eastAsia="zh-CN" w:bidi="ar-SA"/>
              </w:rPr>
              <w:t xml:space="preserve"> 本项目出水与初级再生水水质对比表</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2"/>
              <w:gridCol w:w="1987"/>
              <w:gridCol w:w="1309"/>
              <w:gridCol w:w="1502"/>
            </w:tblGrid>
            <w:tr w14:paraId="6386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8" w:type="pct"/>
                  <w:tcBorders>
                    <w:top w:val="single" w:color="000000" w:sz="4" w:space="0"/>
                    <w:left w:val="single" w:color="000000" w:sz="4" w:space="0"/>
                    <w:bottom w:val="single" w:color="000000" w:sz="4" w:space="0"/>
                    <w:right w:val="single" w:color="000000" w:sz="4" w:space="0"/>
                  </w:tcBorders>
                  <w:vAlign w:val="center"/>
                </w:tcPr>
                <w:p w14:paraId="14E73CEC">
                  <w:pPr>
                    <w:pStyle w:val="25"/>
                    <w:bidi w:val="0"/>
                    <w:rPr>
                      <w:rFonts w:hint="default" w:ascii="Times New Roman" w:hAnsi="Times New Roman" w:cs="Times New Roman"/>
                    </w:rPr>
                  </w:pPr>
                  <w:r>
                    <w:rPr>
                      <w:rFonts w:hint="default" w:ascii="Times New Roman" w:hAnsi="Times New Roman" w:cs="Times New Roman"/>
                    </w:rPr>
                    <w:t>指标</w:t>
                  </w:r>
                </w:p>
              </w:tc>
              <w:tc>
                <w:tcPr>
                  <w:tcW w:w="1251" w:type="pct"/>
                  <w:tcBorders>
                    <w:top w:val="single" w:color="000000" w:sz="4" w:space="0"/>
                    <w:left w:val="single" w:color="000000" w:sz="4" w:space="0"/>
                    <w:bottom w:val="single" w:color="000000" w:sz="4" w:space="0"/>
                    <w:right w:val="single" w:color="000000" w:sz="4" w:space="0"/>
                  </w:tcBorders>
                  <w:vAlign w:val="center"/>
                </w:tcPr>
                <w:p w14:paraId="249015F9">
                  <w:pPr>
                    <w:pStyle w:val="25"/>
                    <w:bidi w:val="0"/>
                    <w:rPr>
                      <w:rFonts w:hint="default" w:ascii="Times New Roman" w:hAnsi="Times New Roman" w:cs="Times New Roman"/>
                    </w:rPr>
                  </w:pPr>
                  <w:r>
                    <w:rPr>
                      <w:rFonts w:hint="default" w:ascii="Times New Roman" w:hAnsi="Times New Roman" w:cs="Times New Roman"/>
                    </w:rPr>
                    <w:t>单位</w:t>
                  </w:r>
                </w:p>
              </w:tc>
              <w:tc>
                <w:tcPr>
                  <w:tcW w:w="824" w:type="pct"/>
                  <w:tcBorders>
                    <w:top w:val="single" w:color="000000" w:sz="4" w:space="0"/>
                    <w:left w:val="single" w:color="000000" w:sz="4" w:space="0"/>
                    <w:bottom w:val="single" w:color="000000" w:sz="4" w:space="0"/>
                    <w:right w:val="single" w:color="000000" w:sz="4" w:space="0"/>
                  </w:tcBorders>
                  <w:vAlign w:val="center"/>
                </w:tcPr>
                <w:p w14:paraId="06DAE59F">
                  <w:pPr>
                    <w:pStyle w:val="25"/>
                    <w:bidi w:val="0"/>
                    <w:rPr>
                      <w:rFonts w:hint="default" w:ascii="Times New Roman" w:hAnsi="Times New Roman" w:cs="Times New Roman"/>
                    </w:rPr>
                  </w:pPr>
                  <w:r>
                    <w:rPr>
                      <w:rFonts w:hint="default" w:ascii="Times New Roman" w:hAnsi="Times New Roman" w:cs="Times New Roman"/>
                    </w:rPr>
                    <w:t>初级再生水控制指标</w:t>
                  </w:r>
                </w:p>
              </w:tc>
              <w:tc>
                <w:tcPr>
                  <w:tcW w:w="945" w:type="pct"/>
                  <w:tcBorders>
                    <w:top w:val="single" w:color="000000" w:sz="4" w:space="0"/>
                    <w:left w:val="single" w:color="000000" w:sz="4" w:space="0"/>
                    <w:bottom w:val="single" w:color="000000" w:sz="4" w:space="0"/>
                    <w:right w:val="single" w:color="000000" w:sz="4" w:space="0"/>
                  </w:tcBorders>
                  <w:vAlign w:val="center"/>
                </w:tcPr>
                <w:p w14:paraId="378119A0">
                  <w:pPr>
                    <w:pStyle w:val="25"/>
                    <w:bidi w:val="0"/>
                    <w:rPr>
                      <w:rFonts w:hint="default" w:ascii="Times New Roman" w:hAnsi="Times New Roman" w:cs="Times New Roman"/>
                    </w:rPr>
                  </w:pPr>
                  <w:r>
                    <w:rPr>
                      <w:rFonts w:hint="default" w:ascii="Times New Roman" w:hAnsi="Times New Roman" w:cs="Times New Roman"/>
                    </w:rPr>
                    <w:t>本项目出水</w:t>
                  </w:r>
                </w:p>
              </w:tc>
            </w:tr>
            <w:tr w14:paraId="08A1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8" w:type="pct"/>
                  <w:tcBorders>
                    <w:top w:val="single" w:color="000000" w:sz="4" w:space="0"/>
                    <w:left w:val="single" w:color="000000" w:sz="4" w:space="0"/>
                    <w:bottom w:val="single" w:color="000000" w:sz="4" w:space="0"/>
                    <w:right w:val="single" w:color="000000" w:sz="4" w:space="0"/>
                  </w:tcBorders>
                  <w:vAlign w:val="center"/>
                </w:tcPr>
                <w:p w14:paraId="5970EA33">
                  <w:pPr>
                    <w:pStyle w:val="25"/>
                    <w:bidi w:val="0"/>
                    <w:rPr>
                      <w:rFonts w:hint="default" w:ascii="Times New Roman" w:hAnsi="Times New Roman" w:cs="Times New Roman"/>
                    </w:rPr>
                  </w:pPr>
                  <w:r>
                    <w:rPr>
                      <w:rFonts w:hint="default" w:ascii="Times New Roman" w:hAnsi="Times New Roman" w:cs="Times New Roman"/>
                    </w:rPr>
                    <w:t>pH</w:t>
                  </w:r>
                </w:p>
              </w:tc>
              <w:tc>
                <w:tcPr>
                  <w:tcW w:w="1251" w:type="pct"/>
                  <w:tcBorders>
                    <w:top w:val="single" w:color="000000" w:sz="4" w:space="0"/>
                    <w:left w:val="single" w:color="000000" w:sz="4" w:space="0"/>
                    <w:bottom w:val="single" w:color="000000" w:sz="4" w:space="0"/>
                    <w:right w:val="single" w:color="000000" w:sz="4" w:space="0"/>
                  </w:tcBorders>
                  <w:vAlign w:val="center"/>
                </w:tcPr>
                <w:p w14:paraId="34C55418">
                  <w:pPr>
                    <w:pStyle w:val="25"/>
                    <w:bidi w:val="0"/>
                    <w:rPr>
                      <w:rFonts w:hint="default" w:ascii="Times New Roman" w:hAnsi="Times New Roman" w:cs="Times New Roman"/>
                    </w:rPr>
                  </w:pPr>
                  <w:r>
                    <w:rPr>
                      <w:rFonts w:hint="default" w:ascii="Times New Roman" w:hAnsi="Times New Roman" w:cs="Times New Roman"/>
                    </w:rPr>
                    <w:t>无量纲</w:t>
                  </w:r>
                </w:p>
              </w:tc>
              <w:tc>
                <w:tcPr>
                  <w:tcW w:w="824" w:type="pct"/>
                  <w:tcBorders>
                    <w:top w:val="single" w:color="000000" w:sz="4" w:space="0"/>
                    <w:left w:val="single" w:color="000000" w:sz="4" w:space="0"/>
                    <w:bottom w:val="single" w:color="000000" w:sz="4" w:space="0"/>
                    <w:right w:val="single" w:color="000000" w:sz="4" w:space="0"/>
                  </w:tcBorders>
                  <w:vAlign w:val="center"/>
                </w:tcPr>
                <w:p w14:paraId="477CB07B">
                  <w:pPr>
                    <w:pStyle w:val="25"/>
                    <w:bidi w:val="0"/>
                    <w:rPr>
                      <w:rFonts w:hint="default" w:ascii="Times New Roman" w:hAnsi="Times New Roman" w:cs="Times New Roman"/>
                    </w:rPr>
                  </w:pPr>
                  <w:r>
                    <w:rPr>
                      <w:rFonts w:hint="default" w:ascii="Times New Roman" w:hAnsi="Times New Roman" w:cs="Times New Roman"/>
                    </w:rPr>
                    <w:t>6.5~9.0</w:t>
                  </w:r>
                </w:p>
              </w:tc>
              <w:tc>
                <w:tcPr>
                  <w:tcW w:w="945" w:type="pct"/>
                  <w:tcBorders>
                    <w:top w:val="single" w:color="000000" w:sz="4" w:space="0"/>
                    <w:left w:val="single" w:color="000000" w:sz="4" w:space="0"/>
                    <w:bottom w:val="single" w:color="000000" w:sz="4" w:space="0"/>
                    <w:right w:val="single" w:color="000000" w:sz="4" w:space="0"/>
                  </w:tcBorders>
                  <w:vAlign w:val="center"/>
                </w:tcPr>
                <w:p w14:paraId="154BFA42">
                  <w:pPr>
                    <w:pStyle w:val="25"/>
                    <w:bidi w:val="0"/>
                    <w:rPr>
                      <w:rFonts w:hint="default" w:ascii="Times New Roman" w:hAnsi="Times New Roman" w:cs="Times New Roman"/>
                    </w:rPr>
                  </w:pPr>
                  <w:r>
                    <w:rPr>
                      <w:rFonts w:hint="default" w:ascii="Times New Roman" w:hAnsi="Times New Roman" w:cs="Times New Roman"/>
                    </w:rPr>
                    <w:t>6.5~8.5</w:t>
                  </w:r>
                </w:p>
              </w:tc>
            </w:tr>
            <w:tr w14:paraId="5D402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8" w:type="pct"/>
                  <w:tcBorders>
                    <w:top w:val="single" w:color="000000" w:sz="4" w:space="0"/>
                    <w:left w:val="single" w:color="000000" w:sz="4" w:space="0"/>
                    <w:bottom w:val="single" w:color="000000" w:sz="4" w:space="0"/>
                    <w:right w:val="single" w:color="000000" w:sz="4" w:space="0"/>
                  </w:tcBorders>
                  <w:vAlign w:val="center"/>
                </w:tcPr>
                <w:p w14:paraId="31258ED0">
                  <w:pPr>
                    <w:pStyle w:val="25"/>
                    <w:bidi w:val="0"/>
                    <w:rPr>
                      <w:rFonts w:hint="default" w:ascii="Times New Roman" w:hAnsi="Times New Roman" w:cs="Times New Roman"/>
                    </w:rPr>
                  </w:pPr>
                  <w:r>
                    <w:rPr>
                      <w:rFonts w:hint="default" w:ascii="Times New Roman" w:hAnsi="Times New Roman" w:cs="Times New Roman"/>
                    </w:rPr>
                    <w:t>悬浮物（SS）</w:t>
                  </w:r>
                </w:p>
              </w:tc>
              <w:tc>
                <w:tcPr>
                  <w:tcW w:w="1251" w:type="pct"/>
                  <w:tcBorders>
                    <w:top w:val="single" w:color="000000" w:sz="4" w:space="0"/>
                    <w:left w:val="single" w:color="000000" w:sz="4" w:space="0"/>
                    <w:bottom w:val="single" w:color="000000" w:sz="4" w:space="0"/>
                    <w:right w:val="single" w:color="000000" w:sz="4" w:space="0"/>
                  </w:tcBorders>
                  <w:vAlign w:val="center"/>
                </w:tcPr>
                <w:p w14:paraId="327E8EE6">
                  <w:pPr>
                    <w:pStyle w:val="25"/>
                    <w:bidi w:val="0"/>
                    <w:rPr>
                      <w:rFonts w:hint="default" w:ascii="Times New Roman" w:hAnsi="Times New Roman" w:cs="Times New Roman"/>
                    </w:rPr>
                  </w:pPr>
                  <w:r>
                    <w:rPr>
                      <w:rFonts w:hint="default" w:ascii="Times New Roman" w:hAnsi="Times New Roman" w:cs="Times New Roman"/>
                    </w:rPr>
                    <w:t>mg/L</w:t>
                  </w:r>
                </w:p>
              </w:tc>
              <w:tc>
                <w:tcPr>
                  <w:tcW w:w="824" w:type="pct"/>
                  <w:tcBorders>
                    <w:top w:val="single" w:color="000000" w:sz="4" w:space="0"/>
                    <w:left w:val="single" w:color="000000" w:sz="4" w:space="0"/>
                    <w:bottom w:val="single" w:color="000000" w:sz="4" w:space="0"/>
                    <w:right w:val="single" w:color="000000" w:sz="4" w:space="0"/>
                  </w:tcBorders>
                  <w:vAlign w:val="center"/>
                </w:tcPr>
                <w:p w14:paraId="715BF5B1">
                  <w:pPr>
                    <w:pStyle w:val="25"/>
                    <w:bidi w:val="0"/>
                    <w:rPr>
                      <w:rFonts w:hint="default" w:ascii="Times New Roman" w:hAnsi="Times New Roman" w:cs="Times New Roman"/>
                    </w:rPr>
                  </w:pPr>
                  <w:r>
                    <w:rPr>
                      <w:rFonts w:hint="default" w:ascii="Times New Roman" w:hAnsi="Times New Roman" w:cs="Times New Roman"/>
                    </w:rPr>
                    <w:t>≤30</w:t>
                  </w:r>
                </w:p>
              </w:tc>
              <w:tc>
                <w:tcPr>
                  <w:tcW w:w="945" w:type="pct"/>
                  <w:tcBorders>
                    <w:top w:val="single" w:color="000000" w:sz="4" w:space="0"/>
                    <w:left w:val="single" w:color="000000" w:sz="4" w:space="0"/>
                    <w:bottom w:val="single" w:color="000000" w:sz="4" w:space="0"/>
                    <w:right w:val="single" w:color="000000" w:sz="4" w:space="0"/>
                  </w:tcBorders>
                  <w:vAlign w:val="center"/>
                </w:tcPr>
                <w:p w14:paraId="65C14772">
                  <w:pPr>
                    <w:pStyle w:val="25"/>
                    <w:bidi w:val="0"/>
                    <w:rPr>
                      <w:rFonts w:hint="default" w:ascii="Times New Roman" w:hAnsi="Times New Roman" w:cs="Times New Roman"/>
                    </w:rPr>
                  </w:pPr>
                  <w:r>
                    <w:rPr>
                      <w:rFonts w:hint="default" w:ascii="Times New Roman" w:hAnsi="Times New Roman" w:cs="Times New Roman"/>
                    </w:rPr>
                    <w:t>≤8</w:t>
                  </w:r>
                </w:p>
              </w:tc>
            </w:tr>
            <w:tr w14:paraId="6DAB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8" w:type="pct"/>
                  <w:tcBorders>
                    <w:top w:val="single" w:color="000000" w:sz="4" w:space="0"/>
                    <w:left w:val="single" w:color="000000" w:sz="4" w:space="0"/>
                    <w:bottom w:val="single" w:color="000000" w:sz="4" w:space="0"/>
                    <w:right w:val="single" w:color="000000" w:sz="4" w:space="0"/>
                  </w:tcBorders>
                  <w:vAlign w:val="center"/>
                </w:tcPr>
                <w:p w14:paraId="040510EE">
                  <w:pPr>
                    <w:pStyle w:val="25"/>
                    <w:bidi w:val="0"/>
                    <w:rPr>
                      <w:rFonts w:hint="default" w:ascii="Times New Roman" w:hAnsi="Times New Roman" w:cs="Times New Roman"/>
                    </w:rPr>
                  </w:pPr>
                  <w:r>
                    <w:rPr>
                      <w:rFonts w:hint="default" w:ascii="Times New Roman" w:hAnsi="Times New Roman" w:cs="Times New Roman"/>
                    </w:rPr>
                    <w:t>浊度</w:t>
                  </w:r>
                </w:p>
              </w:tc>
              <w:tc>
                <w:tcPr>
                  <w:tcW w:w="1251" w:type="pct"/>
                  <w:tcBorders>
                    <w:top w:val="single" w:color="000000" w:sz="4" w:space="0"/>
                    <w:left w:val="single" w:color="000000" w:sz="4" w:space="0"/>
                    <w:bottom w:val="single" w:color="000000" w:sz="4" w:space="0"/>
                    <w:right w:val="single" w:color="000000" w:sz="4" w:space="0"/>
                  </w:tcBorders>
                  <w:vAlign w:val="center"/>
                </w:tcPr>
                <w:p w14:paraId="183DF571">
                  <w:pPr>
                    <w:pStyle w:val="25"/>
                    <w:bidi w:val="0"/>
                    <w:rPr>
                      <w:rFonts w:hint="default" w:ascii="Times New Roman" w:hAnsi="Times New Roman" w:cs="Times New Roman"/>
                    </w:rPr>
                  </w:pPr>
                  <w:r>
                    <w:rPr>
                      <w:rFonts w:hint="default" w:ascii="Times New Roman" w:hAnsi="Times New Roman" w:cs="Times New Roman"/>
                    </w:rPr>
                    <w:t>NTU</w:t>
                  </w:r>
                </w:p>
              </w:tc>
              <w:tc>
                <w:tcPr>
                  <w:tcW w:w="824" w:type="pct"/>
                  <w:tcBorders>
                    <w:top w:val="single" w:color="000000" w:sz="4" w:space="0"/>
                    <w:left w:val="single" w:color="000000" w:sz="4" w:space="0"/>
                    <w:bottom w:val="single" w:color="000000" w:sz="4" w:space="0"/>
                    <w:right w:val="single" w:color="000000" w:sz="4" w:space="0"/>
                  </w:tcBorders>
                  <w:vAlign w:val="center"/>
                </w:tcPr>
                <w:p w14:paraId="4A3357B5">
                  <w:pPr>
                    <w:pStyle w:val="25"/>
                    <w:bidi w:val="0"/>
                    <w:rPr>
                      <w:rFonts w:hint="default" w:ascii="Times New Roman" w:hAnsi="Times New Roman" w:cs="Times New Roman"/>
                    </w:rPr>
                  </w:pPr>
                  <w:r>
                    <w:rPr>
                      <w:rFonts w:hint="default" w:ascii="Times New Roman" w:hAnsi="Times New Roman" w:cs="Times New Roman"/>
                    </w:rPr>
                    <w:t>≤10</w:t>
                  </w:r>
                </w:p>
              </w:tc>
              <w:tc>
                <w:tcPr>
                  <w:tcW w:w="945" w:type="pct"/>
                  <w:tcBorders>
                    <w:top w:val="single" w:color="000000" w:sz="4" w:space="0"/>
                    <w:left w:val="single" w:color="000000" w:sz="4" w:space="0"/>
                    <w:bottom w:val="single" w:color="000000" w:sz="4" w:space="0"/>
                    <w:right w:val="single" w:color="000000" w:sz="4" w:space="0"/>
                  </w:tcBorders>
                  <w:vAlign w:val="center"/>
                </w:tcPr>
                <w:p w14:paraId="463484C1">
                  <w:pPr>
                    <w:pStyle w:val="25"/>
                    <w:bidi w:val="0"/>
                    <w:rPr>
                      <w:rFonts w:hint="default" w:ascii="Times New Roman" w:hAnsi="Times New Roman" w:cs="Times New Roman"/>
                    </w:rPr>
                  </w:pPr>
                  <w:r>
                    <w:rPr>
                      <w:rFonts w:hint="default" w:ascii="Times New Roman" w:hAnsi="Times New Roman" w:cs="Times New Roman"/>
                    </w:rPr>
                    <w:t>≤5</w:t>
                  </w:r>
                </w:p>
              </w:tc>
            </w:tr>
            <w:tr w14:paraId="37E1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8" w:type="pct"/>
                  <w:tcBorders>
                    <w:top w:val="single" w:color="000000" w:sz="4" w:space="0"/>
                    <w:left w:val="single" w:color="000000" w:sz="4" w:space="0"/>
                    <w:bottom w:val="single" w:color="000000" w:sz="4" w:space="0"/>
                    <w:right w:val="single" w:color="000000" w:sz="4" w:space="0"/>
                  </w:tcBorders>
                  <w:vAlign w:val="center"/>
                </w:tcPr>
                <w:p w14:paraId="4CFBAEDB">
                  <w:pPr>
                    <w:pStyle w:val="25"/>
                    <w:bidi w:val="0"/>
                    <w:rPr>
                      <w:rFonts w:hint="default" w:ascii="Times New Roman" w:hAnsi="Times New Roman" w:cs="Times New Roman"/>
                    </w:rPr>
                  </w:pPr>
                  <w:r>
                    <w:rPr>
                      <w:rFonts w:hint="default" w:ascii="Times New Roman" w:hAnsi="Times New Roman" w:cs="Times New Roman"/>
                    </w:rPr>
                    <w:t>COD</w:t>
                  </w:r>
                  <w:r>
                    <w:rPr>
                      <w:rFonts w:hint="eastAsia" w:ascii="Times New Roman" w:hAnsi="Times New Roman" w:cs="Times New Roman"/>
                      <w:vertAlign w:val="subscript"/>
                      <w:lang w:val="en-US" w:eastAsia="zh-CN"/>
                    </w:rPr>
                    <w:t>4</w:t>
                  </w:r>
                  <w:r>
                    <w:rPr>
                      <w:rFonts w:hint="default" w:ascii="Times New Roman" w:hAnsi="Times New Roman" w:cs="Times New Roman"/>
                    </w:rPr>
                    <w:t>Cr</w:t>
                  </w:r>
                </w:p>
              </w:tc>
              <w:tc>
                <w:tcPr>
                  <w:tcW w:w="1251" w:type="pct"/>
                  <w:tcBorders>
                    <w:top w:val="single" w:color="000000" w:sz="4" w:space="0"/>
                    <w:left w:val="single" w:color="000000" w:sz="4" w:space="0"/>
                    <w:bottom w:val="single" w:color="000000" w:sz="4" w:space="0"/>
                    <w:right w:val="single" w:color="000000" w:sz="4" w:space="0"/>
                  </w:tcBorders>
                  <w:vAlign w:val="center"/>
                </w:tcPr>
                <w:p w14:paraId="3930B16C">
                  <w:pPr>
                    <w:pStyle w:val="25"/>
                    <w:bidi w:val="0"/>
                    <w:rPr>
                      <w:rFonts w:hint="default" w:ascii="Times New Roman" w:hAnsi="Times New Roman" w:cs="Times New Roman"/>
                    </w:rPr>
                  </w:pPr>
                  <w:r>
                    <w:rPr>
                      <w:rFonts w:hint="default" w:ascii="Times New Roman" w:hAnsi="Times New Roman" w:cs="Times New Roman"/>
                    </w:rPr>
                    <w:t>mg/L</w:t>
                  </w:r>
                </w:p>
              </w:tc>
              <w:tc>
                <w:tcPr>
                  <w:tcW w:w="824" w:type="pct"/>
                  <w:tcBorders>
                    <w:top w:val="single" w:color="000000" w:sz="4" w:space="0"/>
                    <w:left w:val="single" w:color="000000" w:sz="4" w:space="0"/>
                    <w:bottom w:val="single" w:color="000000" w:sz="4" w:space="0"/>
                    <w:right w:val="single" w:color="000000" w:sz="4" w:space="0"/>
                  </w:tcBorders>
                  <w:vAlign w:val="center"/>
                </w:tcPr>
                <w:p w14:paraId="1012C590">
                  <w:pPr>
                    <w:pStyle w:val="25"/>
                    <w:bidi w:val="0"/>
                    <w:rPr>
                      <w:rFonts w:hint="default" w:ascii="Times New Roman" w:hAnsi="Times New Roman" w:cs="Times New Roman"/>
                    </w:rPr>
                  </w:pPr>
                  <w:r>
                    <w:rPr>
                      <w:rFonts w:hint="default" w:ascii="Times New Roman" w:hAnsi="Times New Roman" w:cs="Times New Roman"/>
                    </w:rPr>
                    <w:t>≤60</w:t>
                  </w:r>
                </w:p>
              </w:tc>
              <w:tc>
                <w:tcPr>
                  <w:tcW w:w="945" w:type="pct"/>
                  <w:tcBorders>
                    <w:top w:val="single" w:color="000000" w:sz="4" w:space="0"/>
                    <w:left w:val="single" w:color="000000" w:sz="4" w:space="0"/>
                    <w:bottom w:val="single" w:color="000000" w:sz="4" w:space="0"/>
                    <w:right w:val="single" w:color="000000" w:sz="4" w:space="0"/>
                  </w:tcBorders>
                  <w:vAlign w:val="center"/>
                </w:tcPr>
                <w:p w14:paraId="1F1C4998">
                  <w:pPr>
                    <w:pStyle w:val="25"/>
                    <w:bidi w:val="0"/>
                    <w:rPr>
                      <w:rFonts w:hint="default" w:ascii="Times New Roman" w:hAnsi="Times New Roman" w:cs="Times New Roman"/>
                    </w:rPr>
                  </w:pPr>
                  <w:r>
                    <w:rPr>
                      <w:rFonts w:hint="default" w:ascii="Times New Roman" w:hAnsi="Times New Roman" w:cs="Times New Roman"/>
                    </w:rPr>
                    <w:t>≤40</w:t>
                  </w:r>
                </w:p>
              </w:tc>
            </w:tr>
            <w:tr w14:paraId="00428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8" w:type="pct"/>
                  <w:tcBorders>
                    <w:top w:val="single" w:color="000000" w:sz="4" w:space="0"/>
                    <w:left w:val="single" w:color="000000" w:sz="4" w:space="0"/>
                    <w:bottom w:val="single" w:color="000000" w:sz="4" w:space="0"/>
                    <w:right w:val="single" w:color="000000" w:sz="4" w:space="0"/>
                  </w:tcBorders>
                  <w:vAlign w:val="center"/>
                </w:tcPr>
                <w:p w14:paraId="17170613">
                  <w:pPr>
                    <w:pStyle w:val="25"/>
                    <w:bidi w:val="0"/>
                    <w:rPr>
                      <w:rFonts w:hint="eastAsia" w:ascii="Times New Roman" w:hAnsi="Times New Roman" w:eastAsia="宋体" w:cs="Times New Roman"/>
                      <w:lang w:val="en-US" w:eastAsia="zh-CN"/>
                    </w:rPr>
                  </w:pPr>
                  <w:r>
                    <w:rPr>
                      <w:rFonts w:hint="default" w:ascii="Times New Roman" w:hAnsi="Times New Roman" w:cs="Times New Roman"/>
                    </w:rPr>
                    <w:t>BOD</w:t>
                  </w:r>
                  <w:r>
                    <w:rPr>
                      <w:rFonts w:hint="eastAsia" w:ascii="Times New Roman" w:hAnsi="Times New Roman" w:cs="Times New Roman"/>
                      <w:vertAlign w:val="subscript"/>
                      <w:lang w:val="en-US" w:eastAsia="zh-CN"/>
                    </w:rPr>
                    <w:t>5</w:t>
                  </w:r>
                </w:p>
              </w:tc>
              <w:tc>
                <w:tcPr>
                  <w:tcW w:w="1251" w:type="pct"/>
                  <w:tcBorders>
                    <w:top w:val="single" w:color="000000" w:sz="4" w:space="0"/>
                    <w:left w:val="single" w:color="000000" w:sz="4" w:space="0"/>
                    <w:bottom w:val="single" w:color="000000" w:sz="4" w:space="0"/>
                    <w:right w:val="single" w:color="000000" w:sz="4" w:space="0"/>
                  </w:tcBorders>
                  <w:vAlign w:val="center"/>
                </w:tcPr>
                <w:p w14:paraId="69B9E36B">
                  <w:pPr>
                    <w:pStyle w:val="25"/>
                    <w:bidi w:val="0"/>
                    <w:rPr>
                      <w:rFonts w:hint="default" w:ascii="Times New Roman" w:hAnsi="Times New Roman" w:cs="Times New Roman"/>
                    </w:rPr>
                  </w:pPr>
                  <w:r>
                    <w:rPr>
                      <w:rFonts w:hint="default" w:ascii="Times New Roman" w:hAnsi="Times New Roman" w:cs="Times New Roman"/>
                    </w:rPr>
                    <w:t>mg/L</w:t>
                  </w:r>
                </w:p>
              </w:tc>
              <w:tc>
                <w:tcPr>
                  <w:tcW w:w="824" w:type="pct"/>
                  <w:tcBorders>
                    <w:top w:val="single" w:color="000000" w:sz="4" w:space="0"/>
                    <w:left w:val="single" w:color="000000" w:sz="4" w:space="0"/>
                    <w:bottom w:val="single" w:color="000000" w:sz="4" w:space="0"/>
                    <w:right w:val="single" w:color="000000" w:sz="4" w:space="0"/>
                  </w:tcBorders>
                  <w:vAlign w:val="center"/>
                </w:tcPr>
                <w:p w14:paraId="385ADA22">
                  <w:pPr>
                    <w:pStyle w:val="25"/>
                    <w:bidi w:val="0"/>
                    <w:rPr>
                      <w:rFonts w:hint="default" w:ascii="Times New Roman" w:hAnsi="Times New Roman" w:cs="Times New Roman"/>
                    </w:rPr>
                  </w:pPr>
                  <w:r>
                    <w:rPr>
                      <w:rFonts w:hint="default" w:ascii="Times New Roman" w:hAnsi="Times New Roman" w:cs="Times New Roman"/>
                    </w:rPr>
                    <w:t>≤10</w:t>
                  </w:r>
                </w:p>
              </w:tc>
              <w:tc>
                <w:tcPr>
                  <w:tcW w:w="945" w:type="pct"/>
                  <w:tcBorders>
                    <w:top w:val="single" w:color="000000" w:sz="4" w:space="0"/>
                    <w:left w:val="single" w:color="000000" w:sz="4" w:space="0"/>
                    <w:bottom w:val="single" w:color="000000" w:sz="4" w:space="0"/>
                    <w:right w:val="single" w:color="000000" w:sz="4" w:space="0"/>
                  </w:tcBorders>
                  <w:vAlign w:val="center"/>
                </w:tcPr>
                <w:p w14:paraId="4349A3FA">
                  <w:pPr>
                    <w:pStyle w:val="25"/>
                    <w:bidi w:val="0"/>
                    <w:rPr>
                      <w:rFonts w:hint="default" w:ascii="Times New Roman" w:hAnsi="Times New Roman" w:cs="Times New Roman"/>
                    </w:rPr>
                  </w:pPr>
                  <w:r>
                    <w:rPr>
                      <w:rFonts w:hint="default" w:ascii="Times New Roman" w:hAnsi="Times New Roman" w:cs="Times New Roman"/>
                    </w:rPr>
                    <w:t>≤6</w:t>
                  </w:r>
                </w:p>
              </w:tc>
            </w:tr>
            <w:tr w14:paraId="339E4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8" w:type="pct"/>
                  <w:tcBorders>
                    <w:top w:val="single" w:color="000000" w:sz="4" w:space="0"/>
                    <w:left w:val="single" w:color="000000" w:sz="4" w:space="0"/>
                    <w:bottom w:val="single" w:color="000000" w:sz="4" w:space="0"/>
                    <w:right w:val="single" w:color="000000" w:sz="4" w:space="0"/>
                  </w:tcBorders>
                  <w:vAlign w:val="center"/>
                </w:tcPr>
                <w:p w14:paraId="6803E340">
                  <w:pPr>
                    <w:pStyle w:val="25"/>
                    <w:bidi w:val="0"/>
                    <w:rPr>
                      <w:rFonts w:hint="default" w:ascii="Times New Roman" w:hAnsi="Times New Roman" w:cs="Times New Roman"/>
                    </w:rPr>
                  </w:pPr>
                  <w:r>
                    <w:rPr>
                      <w:rFonts w:hint="default" w:ascii="Times New Roman" w:hAnsi="Times New Roman" w:cs="Times New Roman"/>
                    </w:rPr>
                    <w:t>氨氮</w:t>
                  </w:r>
                </w:p>
              </w:tc>
              <w:tc>
                <w:tcPr>
                  <w:tcW w:w="1251" w:type="pct"/>
                  <w:tcBorders>
                    <w:top w:val="single" w:color="000000" w:sz="4" w:space="0"/>
                    <w:left w:val="single" w:color="000000" w:sz="4" w:space="0"/>
                    <w:bottom w:val="single" w:color="000000" w:sz="4" w:space="0"/>
                    <w:right w:val="single" w:color="000000" w:sz="4" w:space="0"/>
                  </w:tcBorders>
                  <w:vAlign w:val="center"/>
                </w:tcPr>
                <w:p w14:paraId="116BD514">
                  <w:pPr>
                    <w:pStyle w:val="25"/>
                    <w:bidi w:val="0"/>
                    <w:rPr>
                      <w:rFonts w:hint="default" w:ascii="Times New Roman" w:hAnsi="Times New Roman" w:cs="Times New Roman"/>
                    </w:rPr>
                  </w:pPr>
                  <w:r>
                    <w:rPr>
                      <w:rFonts w:hint="default" w:ascii="Times New Roman" w:hAnsi="Times New Roman" w:cs="Times New Roman"/>
                    </w:rPr>
                    <w:t>mg/L</w:t>
                  </w:r>
                </w:p>
              </w:tc>
              <w:tc>
                <w:tcPr>
                  <w:tcW w:w="824" w:type="pct"/>
                  <w:tcBorders>
                    <w:top w:val="single" w:color="000000" w:sz="4" w:space="0"/>
                    <w:left w:val="single" w:color="000000" w:sz="4" w:space="0"/>
                    <w:bottom w:val="single" w:color="000000" w:sz="4" w:space="0"/>
                    <w:right w:val="single" w:color="000000" w:sz="4" w:space="0"/>
                  </w:tcBorders>
                  <w:vAlign w:val="center"/>
                </w:tcPr>
                <w:p w14:paraId="485D60F3">
                  <w:pPr>
                    <w:pStyle w:val="25"/>
                    <w:bidi w:val="0"/>
                    <w:rPr>
                      <w:rFonts w:hint="default" w:ascii="Times New Roman" w:hAnsi="Times New Roman" w:cs="Times New Roman"/>
                    </w:rPr>
                  </w:pPr>
                  <w:r>
                    <w:rPr>
                      <w:rFonts w:hint="default" w:ascii="Times New Roman" w:hAnsi="Times New Roman" w:cs="Times New Roman"/>
                    </w:rPr>
                    <w:t>≤10</w:t>
                  </w:r>
                </w:p>
              </w:tc>
              <w:tc>
                <w:tcPr>
                  <w:tcW w:w="945" w:type="pct"/>
                  <w:tcBorders>
                    <w:top w:val="single" w:color="000000" w:sz="4" w:space="0"/>
                    <w:left w:val="single" w:color="000000" w:sz="4" w:space="0"/>
                    <w:bottom w:val="single" w:color="000000" w:sz="4" w:space="0"/>
                    <w:right w:val="single" w:color="000000" w:sz="4" w:space="0"/>
                  </w:tcBorders>
                  <w:vAlign w:val="center"/>
                </w:tcPr>
                <w:p w14:paraId="7AE2A01F">
                  <w:pPr>
                    <w:pStyle w:val="25"/>
                    <w:bidi w:val="0"/>
                    <w:rPr>
                      <w:rFonts w:hint="default" w:ascii="Times New Roman" w:hAnsi="Times New Roman" w:cs="Times New Roman"/>
                    </w:rPr>
                  </w:pPr>
                  <w:r>
                    <w:rPr>
                      <w:rFonts w:hint="default" w:ascii="Times New Roman" w:hAnsi="Times New Roman" w:cs="Times New Roman"/>
                    </w:rPr>
                    <w:t>≤3</w:t>
                  </w:r>
                </w:p>
              </w:tc>
            </w:tr>
            <w:tr w14:paraId="4D7A9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8" w:type="pct"/>
                  <w:tcBorders>
                    <w:top w:val="single" w:color="000000" w:sz="4" w:space="0"/>
                    <w:left w:val="single" w:color="000000" w:sz="4" w:space="0"/>
                    <w:bottom w:val="single" w:color="000000" w:sz="4" w:space="0"/>
                    <w:right w:val="single" w:color="000000" w:sz="4" w:space="0"/>
                  </w:tcBorders>
                  <w:vAlign w:val="center"/>
                </w:tcPr>
                <w:p w14:paraId="12A70541">
                  <w:pPr>
                    <w:pStyle w:val="25"/>
                    <w:bidi w:val="0"/>
                    <w:rPr>
                      <w:rFonts w:hint="default" w:ascii="Times New Roman" w:hAnsi="Times New Roman" w:cs="Times New Roman"/>
                    </w:rPr>
                  </w:pPr>
                  <w:r>
                    <w:rPr>
                      <w:rFonts w:hint="default" w:ascii="Times New Roman" w:hAnsi="Times New Roman" w:cs="Times New Roman"/>
                    </w:rPr>
                    <w:t>总磷（以P计）</w:t>
                  </w:r>
                </w:p>
              </w:tc>
              <w:tc>
                <w:tcPr>
                  <w:tcW w:w="1251" w:type="pct"/>
                  <w:tcBorders>
                    <w:top w:val="single" w:color="000000" w:sz="4" w:space="0"/>
                    <w:left w:val="single" w:color="000000" w:sz="4" w:space="0"/>
                    <w:bottom w:val="single" w:color="000000" w:sz="4" w:space="0"/>
                    <w:right w:val="single" w:color="000000" w:sz="4" w:space="0"/>
                  </w:tcBorders>
                  <w:vAlign w:val="center"/>
                </w:tcPr>
                <w:p w14:paraId="6C2E4923">
                  <w:pPr>
                    <w:pStyle w:val="25"/>
                    <w:bidi w:val="0"/>
                    <w:rPr>
                      <w:rFonts w:hint="default" w:ascii="Times New Roman" w:hAnsi="Times New Roman" w:cs="Times New Roman"/>
                    </w:rPr>
                  </w:pPr>
                  <w:r>
                    <w:rPr>
                      <w:rFonts w:hint="default" w:ascii="Times New Roman" w:hAnsi="Times New Roman" w:cs="Times New Roman"/>
                    </w:rPr>
                    <w:t>mg/L</w:t>
                  </w:r>
                </w:p>
              </w:tc>
              <w:tc>
                <w:tcPr>
                  <w:tcW w:w="824" w:type="pct"/>
                  <w:tcBorders>
                    <w:top w:val="single" w:color="000000" w:sz="4" w:space="0"/>
                    <w:left w:val="single" w:color="000000" w:sz="4" w:space="0"/>
                    <w:bottom w:val="single" w:color="000000" w:sz="4" w:space="0"/>
                    <w:right w:val="single" w:color="000000" w:sz="4" w:space="0"/>
                  </w:tcBorders>
                  <w:vAlign w:val="center"/>
                </w:tcPr>
                <w:p w14:paraId="76154F56">
                  <w:pPr>
                    <w:pStyle w:val="25"/>
                    <w:bidi w:val="0"/>
                    <w:rPr>
                      <w:rFonts w:hint="default" w:ascii="Times New Roman" w:hAnsi="Times New Roman" w:cs="Times New Roman"/>
                    </w:rPr>
                  </w:pPr>
                  <w:r>
                    <w:rPr>
                      <w:rFonts w:hint="default" w:ascii="Times New Roman" w:hAnsi="Times New Roman" w:cs="Times New Roman"/>
                    </w:rPr>
                    <w:t>≤1.0</w:t>
                  </w:r>
                </w:p>
              </w:tc>
              <w:tc>
                <w:tcPr>
                  <w:tcW w:w="945" w:type="pct"/>
                  <w:tcBorders>
                    <w:top w:val="single" w:color="000000" w:sz="4" w:space="0"/>
                    <w:left w:val="single" w:color="000000" w:sz="4" w:space="0"/>
                    <w:bottom w:val="single" w:color="000000" w:sz="4" w:space="0"/>
                    <w:right w:val="single" w:color="000000" w:sz="4" w:space="0"/>
                  </w:tcBorders>
                  <w:vAlign w:val="center"/>
                </w:tcPr>
                <w:p w14:paraId="564287D1">
                  <w:pPr>
                    <w:pStyle w:val="25"/>
                    <w:bidi w:val="0"/>
                    <w:rPr>
                      <w:rFonts w:hint="default" w:ascii="Times New Roman" w:hAnsi="Times New Roman" w:cs="Times New Roman"/>
                    </w:rPr>
                  </w:pPr>
                  <w:r>
                    <w:rPr>
                      <w:rFonts w:hint="default" w:ascii="Times New Roman" w:hAnsi="Times New Roman" w:cs="Times New Roman"/>
                    </w:rPr>
                    <w:t>≤0.3</w:t>
                  </w:r>
                </w:p>
              </w:tc>
            </w:tr>
            <w:tr w14:paraId="01EF4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8" w:type="pct"/>
                  <w:tcBorders>
                    <w:top w:val="single" w:color="000000" w:sz="4" w:space="0"/>
                    <w:left w:val="single" w:color="000000" w:sz="4" w:space="0"/>
                    <w:bottom w:val="single" w:color="000000" w:sz="4" w:space="0"/>
                    <w:right w:val="single" w:color="000000" w:sz="4" w:space="0"/>
                  </w:tcBorders>
                  <w:vAlign w:val="center"/>
                </w:tcPr>
                <w:p w14:paraId="6166E0FF">
                  <w:pPr>
                    <w:pStyle w:val="25"/>
                    <w:bidi w:val="0"/>
                    <w:rPr>
                      <w:rFonts w:hint="default" w:ascii="Times New Roman" w:hAnsi="Times New Roman" w:cs="Times New Roman"/>
                    </w:rPr>
                  </w:pPr>
                  <w:r>
                    <w:rPr>
                      <w:rFonts w:hint="default" w:ascii="Times New Roman" w:hAnsi="Times New Roman" w:cs="Times New Roman"/>
                    </w:rPr>
                    <w:t>总氮</w:t>
                  </w:r>
                </w:p>
              </w:tc>
              <w:tc>
                <w:tcPr>
                  <w:tcW w:w="1251" w:type="pct"/>
                  <w:tcBorders>
                    <w:top w:val="single" w:color="000000" w:sz="4" w:space="0"/>
                    <w:left w:val="single" w:color="000000" w:sz="4" w:space="0"/>
                    <w:bottom w:val="single" w:color="000000" w:sz="4" w:space="0"/>
                    <w:right w:val="single" w:color="000000" w:sz="4" w:space="0"/>
                  </w:tcBorders>
                  <w:vAlign w:val="center"/>
                </w:tcPr>
                <w:p w14:paraId="70452C2C">
                  <w:pPr>
                    <w:pStyle w:val="25"/>
                    <w:bidi w:val="0"/>
                    <w:rPr>
                      <w:rFonts w:hint="default" w:ascii="Times New Roman" w:hAnsi="Times New Roman" w:cs="Times New Roman"/>
                    </w:rPr>
                  </w:pPr>
                  <w:r>
                    <w:rPr>
                      <w:rFonts w:hint="default" w:ascii="Times New Roman" w:hAnsi="Times New Roman" w:cs="Times New Roman"/>
                    </w:rPr>
                    <w:t>mg/L</w:t>
                  </w:r>
                </w:p>
              </w:tc>
              <w:tc>
                <w:tcPr>
                  <w:tcW w:w="824" w:type="pct"/>
                  <w:tcBorders>
                    <w:top w:val="single" w:color="000000" w:sz="4" w:space="0"/>
                    <w:left w:val="single" w:color="000000" w:sz="4" w:space="0"/>
                    <w:bottom w:val="single" w:color="000000" w:sz="4" w:space="0"/>
                    <w:right w:val="single" w:color="000000" w:sz="4" w:space="0"/>
                  </w:tcBorders>
                  <w:vAlign w:val="center"/>
                </w:tcPr>
                <w:p w14:paraId="1D0A1A80">
                  <w:pPr>
                    <w:pStyle w:val="25"/>
                    <w:bidi w:val="0"/>
                    <w:rPr>
                      <w:rFonts w:hint="default" w:ascii="Times New Roman" w:hAnsi="Times New Roman" w:cs="Times New Roman"/>
                    </w:rPr>
                  </w:pPr>
                  <w:r>
                    <w:rPr>
                      <w:rFonts w:hint="default" w:ascii="Times New Roman" w:hAnsi="Times New Roman" w:cs="Times New Roman"/>
                    </w:rPr>
                    <w:t>≤20</w:t>
                  </w:r>
                </w:p>
              </w:tc>
              <w:tc>
                <w:tcPr>
                  <w:tcW w:w="945" w:type="pct"/>
                  <w:tcBorders>
                    <w:top w:val="single" w:color="000000" w:sz="4" w:space="0"/>
                    <w:left w:val="single" w:color="000000" w:sz="4" w:space="0"/>
                    <w:bottom w:val="single" w:color="000000" w:sz="4" w:space="0"/>
                    <w:right w:val="single" w:color="000000" w:sz="4" w:space="0"/>
                  </w:tcBorders>
                  <w:vAlign w:val="center"/>
                </w:tcPr>
                <w:p w14:paraId="18986F44">
                  <w:pPr>
                    <w:pStyle w:val="25"/>
                    <w:bidi w:val="0"/>
                    <w:rPr>
                      <w:rFonts w:hint="default" w:ascii="Times New Roman" w:hAnsi="Times New Roman" w:cs="Times New Roman"/>
                    </w:rPr>
                  </w:pPr>
                  <w:r>
                    <w:rPr>
                      <w:rFonts w:hint="default" w:ascii="Times New Roman" w:hAnsi="Times New Roman" w:cs="Times New Roman"/>
                    </w:rPr>
                    <w:t>≤12</w:t>
                  </w:r>
                </w:p>
              </w:tc>
            </w:tr>
            <w:tr w14:paraId="1AA9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8" w:type="pct"/>
                  <w:tcBorders>
                    <w:top w:val="single" w:color="000000" w:sz="4" w:space="0"/>
                    <w:left w:val="single" w:color="000000" w:sz="4" w:space="0"/>
                    <w:bottom w:val="single" w:color="000000" w:sz="4" w:space="0"/>
                    <w:right w:val="single" w:color="000000" w:sz="4" w:space="0"/>
                  </w:tcBorders>
                  <w:vAlign w:val="center"/>
                </w:tcPr>
                <w:p w14:paraId="64F056AB">
                  <w:pPr>
                    <w:pStyle w:val="25"/>
                    <w:bidi w:val="0"/>
                    <w:rPr>
                      <w:rFonts w:hint="default" w:ascii="Times New Roman" w:hAnsi="Times New Roman" w:cs="Times New Roman"/>
                    </w:rPr>
                  </w:pPr>
                  <w:r>
                    <w:rPr>
                      <w:rFonts w:hint="default" w:ascii="Times New Roman" w:hAnsi="Times New Roman" w:cs="Times New Roman"/>
                    </w:rPr>
                    <w:t>石油类</w:t>
                  </w:r>
                </w:p>
              </w:tc>
              <w:tc>
                <w:tcPr>
                  <w:tcW w:w="1251" w:type="pct"/>
                  <w:tcBorders>
                    <w:top w:val="single" w:color="000000" w:sz="4" w:space="0"/>
                    <w:left w:val="single" w:color="000000" w:sz="4" w:space="0"/>
                    <w:bottom w:val="single" w:color="000000" w:sz="4" w:space="0"/>
                    <w:right w:val="single" w:color="000000" w:sz="4" w:space="0"/>
                  </w:tcBorders>
                  <w:vAlign w:val="center"/>
                </w:tcPr>
                <w:p w14:paraId="38E32710">
                  <w:pPr>
                    <w:pStyle w:val="25"/>
                    <w:bidi w:val="0"/>
                    <w:rPr>
                      <w:rFonts w:hint="default" w:ascii="Times New Roman" w:hAnsi="Times New Roman" w:cs="Times New Roman"/>
                    </w:rPr>
                  </w:pPr>
                  <w:r>
                    <w:rPr>
                      <w:rFonts w:hint="default" w:ascii="Times New Roman" w:hAnsi="Times New Roman" w:cs="Times New Roman"/>
                    </w:rPr>
                    <w:t>mg/L</w:t>
                  </w:r>
                </w:p>
              </w:tc>
              <w:tc>
                <w:tcPr>
                  <w:tcW w:w="824" w:type="pct"/>
                  <w:tcBorders>
                    <w:top w:val="single" w:color="000000" w:sz="4" w:space="0"/>
                    <w:left w:val="single" w:color="000000" w:sz="4" w:space="0"/>
                    <w:bottom w:val="single" w:color="000000" w:sz="4" w:space="0"/>
                    <w:right w:val="single" w:color="000000" w:sz="4" w:space="0"/>
                  </w:tcBorders>
                  <w:vAlign w:val="center"/>
                </w:tcPr>
                <w:p w14:paraId="66152E95">
                  <w:pPr>
                    <w:pStyle w:val="25"/>
                    <w:bidi w:val="0"/>
                    <w:rPr>
                      <w:rFonts w:hint="default" w:ascii="Times New Roman" w:hAnsi="Times New Roman" w:cs="Times New Roman"/>
                    </w:rPr>
                  </w:pPr>
                  <w:r>
                    <w:rPr>
                      <w:rFonts w:hint="default" w:ascii="Times New Roman" w:hAnsi="Times New Roman" w:cs="Times New Roman"/>
                    </w:rPr>
                    <w:t>≤1.0</w:t>
                  </w:r>
                </w:p>
              </w:tc>
              <w:tc>
                <w:tcPr>
                  <w:tcW w:w="945" w:type="pct"/>
                  <w:tcBorders>
                    <w:top w:val="single" w:color="000000" w:sz="4" w:space="0"/>
                    <w:left w:val="single" w:color="000000" w:sz="4" w:space="0"/>
                    <w:bottom w:val="single" w:color="000000" w:sz="4" w:space="0"/>
                    <w:right w:val="single" w:color="000000" w:sz="4" w:space="0"/>
                  </w:tcBorders>
                  <w:vAlign w:val="center"/>
                </w:tcPr>
                <w:p w14:paraId="22601D04">
                  <w:pPr>
                    <w:pStyle w:val="25"/>
                    <w:bidi w:val="0"/>
                    <w:rPr>
                      <w:rFonts w:hint="default" w:ascii="Times New Roman" w:hAnsi="Times New Roman" w:cs="Times New Roman"/>
                    </w:rPr>
                  </w:pPr>
                  <w:r>
                    <w:rPr>
                      <w:rFonts w:hint="default" w:ascii="Times New Roman" w:hAnsi="Times New Roman" w:cs="Times New Roman"/>
                    </w:rPr>
                    <w:t>≤0.5</w:t>
                  </w:r>
                </w:p>
              </w:tc>
            </w:tr>
            <w:tr w14:paraId="5B21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8" w:type="pct"/>
                  <w:tcBorders>
                    <w:top w:val="single" w:color="000000" w:sz="4" w:space="0"/>
                    <w:left w:val="single" w:color="000000" w:sz="4" w:space="0"/>
                    <w:bottom w:val="single" w:color="000000" w:sz="4" w:space="0"/>
                    <w:right w:val="single" w:color="000000" w:sz="4" w:space="0"/>
                  </w:tcBorders>
                  <w:vAlign w:val="center"/>
                </w:tcPr>
                <w:p w14:paraId="4DD550FC">
                  <w:pPr>
                    <w:pStyle w:val="25"/>
                    <w:bidi w:val="0"/>
                    <w:rPr>
                      <w:rFonts w:hint="default" w:ascii="Times New Roman" w:hAnsi="Times New Roman" w:cs="Times New Roman"/>
                    </w:rPr>
                  </w:pPr>
                  <w:r>
                    <w:rPr>
                      <w:rFonts w:hint="default" w:ascii="Times New Roman" w:hAnsi="Times New Roman" w:cs="Times New Roman"/>
                    </w:rPr>
                    <w:t>溶解性总固体（TDS）</w:t>
                  </w:r>
                </w:p>
              </w:tc>
              <w:tc>
                <w:tcPr>
                  <w:tcW w:w="1251" w:type="pct"/>
                  <w:tcBorders>
                    <w:top w:val="single" w:color="000000" w:sz="4" w:space="0"/>
                    <w:left w:val="single" w:color="000000" w:sz="4" w:space="0"/>
                    <w:bottom w:val="single" w:color="000000" w:sz="4" w:space="0"/>
                    <w:right w:val="single" w:color="000000" w:sz="4" w:space="0"/>
                  </w:tcBorders>
                  <w:vAlign w:val="center"/>
                </w:tcPr>
                <w:p w14:paraId="088CABA6">
                  <w:pPr>
                    <w:pStyle w:val="25"/>
                    <w:bidi w:val="0"/>
                    <w:rPr>
                      <w:rFonts w:hint="default" w:ascii="Times New Roman" w:hAnsi="Times New Roman" w:cs="Times New Roman"/>
                    </w:rPr>
                  </w:pPr>
                  <w:r>
                    <w:rPr>
                      <w:rFonts w:hint="default" w:ascii="Times New Roman" w:hAnsi="Times New Roman" w:cs="Times New Roman"/>
                    </w:rPr>
                    <w:t>mg/L</w:t>
                  </w:r>
                </w:p>
              </w:tc>
              <w:tc>
                <w:tcPr>
                  <w:tcW w:w="824" w:type="pct"/>
                  <w:tcBorders>
                    <w:top w:val="single" w:color="000000" w:sz="4" w:space="0"/>
                    <w:left w:val="single" w:color="000000" w:sz="4" w:space="0"/>
                    <w:bottom w:val="single" w:color="000000" w:sz="4" w:space="0"/>
                    <w:right w:val="single" w:color="000000" w:sz="4" w:space="0"/>
                  </w:tcBorders>
                  <w:vAlign w:val="center"/>
                </w:tcPr>
                <w:p w14:paraId="70AE1624">
                  <w:pPr>
                    <w:pStyle w:val="25"/>
                    <w:bidi w:val="0"/>
                    <w:rPr>
                      <w:rFonts w:hint="default" w:ascii="Times New Roman" w:hAnsi="Times New Roman" w:cs="Times New Roman"/>
                    </w:rPr>
                  </w:pPr>
                  <w:r>
                    <w:rPr>
                      <w:rFonts w:hint="default" w:ascii="Times New Roman" w:hAnsi="Times New Roman" w:cs="Times New Roman"/>
                    </w:rPr>
                    <w:t>≤1000</w:t>
                  </w:r>
                </w:p>
              </w:tc>
              <w:tc>
                <w:tcPr>
                  <w:tcW w:w="945" w:type="pct"/>
                  <w:tcBorders>
                    <w:top w:val="single" w:color="000000" w:sz="4" w:space="0"/>
                    <w:left w:val="single" w:color="000000" w:sz="4" w:space="0"/>
                    <w:bottom w:val="single" w:color="000000" w:sz="4" w:space="0"/>
                    <w:right w:val="single" w:color="000000" w:sz="4" w:space="0"/>
                  </w:tcBorders>
                  <w:vAlign w:val="center"/>
                </w:tcPr>
                <w:p w14:paraId="4473F3FC">
                  <w:pPr>
                    <w:pStyle w:val="25"/>
                    <w:bidi w:val="0"/>
                    <w:rPr>
                      <w:rFonts w:hint="default" w:ascii="Times New Roman" w:hAnsi="Times New Roman" w:cs="Times New Roman"/>
                    </w:rPr>
                  </w:pPr>
                  <w:r>
                    <w:rPr>
                      <w:rFonts w:hint="default" w:ascii="Times New Roman" w:hAnsi="Times New Roman" w:cs="Times New Roman"/>
                    </w:rPr>
                    <w:t>≤1000②</w:t>
                  </w:r>
                </w:p>
              </w:tc>
            </w:tr>
            <w:tr w14:paraId="33ED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8" w:type="pct"/>
                  <w:tcBorders>
                    <w:top w:val="single" w:color="000000" w:sz="4" w:space="0"/>
                    <w:left w:val="single" w:color="000000" w:sz="4" w:space="0"/>
                    <w:bottom w:val="single" w:color="000000" w:sz="4" w:space="0"/>
                    <w:right w:val="single" w:color="000000" w:sz="4" w:space="0"/>
                  </w:tcBorders>
                  <w:vAlign w:val="center"/>
                </w:tcPr>
                <w:p w14:paraId="6D2E9D1D">
                  <w:pPr>
                    <w:pStyle w:val="25"/>
                    <w:bidi w:val="0"/>
                    <w:rPr>
                      <w:rFonts w:hint="default" w:ascii="Times New Roman" w:hAnsi="Times New Roman" w:cs="Times New Roman"/>
                    </w:rPr>
                  </w:pPr>
                  <w:r>
                    <w:rPr>
                      <w:rFonts w:hint="default" w:ascii="Times New Roman" w:hAnsi="Times New Roman" w:cs="Times New Roman"/>
                    </w:rPr>
                    <w:t>总硬度（以CaCO</w:t>
                  </w:r>
                  <w:r>
                    <w:rPr>
                      <w:rFonts w:hint="default" w:ascii="Times New Roman" w:hAnsi="Times New Roman" w:cs="Times New Roman"/>
                      <w:vertAlign w:val="subscript"/>
                    </w:rPr>
                    <w:t>3</w:t>
                  </w:r>
                  <w:r>
                    <w:rPr>
                      <w:rFonts w:hint="default" w:ascii="Times New Roman" w:hAnsi="Times New Roman" w:cs="Times New Roman"/>
                    </w:rPr>
                    <w:t>计）</w:t>
                  </w:r>
                </w:p>
              </w:tc>
              <w:tc>
                <w:tcPr>
                  <w:tcW w:w="1251" w:type="pct"/>
                  <w:tcBorders>
                    <w:top w:val="single" w:color="000000" w:sz="4" w:space="0"/>
                    <w:left w:val="single" w:color="000000" w:sz="4" w:space="0"/>
                    <w:bottom w:val="single" w:color="000000" w:sz="4" w:space="0"/>
                    <w:right w:val="single" w:color="000000" w:sz="4" w:space="0"/>
                  </w:tcBorders>
                  <w:vAlign w:val="center"/>
                </w:tcPr>
                <w:p w14:paraId="0EB9FE73">
                  <w:pPr>
                    <w:pStyle w:val="25"/>
                    <w:bidi w:val="0"/>
                    <w:rPr>
                      <w:rFonts w:hint="default" w:ascii="Times New Roman" w:hAnsi="Times New Roman" w:cs="Times New Roman"/>
                    </w:rPr>
                  </w:pPr>
                  <w:r>
                    <w:rPr>
                      <w:rFonts w:hint="default" w:ascii="Times New Roman" w:hAnsi="Times New Roman" w:cs="Times New Roman"/>
                    </w:rPr>
                    <w:t>mg/L</w:t>
                  </w:r>
                </w:p>
              </w:tc>
              <w:tc>
                <w:tcPr>
                  <w:tcW w:w="824" w:type="pct"/>
                  <w:tcBorders>
                    <w:top w:val="single" w:color="000000" w:sz="4" w:space="0"/>
                    <w:left w:val="single" w:color="000000" w:sz="4" w:space="0"/>
                    <w:bottom w:val="single" w:color="000000" w:sz="4" w:space="0"/>
                    <w:right w:val="single" w:color="000000" w:sz="4" w:space="0"/>
                  </w:tcBorders>
                  <w:vAlign w:val="center"/>
                </w:tcPr>
                <w:p w14:paraId="39761BCF">
                  <w:pPr>
                    <w:pStyle w:val="25"/>
                    <w:bidi w:val="0"/>
                    <w:rPr>
                      <w:rFonts w:hint="default" w:ascii="Times New Roman" w:hAnsi="Times New Roman" w:cs="Times New Roman"/>
                    </w:rPr>
                  </w:pPr>
                  <w:r>
                    <w:rPr>
                      <w:rFonts w:hint="default" w:ascii="Times New Roman" w:hAnsi="Times New Roman" w:cs="Times New Roman"/>
                    </w:rPr>
                    <w:t>≤450</w:t>
                  </w:r>
                </w:p>
              </w:tc>
              <w:tc>
                <w:tcPr>
                  <w:tcW w:w="945" w:type="pct"/>
                  <w:tcBorders>
                    <w:top w:val="single" w:color="000000" w:sz="4" w:space="0"/>
                    <w:left w:val="single" w:color="000000" w:sz="4" w:space="0"/>
                    <w:bottom w:val="single" w:color="000000" w:sz="4" w:space="0"/>
                    <w:right w:val="single" w:color="000000" w:sz="4" w:space="0"/>
                  </w:tcBorders>
                  <w:vAlign w:val="center"/>
                </w:tcPr>
                <w:p w14:paraId="2B6F8ADA">
                  <w:pPr>
                    <w:pStyle w:val="25"/>
                    <w:bidi w:val="0"/>
                    <w:rPr>
                      <w:rFonts w:hint="default" w:ascii="Times New Roman" w:hAnsi="Times New Roman" w:cs="Times New Roman"/>
                    </w:rPr>
                  </w:pPr>
                  <w:r>
                    <w:rPr>
                      <w:rFonts w:hint="default" w:ascii="Times New Roman" w:hAnsi="Times New Roman" w:cs="Times New Roman"/>
                    </w:rPr>
                    <w:t>≤450②</w:t>
                  </w:r>
                </w:p>
              </w:tc>
            </w:tr>
            <w:tr w14:paraId="28F5A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8" w:type="pct"/>
                  <w:tcBorders>
                    <w:top w:val="single" w:color="000000" w:sz="4" w:space="0"/>
                    <w:left w:val="single" w:color="000000" w:sz="4" w:space="0"/>
                    <w:bottom w:val="single" w:color="000000" w:sz="4" w:space="0"/>
                    <w:right w:val="single" w:color="000000" w:sz="4" w:space="0"/>
                  </w:tcBorders>
                  <w:vAlign w:val="center"/>
                </w:tcPr>
                <w:p w14:paraId="77545AF7">
                  <w:pPr>
                    <w:pStyle w:val="25"/>
                    <w:bidi w:val="0"/>
                    <w:rPr>
                      <w:rFonts w:hint="default" w:ascii="Times New Roman" w:hAnsi="Times New Roman" w:cs="Times New Roman"/>
                    </w:rPr>
                  </w:pPr>
                  <w:r>
                    <w:rPr>
                      <w:rFonts w:hint="default" w:ascii="Times New Roman" w:hAnsi="Times New Roman" w:cs="Times New Roman"/>
                    </w:rPr>
                    <w:t>氯离子（Cl-）</w:t>
                  </w:r>
                </w:p>
              </w:tc>
              <w:tc>
                <w:tcPr>
                  <w:tcW w:w="1251" w:type="pct"/>
                  <w:tcBorders>
                    <w:top w:val="single" w:color="000000" w:sz="4" w:space="0"/>
                    <w:left w:val="single" w:color="000000" w:sz="4" w:space="0"/>
                    <w:bottom w:val="single" w:color="000000" w:sz="4" w:space="0"/>
                    <w:right w:val="single" w:color="000000" w:sz="4" w:space="0"/>
                  </w:tcBorders>
                  <w:vAlign w:val="center"/>
                </w:tcPr>
                <w:p w14:paraId="67E9D967">
                  <w:pPr>
                    <w:pStyle w:val="25"/>
                    <w:bidi w:val="0"/>
                    <w:rPr>
                      <w:rFonts w:hint="default" w:ascii="Times New Roman" w:hAnsi="Times New Roman" w:cs="Times New Roman"/>
                    </w:rPr>
                  </w:pPr>
                  <w:r>
                    <w:rPr>
                      <w:rFonts w:hint="default" w:ascii="Times New Roman" w:hAnsi="Times New Roman" w:cs="Times New Roman"/>
                    </w:rPr>
                    <w:t>mg/L</w:t>
                  </w:r>
                </w:p>
              </w:tc>
              <w:tc>
                <w:tcPr>
                  <w:tcW w:w="824" w:type="pct"/>
                  <w:tcBorders>
                    <w:top w:val="single" w:color="000000" w:sz="4" w:space="0"/>
                    <w:left w:val="single" w:color="000000" w:sz="4" w:space="0"/>
                    <w:bottom w:val="single" w:color="000000" w:sz="4" w:space="0"/>
                    <w:right w:val="single" w:color="000000" w:sz="4" w:space="0"/>
                  </w:tcBorders>
                  <w:vAlign w:val="center"/>
                </w:tcPr>
                <w:p w14:paraId="21B2F2AA">
                  <w:pPr>
                    <w:pStyle w:val="25"/>
                    <w:bidi w:val="0"/>
                    <w:rPr>
                      <w:rFonts w:hint="default" w:ascii="Times New Roman" w:hAnsi="Times New Roman" w:cs="Times New Roman"/>
                    </w:rPr>
                  </w:pPr>
                  <w:r>
                    <w:rPr>
                      <w:rFonts w:hint="default" w:ascii="Times New Roman" w:hAnsi="Times New Roman" w:cs="Times New Roman"/>
                    </w:rPr>
                    <w:t>≤250</w:t>
                  </w:r>
                </w:p>
              </w:tc>
              <w:tc>
                <w:tcPr>
                  <w:tcW w:w="945" w:type="pct"/>
                  <w:tcBorders>
                    <w:top w:val="single" w:color="000000" w:sz="4" w:space="0"/>
                    <w:left w:val="single" w:color="000000" w:sz="4" w:space="0"/>
                    <w:bottom w:val="single" w:color="000000" w:sz="4" w:space="0"/>
                    <w:right w:val="single" w:color="000000" w:sz="4" w:space="0"/>
                  </w:tcBorders>
                  <w:vAlign w:val="center"/>
                </w:tcPr>
                <w:p w14:paraId="26FFA3DD">
                  <w:pPr>
                    <w:pStyle w:val="25"/>
                    <w:bidi w:val="0"/>
                    <w:rPr>
                      <w:rFonts w:hint="default" w:ascii="Times New Roman" w:hAnsi="Times New Roman" w:cs="Times New Roman"/>
                    </w:rPr>
                  </w:pPr>
                  <w:r>
                    <w:rPr>
                      <w:rFonts w:hint="default" w:ascii="Times New Roman" w:hAnsi="Times New Roman" w:cs="Times New Roman"/>
                    </w:rPr>
                    <w:t>≤250②</w:t>
                  </w:r>
                </w:p>
              </w:tc>
            </w:tr>
            <w:tr w14:paraId="5DD6B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8" w:type="pct"/>
                  <w:tcBorders>
                    <w:top w:val="single" w:color="000000" w:sz="4" w:space="0"/>
                    <w:left w:val="single" w:color="000000" w:sz="4" w:space="0"/>
                    <w:bottom w:val="single" w:color="000000" w:sz="4" w:space="0"/>
                    <w:right w:val="single" w:color="000000" w:sz="4" w:space="0"/>
                  </w:tcBorders>
                  <w:vAlign w:val="center"/>
                </w:tcPr>
                <w:p w14:paraId="7D3A080E">
                  <w:pPr>
                    <w:pStyle w:val="25"/>
                    <w:bidi w:val="0"/>
                    <w:rPr>
                      <w:rFonts w:hint="default" w:ascii="Times New Roman" w:hAnsi="Times New Roman" w:cs="Times New Roman"/>
                    </w:rPr>
                  </w:pPr>
                  <w:r>
                    <w:rPr>
                      <w:rFonts w:hint="default" w:ascii="Times New Roman" w:hAnsi="Times New Roman" w:cs="Times New Roman"/>
                    </w:rPr>
                    <w:t>细菌总数</w:t>
                  </w:r>
                </w:p>
              </w:tc>
              <w:tc>
                <w:tcPr>
                  <w:tcW w:w="1251" w:type="pct"/>
                  <w:tcBorders>
                    <w:top w:val="single" w:color="000000" w:sz="4" w:space="0"/>
                    <w:left w:val="single" w:color="000000" w:sz="4" w:space="0"/>
                    <w:bottom w:val="single" w:color="000000" w:sz="4" w:space="0"/>
                    <w:right w:val="single" w:color="000000" w:sz="4" w:space="0"/>
                  </w:tcBorders>
                  <w:vAlign w:val="center"/>
                </w:tcPr>
                <w:p w14:paraId="4F8909D5">
                  <w:pPr>
                    <w:pStyle w:val="25"/>
                    <w:bidi w:val="0"/>
                    <w:rPr>
                      <w:rFonts w:hint="default" w:ascii="Times New Roman" w:hAnsi="Times New Roman" w:cs="Times New Roman"/>
                    </w:rPr>
                  </w:pPr>
                  <w:r>
                    <w:rPr>
                      <w:rFonts w:hint="default" w:ascii="Times New Roman" w:hAnsi="Times New Roman" w:cs="Times New Roman"/>
                    </w:rPr>
                    <w:t>个/mL</w:t>
                  </w:r>
                </w:p>
              </w:tc>
              <w:tc>
                <w:tcPr>
                  <w:tcW w:w="824" w:type="pct"/>
                  <w:tcBorders>
                    <w:top w:val="single" w:color="000000" w:sz="4" w:space="0"/>
                    <w:left w:val="single" w:color="000000" w:sz="4" w:space="0"/>
                    <w:bottom w:val="single" w:color="000000" w:sz="4" w:space="0"/>
                    <w:right w:val="single" w:color="000000" w:sz="4" w:space="0"/>
                  </w:tcBorders>
                  <w:vAlign w:val="center"/>
                </w:tcPr>
                <w:p w14:paraId="1E8F2735">
                  <w:pPr>
                    <w:pStyle w:val="25"/>
                    <w:bidi w:val="0"/>
                    <w:rPr>
                      <w:rFonts w:hint="default" w:ascii="Times New Roman" w:hAnsi="Times New Roman" w:cs="Times New Roman"/>
                    </w:rPr>
                  </w:pPr>
                  <w:r>
                    <w:rPr>
                      <w:rFonts w:hint="default" w:ascii="Times New Roman" w:hAnsi="Times New Roman" w:cs="Times New Roman"/>
                    </w:rPr>
                    <w:t>≤1000</w:t>
                  </w:r>
                </w:p>
              </w:tc>
              <w:tc>
                <w:tcPr>
                  <w:tcW w:w="945" w:type="pct"/>
                  <w:tcBorders>
                    <w:top w:val="single" w:color="000000" w:sz="4" w:space="0"/>
                    <w:left w:val="single" w:color="000000" w:sz="4" w:space="0"/>
                    <w:bottom w:val="single" w:color="000000" w:sz="4" w:space="0"/>
                    <w:right w:val="single" w:color="000000" w:sz="4" w:space="0"/>
                  </w:tcBorders>
                  <w:vAlign w:val="center"/>
                </w:tcPr>
                <w:p w14:paraId="489D59E4">
                  <w:pPr>
                    <w:pStyle w:val="25"/>
                    <w:bidi w:val="0"/>
                    <w:rPr>
                      <w:rFonts w:hint="default" w:ascii="Times New Roman" w:hAnsi="Times New Roman" w:cs="Times New Roman"/>
                    </w:rPr>
                  </w:pPr>
                  <w:r>
                    <w:rPr>
                      <w:rFonts w:hint="default" w:ascii="Times New Roman" w:hAnsi="Times New Roman" w:cs="Times New Roman"/>
                    </w:rPr>
                    <w:t>≤500</w:t>
                  </w:r>
                </w:p>
              </w:tc>
            </w:tr>
            <w:tr w14:paraId="026C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8" w:type="pct"/>
                  <w:tcBorders>
                    <w:top w:val="single" w:color="000000" w:sz="4" w:space="0"/>
                    <w:left w:val="single" w:color="000000" w:sz="4" w:space="0"/>
                    <w:bottom w:val="single" w:color="000000" w:sz="4" w:space="0"/>
                    <w:right w:val="single" w:color="000000" w:sz="4" w:space="0"/>
                  </w:tcBorders>
                  <w:vAlign w:val="center"/>
                </w:tcPr>
                <w:p w14:paraId="0DF6CE17">
                  <w:pPr>
                    <w:pStyle w:val="25"/>
                    <w:bidi w:val="0"/>
                    <w:rPr>
                      <w:rFonts w:hint="default" w:ascii="Times New Roman" w:hAnsi="Times New Roman" w:cs="Times New Roman"/>
                    </w:rPr>
                  </w:pPr>
                  <w:r>
                    <w:rPr>
                      <w:rFonts w:hint="default" w:ascii="Times New Roman" w:hAnsi="Times New Roman" w:cs="Times New Roman"/>
                    </w:rPr>
                    <w:t>粪大肠菌群</w:t>
                  </w:r>
                </w:p>
              </w:tc>
              <w:tc>
                <w:tcPr>
                  <w:tcW w:w="1251" w:type="pct"/>
                  <w:tcBorders>
                    <w:top w:val="single" w:color="000000" w:sz="4" w:space="0"/>
                    <w:left w:val="single" w:color="000000" w:sz="4" w:space="0"/>
                    <w:bottom w:val="single" w:color="000000" w:sz="4" w:space="0"/>
                    <w:right w:val="single" w:color="000000" w:sz="4" w:space="0"/>
                  </w:tcBorders>
                  <w:vAlign w:val="center"/>
                </w:tcPr>
                <w:p w14:paraId="1047130F">
                  <w:pPr>
                    <w:pStyle w:val="25"/>
                    <w:bidi w:val="0"/>
                    <w:rPr>
                      <w:rFonts w:hint="default" w:ascii="Times New Roman" w:hAnsi="Times New Roman" w:cs="Times New Roman"/>
                    </w:rPr>
                  </w:pPr>
                  <w:r>
                    <w:rPr>
                      <w:rFonts w:hint="default" w:ascii="Times New Roman" w:hAnsi="Times New Roman" w:cs="Times New Roman"/>
                    </w:rPr>
                    <w:t>个/L</w:t>
                  </w:r>
                </w:p>
              </w:tc>
              <w:tc>
                <w:tcPr>
                  <w:tcW w:w="824" w:type="pct"/>
                  <w:tcBorders>
                    <w:top w:val="single" w:color="000000" w:sz="4" w:space="0"/>
                    <w:left w:val="single" w:color="000000" w:sz="4" w:space="0"/>
                    <w:bottom w:val="single" w:color="000000" w:sz="4" w:space="0"/>
                    <w:right w:val="single" w:color="000000" w:sz="4" w:space="0"/>
                  </w:tcBorders>
                  <w:vAlign w:val="center"/>
                </w:tcPr>
                <w:p w14:paraId="36E408BB">
                  <w:pPr>
                    <w:pStyle w:val="25"/>
                    <w:bidi w:val="0"/>
                    <w:rPr>
                      <w:rFonts w:hint="default" w:ascii="Times New Roman" w:hAnsi="Times New Roman" w:cs="Times New Roman"/>
                    </w:rPr>
                  </w:pPr>
                  <w:r>
                    <w:rPr>
                      <w:rFonts w:hint="default" w:ascii="Times New Roman" w:hAnsi="Times New Roman" w:cs="Times New Roman"/>
                    </w:rPr>
                    <w:t>≤1000</w:t>
                  </w:r>
                </w:p>
              </w:tc>
              <w:tc>
                <w:tcPr>
                  <w:tcW w:w="945" w:type="pct"/>
                  <w:tcBorders>
                    <w:top w:val="single" w:color="000000" w:sz="4" w:space="0"/>
                    <w:left w:val="single" w:color="000000" w:sz="4" w:space="0"/>
                    <w:bottom w:val="single" w:color="000000" w:sz="4" w:space="0"/>
                    <w:right w:val="single" w:color="000000" w:sz="4" w:space="0"/>
                  </w:tcBorders>
                  <w:vAlign w:val="center"/>
                </w:tcPr>
                <w:p w14:paraId="0D21F72C">
                  <w:pPr>
                    <w:pStyle w:val="25"/>
                    <w:bidi w:val="0"/>
                    <w:rPr>
                      <w:rFonts w:hint="default" w:ascii="Times New Roman" w:hAnsi="Times New Roman" w:cs="Times New Roman"/>
                    </w:rPr>
                  </w:pPr>
                  <w:r>
                    <w:rPr>
                      <w:rFonts w:hint="default" w:ascii="Times New Roman" w:hAnsi="Times New Roman" w:cs="Times New Roman"/>
                    </w:rPr>
                    <w:t>≤500</w:t>
                  </w:r>
                </w:p>
              </w:tc>
            </w:tr>
          </w:tbl>
          <w:p w14:paraId="28021C34">
            <w:pPr>
              <w:pStyle w:val="7"/>
              <w:keepNext w:val="0"/>
              <w:keepLines w:val="0"/>
              <w:pageBreakBefore w:val="0"/>
              <w:widowControl w:val="0"/>
              <w:kinsoku/>
              <w:wordWrap/>
              <w:overflowPunct/>
              <w:topLinePunct w:val="0"/>
              <w:autoSpaceDE/>
              <w:autoSpaceDN/>
              <w:bidi w:val="0"/>
              <w:adjustRightInd/>
              <w:snapToGrid/>
              <w:spacing w:before="157" w:beforeLines="50"/>
              <w:textAlignment w:val="auto"/>
              <w:rPr>
                <w:rFonts w:hint="default" w:ascii="Times New Roman" w:hAnsi="Times New Roman" w:cs="Times New Roman"/>
                <w:lang w:eastAsia="zh-CN"/>
              </w:rPr>
            </w:pPr>
            <w:r>
              <w:rPr>
                <w:rFonts w:hint="default" w:ascii="Times New Roman" w:hAnsi="Times New Roman" w:cs="Times New Roman"/>
                <w:lang w:eastAsia="zh-CN"/>
              </w:rPr>
              <w:t>本项目经深度处理后，COD₍Cr₎、BOD</w:t>
            </w:r>
            <w:r>
              <w:rPr>
                <w:rFonts w:hint="eastAsia" w:ascii="Times New Roman" w:cs="Times New Roman"/>
                <w:vertAlign w:val="subscript"/>
                <w:lang w:val="en-US" w:eastAsia="zh-CN"/>
              </w:rPr>
              <w:t>5</w:t>
            </w:r>
            <w:r>
              <w:rPr>
                <w:rFonts w:hint="default" w:ascii="Times New Roman" w:hAnsi="Times New Roman" w:cs="Times New Roman"/>
                <w:lang w:eastAsia="zh-CN"/>
              </w:rPr>
              <w:t>、氨氮、SS、浊度、石油类、细菌学指标等均优于初级再生水控制指标，无机盐类指标满足要求，出水水质整体达到并可优于《炼油化工企业污水回用管理导则》初级再生水标准。</w:t>
            </w:r>
          </w:p>
          <w:p w14:paraId="4001B726">
            <w:pPr>
              <w:pStyle w:val="7"/>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②生产工艺低质用水：</w:t>
            </w:r>
          </w:p>
          <w:p w14:paraId="04E6B702">
            <w:pPr>
              <w:pStyle w:val="7"/>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出水满足《城市污水再生利用 城市杂用水水质》（GB/T 18920-2020）可用于：设备冲洗、地面冲洗等对水质要求不高的生产环节。</w:t>
            </w:r>
          </w:p>
          <w:p w14:paraId="7866C728">
            <w:pPr>
              <w:pStyle w:val="7"/>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lang w:eastAsia="zh-CN"/>
              </w:rPr>
            </w:pPr>
            <w:r>
              <w:rPr>
                <w:rFonts w:hint="default" w:ascii="Times New Roman" w:hAnsi="Times New Roman" w:cs="Times New Roman"/>
                <w:lang w:eastAsia="zh-CN"/>
              </w:rPr>
              <w:t>③厂区绿化：供给园区企业厂区内部绿化灌溉。</w:t>
            </w:r>
          </w:p>
          <w:p w14:paraId="162AAFF2">
            <w:pPr>
              <w:pStyle w:val="7"/>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lang w:eastAsia="zh-CN"/>
              </w:rPr>
            </w:pPr>
            <w:r>
              <w:rPr>
                <w:rFonts w:hint="default" w:ascii="Times New Roman" w:hAnsi="Times New Roman" w:cs="Times New Roman"/>
                <w:lang w:eastAsia="zh-CN"/>
              </w:rPr>
              <w:t>本项目出水同时执行《城市污水再生利用 城市杂用水水质》（GB/T 18920-2020）中</w:t>
            </w:r>
            <w:r>
              <w:rPr>
                <w:rFonts w:hint="eastAsia" w:ascii="Times New Roman" w:hAnsi="Times New Roman" w:cs="Times New Roman"/>
                <w:lang w:eastAsia="zh-CN"/>
              </w:rPr>
              <w:t>“</w:t>
            </w:r>
            <w:r>
              <w:rPr>
                <w:rFonts w:hint="default" w:ascii="Times New Roman" w:hAnsi="Times New Roman" w:cs="Times New Roman"/>
                <w:lang w:eastAsia="zh-CN"/>
              </w:rPr>
              <w:t>城市绿化</w:t>
            </w:r>
            <w:r>
              <w:rPr>
                <w:rFonts w:hint="eastAsia" w:ascii="Times New Roman" w:hAnsi="Times New Roman" w:cs="Times New Roman"/>
                <w:lang w:eastAsia="zh-CN"/>
              </w:rPr>
              <w:t>”</w:t>
            </w:r>
            <w:r>
              <w:rPr>
                <w:rFonts w:hint="default" w:ascii="Times New Roman" w:hAnsi="Times New Roman" w:cs="Times New Roman"/>
                <w:lang w:eastAsia="zh-CN"/>
              </w:rPr>
              <w:t>标准，其COD、氨氮、余氯、粪大肠菌群等指标均满足要求，可直接用于园区绿化灌溉。</w:t>
            </w:r>
          </w:p>
          <w:p w14:paraId="3181BAD0">
            <w:pPr>
              <w:pStyle w:val="7"/>
              <w:bidi w:val="0"/>
              <w:rPr>
                <w:rFonts w:hint="default" w:ascii="Times New Roman" w:hAnsi="Times New Roman" w:cs="Times New Roman"/>
                <w:lang w:eastAsia="zh-CN"/>
              </w:rPr>
            </w:pPr>
            <w:r>
              <w:rPr>
                <w:rFonts w:hint="default" w:ascii="Times New Roman" w:hAnsi="Times New Roman" w:cs="Times New Roman"/>
                <w:lang w:eastAsia="zh-CN"/>
              </w:rPr>
              <w:t>目前园区已有企业实现中水回用，本项目建成后将进一步扩大中水回用范围</w:t>
            </w:r>
            <w:r>
              <w:rPr>
                <w:rFonts w:hint="eastAsia" w:ascii="Times New Roman" w:cs="Times New Roman"/>
                <w:lang w:eastAsia="zh-CN"/>
              </w:rPr>
              <w:t>。</w:t>
            </w:r>
          </w:p>
          <w:p w14:paraId="7E3F386D">
            <w:pPr>
              <w:pStyle w:val="7"/>
              <w:numPr>
                <w:ilvl w:val="0"/>
                <w:numId w:val="3"/>
              </w:numPr>
              <w:bidi w:val="0"/>
              <w:ind w:left="0" w:leftChars="0" w:firstLine="420" w:firstLineChars="0"/>
              <w:rPr>
                <w:rFonts w:hint="default" w:ascii="Times New Roman" w:hAnsi="Times New Roman" w:cs="Times New Roman"/>
                <w:lang w:eastAsia="zh-CN"/>
              </w:rPr>
            </w:pPr>
            <w:r>
              <w:rPr>
                <w:rFonts w:hint="default" w:ascii="Times New Roman" w:hAnsi="Times New Roman" w:cs="Times New Roman"/>
                <w:lang w:eastAsia="zh-CN"/>
              </w:rPr>
              <w:t>冬储夏灌模式</w:t>
            </w:r>
          </w:p>
          <w:p w14:paraId="1F57A4BF">
            <w:pPr>
              <w:pStyle w:val="7"/>
              <w:bidi w:val="0"/>
              <w:rPr>
                <w:rFonts w:hint="default" w:ascii="Times New Roman" w:hAnsi="Times New Roman" w:cs="Times New Roman"/>
                <w:lang w:eastAsia="zh-CN"/>
              </w:rPr>
            </w:pPr>
            <w:r>
              <w:rPr>
                <w:rFonts w:hint="default" w:ascii="Times New Roman" w:hAnsi="Times New Roman" w:cs="Times New Roman"/>
                <w:lang w:eastAsia="zh-CN"/>
              </w:rPr>
              <w:t>本项目采用新疆地区普遍应用的</w:t>
            </w:r>
            <w:r>
              <w:rPr>
                <w:rFonts w:hint="eastAsia" w:ascii="Times New Roman" w:hAnsi="Times New Roman" w:cs="Times New Roman"/>
                <w:lang w:eastAsia="zh-CN"/>
              </w:rPr>
              <w:t>“</w:t>
            </w:r>
            <w:r>
              <w:rPr>
                <w:rFonts w:hint="default" w:ascii="Times New Roman" w:hAnsi="Times New Roman" w:cs="Times New Roman"/>
                <w:lang w:eastAsia="zh-CN"/>
              </w:rPr>
              <w:t>冬储夏灌</w:t>
            </w:r>
            <w:r>
              <w:rPr>
                <w:rFonts w:hint="eastAsia" w:ascii="Times New Roman" w:hAnsi="Times New Roman" w:cs="Times New Roman"/>
                <w:lang w:eastAsia="zh-CN"/>
              </w:rPr>
              <w:t>”</w:t>
            </w:r>
            <w:r>
              <w:rPr>
                <w:rFonts w:hint="default" w:ascii="Times New Roman" w:hAnsi="Times New Roman" w:cs="Times New Roman"/>
                <w:lang w:eastAsia="zh-CN"/>
              </w:rPr>
              <w:t>模式。据统计，新疆已有37个县市实施再生水</w:t>
            </w:r>
            <w:r>
              <w:rPr>
                <w:rFonts w:hint="eastAsia" w:ascii="Times New Roman" w:hAnsi="Times New Roman" w:cs="Times New Roman"/>
                <w:lang w:eastAsia="zh-CN"/>
              </w:rPr>
              <w:t>“</w:t>
            </w:r>
            <w:r>
              <w:rPr>
                <w:rFonts w:hint="default" w:ascii="Times New Roman" w:hAnsi="Times New Roman" w:cs="Times New Roman"/>
                <w:lang w:eastAsia="zh-CN"/>
              </w:rPr>
              <w:t>冬储夏灌</w:t>
            </w:r>
            <w:r>
              <w:rPr>
                <w:rFonts w:hint="eastAsia" w:ascii="Times New Roman" w:hAnsi="Times New Roman" w:cs="Times New Roman"/>
                <w:lang w:eastAsia="zh-CN"/>
              </w:rPr>
              <w:t>”</w:t>
            </w:r>
            <w:r>
              <w:rPr>
                <w:rFonts w:hint="default" w:ascii="Times New Roman" w:hAnsi="Times New Roman" w:cs="Times New Roman"/>
                <w:lang w:eastAsia="zh-CN"/>
              </w:rPr>
              <w:t>设施建设，建成41座中水库。本项目通过</w:t>
            </w:r>
            <w:r>
              <w:rPr>
                <w:rFonts w:hint="eastAsia" w:ascii="Times New Roman" w:hAnsi="Times New Roman" w:cs="Times New Roman"/>
                <w:lang w:eastAsia="zh-CN"/>
              </w:rPr>
              <w:t>“</w:t>
            </w:r>
            <w:r>
              <w:rPr>
                <w:rFonts w:hint="default" w:ascii="Times New Roman" w:hAnsi="Times New Roman" w:cs="Times New Roman"/>
                <w:lang w:eastAsia="zh-CN"/>
              </w:rPr>
              <w:t>中水库冬储+夏季绿化灌溉+企业回用</w:t>
            </w:r>
            <w:r>
              <w:rPr>
                <w:rFonts w:hint="eastAsia" w:ascii="Times New Roman" w:hAnsi="Times New Roman" w:cs="Times New Roman"/>
                <w:lang w:eastAsia="zh-CN"/>
              </w:rPr>
              <w:t>”</w:t>
            </w:r>
            <w:r>
              <w:rPr>
                <w:rFonts w:hint="default" w:ascii="Times New Roman" w:hAnsi="Times New Roman" w:cs="Times New Roman"/>
                <w:lang w:eastAsia="zh-CN"/>
              </w:rPr>
              <w:t>相结合的途径，可实现尾水100%回用、零排放。</w:t>
            </w:r>
          </w:p>
          <w:p w14:paraId="55E24D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4.2.2.4废水排放口基本情况</w:t>
            </w:r>
          </w:p>
          <w:p w14:paraId="243432FD">
            <w:pPr>
              <w:pStyle w:val="7"/>
              <w:bidi w:val="0"/>
              <w:rPr>
                <w:rFonts w:hint="default" w:ascii="Times New Roman" w:hAnsi="Times New Roman" w:cs="Times New Roman"/>
                <w:sz w:val="24"/>
                <w:szCs w:val="24"/>
                <w:lang w:val="en-US" w:eastAsia="zh-CN"/>
              </w:rPr>
            </w:pPr>
            <w:r>
              <w:rPr>
                <w:rFonts w:hint="default" w:ascii="Times New Roman" w:hAnsi="Times New Roman" w:cs="Times New Roman"/>
              </w:rPr>
              <w:t>本项目运营期尾水全部回用，不外排，不设废水直接排放口。厂内自身产生的废水全部回流至调节池进入污水处理系统，不单独设置外排口。再生水通过提升泵池（2台潜污泵，Q=160m</w:t>
            </w:r>
            <w:r>
              <w:rPr>
                <w:rFonts w:hint="eastAsia" w:ascii="Times New Roman" w:hAnsi="Times New Roman" w:cs="Times New Roman"/>
                <w:vertAlign w:val="superscript"/>
                <w:lang w:val="en-US" w:eastAsia="zh-CN"/>
              </w:rPr>
              <w:t>3</w:t>
            </w:r>
            <w:r>
              <w:rPr>
                <w:rFonts w:hint="default" w:ascii="Times New Roman" w:hAnsi="Times New Roman" w:cs="Times New Roman"/>
              </w:rPr>
              <w:t>/h，H=30m，1用1备）加压后，经再生水管道输送至园区中水库或企业回用点</w:t>
            </w:r>
            <w:r>
              <w:rPr>
                <w:rFonts w:hint="default" w:ascii="Times New Roman" w:hAnsi="Times New Roman" w:cs="Times New Roman"/>
                <w:lang w:eastAsia="zh-CN"/>
              </w:rPr>
              <w:t>。</w:t>
            </w:r>
          </w:p>
          <w:p w14:paraId="382F40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4.2.</w:t>
            </w:r>
            <w:r>
              <w:rPr>
                <w:rFonts w:hint="eastAsia"/>
                <w:sz w:val="24"/>
                <w:szCs w:val="24"/>
                <w:lang w:val="en-US" w:eastAsia="zh-CN"/>
              </w:rPr>
              <w:t>2.5</w:t>
            </w:r>
            <w:r>
              <w:rPr>
                <w:rFonts w:hint="eastAsia"/>
                <w:sz w:val="24"/>
                <w:szCs w:val="24"/>
              </w:rPr>
              <w:t>非灌溉期回用保障措施</w:t>
            </w:r>
          </w:p>
          <w:p w14:paraId="01B04D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本项目尾水全部回用，设计回用途径为灌溉期（夏季）用于园区绿化灌溉，非灌溉期（冬季及非灌溉季节）供给园区企业回用。为确保非灌溉期尾水得到有效消纳、实现全年废水零排放，提出以下保障措施，各项措施的责任主体及落实要求如下：</w:t>
            </w:r>
          </w:p>
          <w:p w14:paraId="7FDAD968">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5" w:firstLineChars="0"/>
              <w:textAlignment w:val="auto"/>
              <w:rPr>
                <w:rFonts w:hint="eastAsia"/>
                <w:sz w:val="24"/>
                <w:szCs w:val="24"/>
              </w:rPr>
            </w:pPr>
            <w:r>
              <w:rPr>
                <w:rFonts w:hint="eastAsia"/>
                <w:sz w:val="24"/>
                <w:szCs w:val="24"/>
              </w:rPr>
              <w:t>调蓄设施建设（责任主体：建设单位）</w:t>
            </w:r>
          </w:p>
          <w:p w14:paraId="6131A9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本项目配套建设再生水管道约8481m（聚乙烯管DN300），其中一条管道将尾水输送至园区现状中水库。建设单位应在工程设计阶段将中水库的调蓄能力纳入全厂水平衡核算，确保中水库有效容积可满足非灌溉期（按最长</w:t>
            </w:r>
            <w:r>
              <w:rPr>
                <w:rFonts w:hint="eastAsia"/>
                <w:sz w:val="24"/>
                <w:szCs w:val="24"/>
                <w:lang w:val="en-US" w:eastAsia="zh-CN"/>
              </w:rPr>
              <w:t>90</w:t>
            </w:r>
            <w:r>
              <w:rPr>
                <w:rFonts w:hint="eastAsia"/>
                <w:sz w:val="24"/>
                <w:szCs w:val="24"/>
              </w:rPr>
              <w:t>天计）尾水暂存需求。调蓄设施应与主体工程同步设计、同步施工、同步投产使用。</w:t>
            </w:r>
          </w:p>
          <w:p w14:paraId="384C1F2B">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5" w:firstLineChars="0"/>
              <w:textAlignment w:val="auto"/>
              <w:rPr>
                <w:rFonts w:hint="eastAsia"/>
                <w:sz w:val="24"/>
                <w:szCs w:val="24"/>
              </w:rPr>
            </w:pPr>
            <w:r>
              <w:rPr>
                <w:rFonts w:hint="eastAsia"/>
                <w:sz w:val="24"/>
                <w:szCs w:val="24"/>
              </w:rPr>
              <w:t>中水回用协议签订（责任主体：建设单位牵头，运营单位配合）</w:t>
            </w:r>
          </w:p>
          <w:p w14:paraId="09B77C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rPr>
              <w:t>建设单位应在项目投产前，与园区绿化管理部门及具备再生水消纳能力的园区企业签订中水回用意向协议或框架协议，明确非灌溉期尾水接收量、接收时段、水质要求及计量计价方式。运营单位（新疆上和恒源水务有限公司）应在运营期负责协议的具体执行，建立中水供需对接机制，定期与回用单</w:t>
            </w:r>
            <w:r>
              <w:rPr>
                <w:rFonts w:hint="eastAsia"/>
                <w:sz w:val="24"/>
                <w:szCs w:val="24"/>
                <w:lang w:val="en-US" w:eastAsia="zh-CN"/>
              </w:rPr>
              <w:t>位沟通用水需求。</w:t>
            </w:r>
          </w:p>
          <w:p w14:paraId="60185483">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5" w:firstLineChars="0"/>
              <w:textAlignment w:val="auto"/>
              <w:rPr>
                <w:rFonts w:hint="eastAsia"/>
                <w:sz w:val="24"/>
                <w:szCs w:val="24"/>
                <w:lang w:val="en-US" w:eastAsia="zh-CN"/>
              </w:rPr>
            </w:pPr>
            <w:r>
              <w:rPr>
                <w:rFonts w:hint="eastAsia"/>
                <w:sz w:val="24"/>
                <w:szCs w:val="24"/>
                <w:lang w:val="en-US" w:eastAsia="zh-CN"/>
              </w:rPr>
              <w:t>冬季尾水消纳保障（责任主体：运营单位）</w:t>
            </w:r>
          </w:p>
          <w:p w14:paraId="67B22A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运营单位应建立非灌溉期尾水消纳调度制度：</w:t>
            </w:r>
          </w:p>
          <w:p w14:paraId="766BB1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每年非灌溉期来临前（10月底前），向园区管理机构及各回用单位函告冬季尾水供应计划；</w:t>
            </w:r>
          </w:p>
          <w:p w14:paraId="1CB3AC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非灌溉期每月统计尾水实际消纳量，发现消纳不足时及时启动应急预案；</w:t>
            </w:r>
          </w:p>
          <w:p w14:paraId="498AA1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在极端低温条件下，应做好再生水管线和调蓄设施的防冻保温工作，确保设施正常运行。</w:t>
            </w:r>
          </w:p>
          <w:p w14:paraId="0C54321F">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5" w:firstLineChars="0"/>
              <w:textAlignment w:val="auto"/>
              <w:rPr>
                <w:rFonts w:hint="eastAsia"/>
                <w:sz w:val="24"/>
                <w:szCs w:val="24"/>
                <w:lang w:val="en-US" w:eastAsia="zh-CN"/>
              </w:rPr>
            </w:pPr>
            <w:r>
              <w:rPr>
                <w:rFonts w:hint="eastAsia"/>
                <w:sz w:val="24"/>
                <w:szCs w:val="24"/>
                <w:lang w:val="en-US" w:eastAsia="zh-CN"/>
              </w:rPr>
              <w:t>园区中水库调度协调（责任主体：园区管理机构，运营单位配合）</w:t>
            </w:r>
          </w:p>
          <w:p w14:paraId="2169BE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当园区企业无法全部消纳非灌溉期尾水时，运营单位应将富余尾水通过再生水管道输送至园区现状中水库暂存</w:t>
            </w:r>
            <w:r>
              <w:rPr>
                <w:rFonts w:hint="eastAsia"/>
                <w:sz w:val="24"/>
                <w:szCs w:val="24"/>
                <w:lang w:eastAsia="zh-CN"/>
              </w:rPr>
              <w:t>，</w:t>
            </w:r>
            <w:r>
              <w:rPr>
                <w:rFonts w:hint="eastAsia"/>
                <w:sz w:val="24"/>
                <w:szCs w:val="24"/>
              </w:rPr>
              <w:t>由水库同步向其他用水企业供水实现周转。园区管理机构应负责中水库的调度管理，保障水库处于动态运行状态并预留足够调蓄容量接收污水处理厂尾水。运营单位应配合园区管理机构做好中水库进水水质监测和水量记录。</w:t>
            </w:r>
          </w:p>
          <w:p w14:paraId="5B9F645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5" w:firstLineChars="0"/>
              <w:textAlignment w:val="auto"/>
              <w:rPr>
                <w:rFonts w:hint="eastAsia"/>
                <w:sz w:val="24"/>
                <w:szCs w:val="24"/>
                <w:lang w:val="en-US" w:eastAsia="zh-CN"/>
              </w:rPr>
            </w:pPr>
            <w:r>
              <w:rPr>
                <w:rFonts w:hint="eastAsia"/>
                <w:sz w:val="24"/>
                <w:szCs w:val="24"/>
                <w:lang w:val="en-US" w:eastAsia="zh-CN"/>
              </w:rPr>
              <w:t>应急预案（责任主体：运营单位）</w:t>
            </w:r>
          </w:p>
          <w:p w14:paraId="021BEE81">
            <w:pPr>
              <w:keepNext w:val="0"/>
              <w:keepLines w:val="0"/>
              <w:pageBreakBefore w:val="0"/>
              <w:widowControl w:val="0"/>
              <w:kinsoku/>
              <w:wordWrap/>
              <w:overflowPunct/>
              <w:topLinePunct w:val="0"/>
              <w:autoSpaceDE/>
              <w:autoSpaceDN/>
              <w:bidi w:val="0"/>
              <w:adjustRightInd/>
              <w:snapToGrid/>
              <w:spacing w:line="360" w:lineRule="auto"/>
              <w:ind w:firstLine="456" w:firstLineChars="200"/>
              <w:textAlignment w:val="auto"/>
              <w:rPr>
                <w:rFonts w:hint="eastAsia"/>
                <w:spacing w:val="-6"/>
                <w:sz w:val="24"/>
                <w:szCs w:val="24"/>
              </w:rPr>
            </w:pPr>
            <w:r>
              <w:rPr>
                <w:rFonts w:hint="eastAsia"/>
                <w:spacing w:val="-6"/>
                <w:sz w:val="24"/>
                <w:szCs w:val="24"/>
              </w:rPr>
              <w:t>运营单位应编制《尾水回用应急处置预案》，针对以下情形制定应急措施：</w:t>
            </w:r>
          </w:p>
          <w:p w14:paraId="16CE48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园区企业因检修、停产等原因暂停接收中水；</w:t>
            </w:r>
          </w:p>
          <w:p w14:paraId="0CD92E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中水库库容不足无法继续接收尾水；</w:t>
            </w:r>
          </w:p>
          <w:p w14:paraId="139709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再生水管道破裂或设备故障导致输送中断。</w:t>
            </w:r>
          </w:p>
          <w:p w14:paraId="12D53E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应急预案应明确各类情形下的处置流程、责任人及报告机制，并报生态环境主管部门备案。</w:t>
            </w:r>
          </w:p>
          <w:p w14:paraId="30DC19DE">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5" w:firstLineChars="0"/>
              <w:textAlignment w:val="auto"/>
              <w:rPr>
                <w:rFonts w:hint="eastAsia"/>
                <w:sz w:val="24"/>
                <w:szCs w:val="24"/>
                <w:lang w:val="en-US" w:eastAsia="zh-CN"/>
              </w:rPr>
            </w:pPr>
            <w:r>
              <w:rPr>
                <w:rFonts w:hint="eastAsia"/>
                <w:sz w:val="24"/>
                <w:szCs w:val="24"/>
                <w:lang w:val="en-US" w:eastAsia="zh-CN"/>
              </w:rPr>
              <w:t>监督管理（责任主体：生态环境主管部门）</w:t>
            </w:r>
          </w:p>
          <w:p w14:paraId="2A82AF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地方生态环境主管部门应将本项目尾水回用情况纳入日常环境监管，重点检查回用水量记录、中水回用协议执行情况、调蓄设施运行状态等，确保“废水零排放”的环评要求落实到位。</w:t>
            </w:r>
          </w:p>
          <w:p w14:paraId="0781DD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说明：本项目（二期工程）建成后，全厂（一期500m</w:t>
            </w:r>
            <w:r>
              <w:rPr>
                <w:rFonts w:hint="eastAsia"/>
                <w:sz w:val="24"/>
                <w:szCs w:val="24"/>
                <w:vertAlign w:val="superscript"/>
                <w:lang w:val="en-US" w:eastAsia="zh-CN"/>
              </w:rPr>
              <w:t>3</w:t>
            </w:r>
            <w:r>
              <w:rPr>
                <w:rFonts w:hint="eastAsia"/>
                <w:sz w:val="24"/>
                <w:szCs w:val="24"/>
              </w:rPr>
              <w:t>/d+二期2500m</w:t>
            </w:r>
            <w:r>
              <w:rPr>
                <w:rFonts w:hint="eastAsia"/>
                <w:sz w:val="24"/>
                <w:szCs w:val="24"/>
                <w:vertAlign w:val="superscript"/>
                <w:lang w:val="en-US" w:eastAsia="zh-CN"/>
              </w:rPr>
              <w:t>3</w:t>
            </w:r>
            <w:r>
              <w:rPr>
                <w:rFonts w:hint="eastAsia"/>
                <w:sz w:val="24"/>
                <w:szCs w:val="24"/>
              </w:rPr>
              <w:t>/d）处理规模达3000m</w:t>
            </w:r>
            <w:r>
              <w:rPr>
                <w:rFonts w:hint="eastAsia"/>
                <w:sz w:val="24"/>
                <w:szCs w:val="24"/>
                <w:vertAlign w:val="superscript"/>
                <w:lang w:val="en-US" w:eastAsia="zh-CN"/>
              </w:rPr>
              <w:t>3</w:t>
            </w:r>
            <w:r>
              <w:rPr>
                <w:rFonts w:hint="eastAsia"/>
                <w:sz w:val="24"/>
                <w:szCs w:val="24"/>
              </w:rPr>
              <w:t>/d。其中一期工程尾水目前已全部回用于产业小镇镇区绿化，二期工程新增尾水将通过新建再生水管道输送至园区中水库及园区企业回用。</w:t>
            </w:r>
          </w:p>
          <w:p w14:paraId="1C047361">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4.2.</w:t>
            </w:r>
            <w:r>
              <w:rPr>
                <w:rFonts w:hint="eastAsia"/>
                <w:sz w:val="24"/>
                <w:szCs w:val="24"/>
                <w:lang w:val="en-US" w:eastAsia="zh-CN"/>
              </w:rPr>
              <w:t>2.6</w:t>
            </w:r>
            <w:r>
              <w:rPr>
                <w:rFonts w:hint="eastAsia"/>
                <w:sz w:val="24"/>
                <w:szCs w:val="24"/>
              </w:rPr>
              <w:t>污染</w:t>
            </w:r>
            <w:r>
              <w:rPr>
                <w:rFonts w:hint="eastAsia" w:ascii="Times New Roman" w:hAnsi="Times New Roman" w:cs="Times New Roman"/>
                <w:sz w:val="24"/>
                <w:szCs w:val="24"/>
                <w:lang w:val="en-US" w:eastAsia="zh-CN"/>
              </w:rPr>
              <w:t>物削减情</w:t>
            </w:r>
            <w:r>
              <w:rPr>
                <w:rFonts w:hint="eastAsia"/>
                <w:sz w:val="24"/>
                <w:szCs w:val="24"/>
              </w:rPr>
              <w:t>况</w:t>
            </w:r>
          </w:p>
          <w:p w14:paraId="253914A7">
            <w:pPr>
              <w:keepNext w:val="0"/>
              <w:keepLines w:val="0"/>
              <w:pageBreakBefore w:val="0"/>
              <w:widowControl w:val="0"/>
              <w:kinsoku/>
              <w:wordWrap/>
              <w:overflowPunct/>
              <w:topLinePunct w:val="0"/>
              <w:autoSpaceDE/>
              <w:autoSpaceDN/>
              <w:bidi w:val="0"/>
              <w:adjustRightInd/>
              <w:snapToGrid/>
              <w:spacing w:line="360" w:lineRule="auto"/>
              <w:ind w:firstLine="436" w:firstLineChars="200"/>
              <w:jc w:val="left"/>
              <w:textAlignment w:val="auto"/>
              <w:rPr>
                <w:rFonts w:hint="eastAsia"/>
                <w:spacing w:val="-11"/>
                <w:sz w:val="24"/>
                <w:szCs w:val="24"/>
              </w:rPr>
            </w:pPr>
            <w:r>
              <w:rPr>
                <w:rFonts w:hint="eastAsia"/>
                <w:spacing w:val="-11"/>
                <w:sz w:val="24"/>
                <w:szCs w:val="24"/>
              </w:rPr>
              <w:t>本项目建成后全厂（含现状500m</w:t>
            </w:r>
            <w:r>
              <w:rPr>
                <w:rFonts w:hint="eastAsia"/>
                <w:spacing w:val="-11"/>
                <w:sz w:val="24"/>
                <w:szCs w:val="24"/>
                <w:vertAlign w:val="superscript"/>
                <w:lang w:val="en-US" w:eastAsia="zh-CN"/>
              </w:rPr>
              <w:t>3</w:t>
            </w:r>
            <w:r>
              <w:rPr>
                <w:rFonts w:hint="eastAsia"/>
                <w:spacing w:val="-11"/>
                <w:sz w:val="24"/>
                <w:szCs w:val="24"/>
              </w:rPr>
              <w:t>/d+新建2500m</w:t>
            </w:r>
            <w:r>
              <w:rPr>
                <w:rFonts w:hint="eastAsia"/>
                <w:sz w:val="24"/>
                <w:szCs w:val="24"/>
                <w:vertAlign w:val="superscript"/>
                <w:lang w:val="en-US" w:eastAsia="zh-CN"/>
              </w:rPr>
              <w:t>3</w:t>
            </w:r>
            <w:r>
              <w:rPr>
                <w:rFonts w:hint="eastAsia"/>
                <w:spacing w:val="-11"/>
                <w:sz w:val="24"/>
                <w:szCs w:val="24"/>
              </w:rPr>
              <w:t>/d）处理规模为3000m</w:t>
            </w:r>
            <w:r>
              <w:rPr>
                <w:rFonts w:hint="eastAsia"/>
                <w:sz w:val="24"/>
                <w:szCs w:val="24"/>
                <w:vertAlign w:val="superscript"/>
                <w:lang w:val="en-US" w:eastAsia="zh-CN"/>
              </w:rPr>
              <w:t>3</w:t>
            </w:r>
            <w:r>
              <w:rPr>
                <w:rFonts w:hint="eastAsia"/>
                <w:spacing w:val="-11"/>
                <w:sz w:val="24"/>
                <w:szCs w:val="24"/>
              </w:rPr>
              <w:t>/d，年处理水量109.5万m</w:t>
            </w:r>
            <w:r>
              <w:rPr>
                <w:rFonts w:hint="eastAsia"/>
                <w:sz w:val="24"/>
                <w:szCs w:val="24"/>
                <w:vertAlign w:val="superscript"/>
                <w:lang w:val="en-US" w:eastAsia="zh-CN"/>
              </w:rPr>
              <w:t>3</w:t>
            </w:r>
            <w:r>
              <w:rPr>
                <w:rFonts w:hint="eastAsia"/>
                <w:spacing w:val="-11"/>
                <w:sz w:val="24"/>
                <w:szCs w:val="24"/>
              </w:rPr>
              <w:t>/a。主要水污染物削减情况如下：</w:t>
            </w:r>
          </w:p>
          <w:p w14:paraId="6B378324">
            <w:pPr>
              <w:pStyle w:val="7"/>
              <w:numPr>
                <w:ilvl w:val="0"/>
                <w:numId w:val="0"/>
              </w:numPr>
              <w:bidi w:val="0"/>
              <w:ind w:left="0" w:leftChars="0" w:firstLine="480" w:firstLineChars="20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1、</w:t>
            </w:r>
            <w:r>
              <w:rPr>
                <w:rFonts w:hint="default" w:ascii="Times New Roman" w:hAnsi="Times New Roman" w:eastAsia="宋体" w:cs="Times New Roman"/>
                <w:kern w:val="2"/>
                <w:sz w:val="24"/>
                <w:szCs w:val="24"/>
                <w:lang w:val="en-US" w:eastAsia="zh-CN" w:bidi="ar-SA"/>
              </w:rPr>
              <w:t>一期工程（现有，规模500m</w:t>
            </w:r>
            <w:r>
              <w:rPr>
                <w:rFonts w:hint="eastAsia" w:ascii="Times New Roman" w:hAnsi="Times New Roman" w:eastAsia="宋体" w:cs="Times New Roman"/>
                <w:kern w:val="2"/>
                <w:sz w:val="24"/>
                <w:szCs w:val="24"/>
                <w:vertAlign w:val="superscript"/>
                <w:lang w:val="en-US" w:eastAsia="zh-CN" w:bidi="ar-SA"/>
              </w:rPr>
              <w:t>3</w:t>
            </w:r>
            <w:r>
              <w:rPr>
                <w:rFonts w:hint="default" w:ascii="Times New Roman" w:hAnsi="Times New Roman" w:eastAsia="宋体" w:cs="Times New Roman"/>
                <w:kern w:val="2"/>
                <w:sz w:val="24"/>
                <w:szCs w:val="24"/>
                <w:lang w:val="en-US" w:eastAsia="zh-CN" w:bidi="ar-SA"/>
              </w:rPr>
              <w:t>/d（18.25万m</w:t>
            </w:r>
            <w:r>
              <w:rPr>
                <w:rFonts w:hint="eastAsia" w:ascii="Times New Roman" w:hAnsi="Times New Roman" w:eastAsia="宋体" w:cs="Times New Roman"/>
                <w:kern w:val="2"/>
                <w:sz w:val="24"/>
                <w:szCs w:val="24"/>
                <w:vertAlign w:val="superscript"/>
                <w:lang w:val="en-US" w:eastAsia="zh-CN" w:bidi="ar-SA"/>
              </w:rPr>
              <w:t>3</w:t>
            </w:r>
            <w:r>
              <w:rPr>
                <w:rFonts w:hint="default" w:ascii="Times New Roman" w:hAnsi="Times New Roman" w:eastAsia="宋体" w:cs="Times New Roman"/>
                <w:kern w:val="2"/>
                <w:sz w:val="24"/>
                <w:szCs w:val="24"/>
                <w:lang w:val="en-US" w:eastAsia="zh-CN" w:bidi="ar-SA"/>
              </w:rPr>
              <w:t>/a））</w:t>
            </w:r>
            <w:r>
              <w:rPr>
                <w:rFonts w:hint="eastAsia" w:ascii="Times New Roman" w:hAnsi="Times New Roman" w:eastAsia="宋体" w:cs="Times New Roman"/>
                <w:kern w:val="2"/>
                <w:sz w:val="24"/>
                <w:szCs w:val="24"/>
                <w:lang w:val="en-US" w:eastAsia="zh-CN" w:bidi="ar-SA"/>
              </w:rPr>
              <w:t>，主要水污染物削减情况如下：</w:t>
            </w:r>
          </w:p>
          <w:p w14:paraId="27074589">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center"/>
              <w:textAlignment w:val="auto"/>
              <w:rPr>
                <w:rFonts w:hint="default"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kern w:val="2"/>
                <w:sz w:val="21"/>
                <w:szCs w:val="21"/>
                <w:lang w:val="en-US" w:eastAsia="zh-CN" w:bidi="ar-SA"/>
              </w:rPr>
              <w:t>表4-1</w:t>
            </w:r>
            <w:r>
              <w:rPr>
                <w:rFonts w:hint="eastAsia" w:ascii="Times New Roman" w:cs="Times New Roman"/>
                <w:b/>
                <w:bCs/>
                <w:kern w:val="2"/>
                <w:sz w:val="21"/>
                <w:szCs w:val="21"/>
                <w:lang w:val="en-US" w:eastAsia="zh-CN" w:bidi="ar-SA"/>
              </w:rPr>
              <w:t>5</w:t>
            </w:r>
            <w:r>
              <w:rPr>
                <w:rFonts w:hint="eastAsia" w:ascii="Times New Roman" w:hAnsi="Times New Roman" w:eastAsia="宋体" w:cs="Times New Roman"/>
                <w:b/>
                <w:bCs/>
                <w:kern w:val="2"/>
                <w:sz w:val="21"/>
                <w:szCs w:val="21"/>
                <w:lang w:val="en-US" w:eastAsia="zh-CN" w:bidi="ar-SA"/>
              </w:rPr>
              <w:t>一期工程</w:t>
            </w:r>
            <w:r>
              <w:rPr>
                <w:rFonts w:hint="eastAsia" w:ascii="Times New Roman" w:eastAsia="宋体"/>
                <w:b/>
                <w:bCs/>
                <w:sz w:val="21"/>
                <w:szCs w:val="21"/>
                <w:lang w:val="en-US" w:eastAsia="zh-CN"/>
              </w:rPr>
              <w:t>污染物削减情况一览表</w:t>
            </w:r>
          </w:p>
          <w:tbl>
            <w:tblPr>
              <w:tblStyle w:val="1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1"/>
              <w:gridCol w:w="940"/>
              <w:gridCol w:w="1064"/>
              <w:gridCol w:w="904"/>
              <w:gridCol w:w="1039"/>
              <w:gridCol w:w="904"/>
              <w:gridCol w:w="905"/>
            </w:tblGrid>
            <w:tr w14:paraId="7827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2DFA6">
                  <w:pPr>
                    <w:jc w:val="center"/>
                    <w:rPr>
                      <w:rFonts w:hint="default" w:ascii="Times New Roman" w:hAnsi="Times New Roman" w:cs="Times New Roman"/>
                      <w:b w:val="0"/>
                      <w:color w:val="000000"/>
                    </w:rPr>
                  </w:pPr>
                  <w:r>
                    <w:rPr>
                      <w:rFonts w:hint="default" w:ascii="Times New Roman" w:hAnsi="Times New Roman" w:cs="Times New Roman"/>
                      <w:b w:val="0"/>
                      <w:color w:val="000000"/>
                    </w:rPr>
                    <w:t>指标</w:t>
                  </w:r>
                </w:p>
              </w:tc>
              <w:tc>
                <w:tcPr>
                  <w:tcW w:w="5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5C816D">
                  <w:pPr>
                    <w:jc w:val="center"/>
                    <w:rPr>
                      <w:rFonts w:hint="default" w:ascii="Times New Roman" w:hAnsi="Times New Roman" w:cs="Times New Roman"/>
                      <w:b w:val="0"/>
                      <w:color w:val="000000"/>
                    </w:rPr>
                  </w:pPr>
                  <w:r>
                    <w:rPr>
                      <w:rFonts w:hint="default" w:ascii="Times New Roman" w:hAnsi="Times New Roman" w:cs="Times New Roman"/>
                      <w:b w:val="0"/>
                      <w:color w:val="000000"/>
                    </w:rPr>
                    <w:t>BOD</w:t>
                  </w:r>
                  <w:r>
                    <w:rPr>
                      <w:rFonts w:hint="default" w:ascii="Times New Roman" w:hAnsi="Times New Roman" w:cs="Times New Roman"/>
                      <w:b w:val="0"/>
                      <w:color w:val="000000"/>
                      <w:vertAlign w:val="subscript"/>
                    </w:rPr>
                    <w:t>5</w:t>
                  </w:r>
                </w:p>
              </w:tc>
              <w:tc>
                <w:tcPr>
                  <w:tcW w:w="6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8CFAF3">
                  <w:pPr>
                    <w:jc w:val="center"/>
                    <w:rPr>
                      <w:rFonts w:hint="default" w:ascii="Times New Roman" w:hAnsi="Times New Roman" w:cs="Times New Roman"/>
                      <w:b w:val="0"/>
                      <w:color w:val="000000"/>
                    </w:rPr>
                  </w:pPr>
                  <w:r>
                    <w:rPr>
                      <w:rFonts w:hint="default" w:ascii="Times New Roman" w:hAnsi="Times New Roman" w:cs="Times New Roman"/>
                      <w:b w:val="0"/>
                      <w:color w:val="000000"/>
                    </w:rPr>
                    <w:t>CODcr</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C7D779">
                  <w:pPr>
                    <w:jc w:val="center"/>
                    <w:rPr>
                      <w:rFonts w:hint="default" w:ascii="Times New Roman" w:hAnsi="Times New Roman" w:cs="Times New Roman"/>
                      <w:b w:val="0"/>
                      <w:color w:val="000000"/>
                    </w:rPr>
                  </w:pPr>
                  <w:r>
                    <w:rPr>
                      <w:rFonts w:hint="default" w:ascii="Times New Roman" w:hAnsi="Times New Roman" w:cs="Times New Roman"/>
                      <w:b w:val="0"/>
                      <w:color w:val="000000"/>
                    </w:rPr>
                    <w:t>SS</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44910">
                  <w:pPr>
                    <w:jc w:val="center"/>
                    <w:rPr>
                      <w:rFonts w:hint="default" w:ascii="Times New Roman" w:hAnsi="Times New Roman" w:cs="Times New Roman"/>
                      <w:b w:val="0"/>
                      <w:color w:val="000000"/>
                    </w:rPr>
                  </w:pPr>
                  <w:r>
                    <w:rPr>
                      <w:rFonts w:hint="default" w:ascii="Times New Roman" w:hAnsi="Times New Roman" w:cs="Times New Roman"/>
                      <w:b w:val="0"/>
                      <w:color w:val="000000"/>
                    </w:rPr>
                    <w:t>NH₃-N</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3C2849">
                  <w:pPr>
                    <w:jc w:val="center"/>
                    <w:rPr>
                      <w:rFonts w:hint="default" w:ascii="Times New Roman" w:hAnsi="Times New Roman" w:cs="Times New Roman"/>
                      <w:b w:val="0"/>
                      <w:color w:val="000000"/>
                    </w:rPr>
                  </w:pPr>
                  <w:r>
                    <w:rPr>
                      <w:rFonts w:hint="default" w:ascii="Times New Roman" w:hAnsi="Times New Roman" w:cs="Times New Roman"/>
                      <w:b w:val="0"/>
                      <w:color w:val="000000"/>
                    </w:rPr>
                    <w:t>TN</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FDF03">
                  <w:pPr>
                    <w:jc w:val="center"/>
                    <w:rPr>
                      <w:rFonts w:hint="default" w:ascii="Times New Roman" w:hAnsi="Times New Roman" w:cs="Times New Roman"/>
                      <w:b w:val="0"/>
                      <w:color w:val="000000"/>
                    </w:rPr>
                  </w:pPr>
                  <w:r>
                    <w:rPr>
                      <w:rFonts w:hint="default" w:ascii="Times New Roman" w:hAnsi="Times New Roman" w:cs="Times New Roman"/>
                      <w:b w:val="0"/>
                      <w:color w:val="000000"/>
                    </w:rPr>
                    <w:t>TP</w:t>
                  </w:r>
                </w:p>
              </w:tc>
            </w:tr>
            <w:tr w14:paraId="5B9E7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6E4F20">
                  <w:pPr>
                    <w:jc w:val="center"/>
                    <w:rPr>
                      <w:rFonts w:hint="default" w:ascii="Times New Roman" w:hAnsi="Times New Roman" w:cs="Times New Roman"/>
                      <w:b w:val="0"/>
                      <w:color w:val="000000"/>
                    </w:rPr>
                  </w:pPr>
                  <w:r>
                    <w:rPr>
                      <w:rFonts w:hint="default" w:ascii="Times New Roman" w:hAnsi="Times New Roman" w:cs="Times New Roman"/>
                      <w:b w:val="0"/>
                      <w:color w:val="000000"/>
                    </w:rPr>
                    <w:t>进水总量（t/a）</w:t>
                  </w:r>
                </w:p>
              </w:tc>
              <w:tc>
                <w:tcPr>
                  <w:tcW w:w="5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3E4FB">
                  <w:pPr>
                    <w:jc w:val="center"/>
                    <w:rPr>
                      <w:rFonts w:hint="default" w:ascii="Times New Roman" w:hAnsi="Times New Roman" w:cs="Times New Roman"/>
                      <w:b w:val="0"/>
                      <w:color w:val="000000"/>
                    </w:rPr>
                  </w:pPr>
                  <w:r>
                    <w:rPr>
                      <w:rFonts w:hint="default" w:ascii="Times New Roman" w:hAnsi="Times New Roman" w:cs="Times New Roman"/>
                      <w:b w:val="0"/>
                      <w:color w:val="000000"/>
                    </w:rPr>
                    <w:t>51.10</w:t>
                  </w:r>
                </w:p>
              </w:tc>
              <w:tc>
                <w:tcPr>
                  <w:tcW w:w="6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D93EF5">
                  <w:pPr>
                    <w:jc w:val="center"/>
                    <w:rPr>
                      <w:rFonts w:hint="default" w:ascii="Times New Roman" w:hAnsi="Times New Roman" w:cs="Times New Roman"/>
                      <w:b w:val="0"/>
                      <w:color w:val="000000"/>
                    </w:rPr>
                  </w:pPr>
                  <w:r>
                    <w:rPr>
                      <w:rFonts w:hint="default" w:ascii="Times New Roman" w:hAnsi="Times New Roman" w:cs="Times New Roman"/>
                      <w:b w:val="0"/>
                      <w:color w:val="000000"/>
                    </w:rPr>
                    <w:t>116.80</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6BC5E5">
                  <w:pPr>
                    <w:jc w:val="center"/>
                    <w:rPr>
                      <w:rFonts w:hint="default" w:ascii="Times New Roman" w:hAnsi="Times New Roman" w:cs="Times New Roman"/>
                      <w:b w:val="0"/>
                      <w:color w:val="000000"/>
                    </w:rPr>
                  </w:pPr>
                  <w:r>
                    <w:rPr>
                      <w:rFonts w:hint="default" w:ascii="Times New Roman" w:hAnsi="Times New Roman" w:cs="Times New Roman"/>
                      <w:b w:val="0"/>
                      <w:color w:val="000000"/>
                    </w:rPr>
                    <w:t>27.38</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21CA67">
                  <w:pPr>
                    <w:jc w:val="center"/>
                    <w:rPr>
                      <w:rFonts w:hint="default" w:ascii="Times New Roman" w:hAnsi="Times New Roman" w:cs="Times New Roman"/>
                      <w:b w:val="0"/>
                      <w:color w:val="000000"/>
                    </w:rPr>
                  </w:pPr>
                  <w:r>
                    <w:rPr>
                      <w:rFonts w:hint="default" w:ascii="Times New Roman" w:hAnsi="Times New Roman" w:cs="Times New Roman"/>
                      <w:b w:val="0"/>
                      <w:color w:val="000000"/>
                    </w:rPr>
                    <w:t>12.78</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261A19">
                  <w:pPr>
                    <w:jc w:val="center"/>
                    <w:rPr>
                      <w:rFonts w:hint="default" w:ascii="Times New Roman" w:hAnsi="Times New Roman" w:cs="Times New Roman"/>
                      <w:b w:val="0"/>
                      <w:color w:val="000000"/>
                    </w:rPr>
                  </w:pPr>
                  <w:r>
                    <w:rPr>
                      <w:rFonts w:hint="default" w:ascii="Times New Roman" w:hAnsi="Times New Roman" w:cs="Times New Roman"/>
                      <w:b w:val="0"/>
                      <w:color w:val="000000"/>
                    </w:rPr>
                    <w:t>14.60</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9ECF9">
                  <w:pPr>
                    <w:jc w:val="center"/>
                    <w:rPr>
                      <w:rFonts w:hint="default" w:ascii="Times New Roman" w:hAnsi="Times New Roman" w:cs="Times New Roman"/>
                      <w:b w:val="0"/>
                      <w:color w:val="000000"/>
                    </w:rPr>
                  </w:pPr>
                  <w:r>
                    <w:rPr>
                      <w:rFonts w:hint="default" w:ascii="Times New Roman" w:hAnsi="Times New Roman" w:cs="Times New Roman"/>
                      <w:b w:val="0"/>
                      <w:color w:val="000000"/>
                    </w:rPr>
                    <w:t>1.46</w:t>
                  </w:r>
                </w:p>
              </w:tc>
            </w:tr>
            <w:tr w14:paraId="696E8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5DB3F4">
                  <w:pPr>
                    <w:jc w:val="center"/>
                    <w:rPr>
                      <w:rFonts w:hint="default" w:ascii="Times New Roman" w:hAnsi="Times New Roman" w:cs="Times New Roman"/>
                      <w:b w:val="0"/>
                      <w:color w:val="000000"/>
                    </w:rPr>
                  </w:pPr>
                  <w:r>
                    <w:rPr>
                      <w:rFonts w:hint="default" w:ascii="Times New Roman" w:hAnsi="Times New Roman" w:cs="Times New Roman"/>
                      <w:b w:val="0"/>
                      <w:color w:val="000000"/>
                    </w:rPr>
                    <w:t>出水总量（t/a）</w:t>
                  </w:r>
                </w:p>
              </w:tc>
              <w:tc>
                <w:tcPr>
                  <w:tcW w:w="5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E8117">
                  <w:pPr>
                    <w:jc w:val="center"/>
                    <w:rPr>
                      <w:rFonts w:hint="default" w:ascii="Times New Roman" w:hAnsi="Times New Roman" w:cs="Times New Roman"/>
                      <w:b w:val="0"/>
                      <w:color w:val="000000"/>
                    </w:rPr>
                  </w:pPr>
                  <w:r>
                    <w:rPr>
                      <w:rFonts w:hint="default" w:ascii="Times New Roman" w:hAnsi="Times New Roman" w:cs="Times New Roman"/>
                      <w:b w:val="0"/>
                      <w:color w:val="000000"/>
                    </w:rPr>
                    <w:t>1.83</w:t>
                  </w:r>
                </w:p>
              </w:tc>
              <w:tc>
                <w:tcPr>
                  <w:tcW w:w="6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5A126">
                  <w:pPr>
                    <w:jc w:val="center"/>
                    <w:rPr>
                      <w:rFonts w:hint="default" w:ascii="Times New Roman" w:hAnsi="Times New Roman" w:cs="Times New Roman"/>
                      <w:b w:val="0"/>
                      <w:color w:val="000000"/>
                    </w:rPr>
                  </w:pPr>
                  <w:r>
                    <w:rPr>
                      <w:rFonts w:hint="default" w:ascii="Times New Roman" w:hAnsi="Times New Roman" w:cs="Times New Roman"/>
                      <w:b w:val="0"/>
                      <w:color w:val="000000"/>
                    </w:rPr>
                    <w:t>9.13</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B7230C">
                  <w:pPr>
                    <w:jc w:val="center"/>
                    <w:rPr>
                      <w:rFonts w:hint="default" w:ascii="Times New Roman" w:hAnsi="Times New Roman" w:cs="Times New Roman"/>
                      <w:b w:val="0"/>
                      <w:color w:val="000000"/>
                    </w:rPr>
                  </w:pPr>
                  <w:r>
                    <w:rPr>
                      <w:rFonts w:hint="default" w:ascii="Times New Roman" w:hAnsi="Times New Roman" w:cs="Times New Roman"/>
                      <w:b w:val="0"/>
                      <w:color w:val="000000"/>
                    </w:rPr>
                    <w:t>1.83</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CA954D">
                  <w:pPr>
                    <w:jc w:val="center"/>
                    <w:rPr>
                      <w:rFonts w:hint="default" w:ascii="Times New Roman" w:hAnsi="Times New Roman" w:cs="Times New Roman"/>
                      <w:b w:val="0"/>
                      <w:color w:val="000000"/>
                    </w:rPr>
                  </w:pPr>
                  <w:r>
                    <w:rPr>
                      <w:rFonts w:hint="default" w:ascii="Times New Roman" w:hAnsi="Times New Roman" w:cs="Times New Roman"/>
                      <w:b w:val="0"/>
                      <w:color w:val="000000"/>
                    </w:rPr>
                    <w:t>0.91</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999CE2">
                  <w:pPr>
                    <w:jc w:val="center"/>
                    <w:rPr>
                      <w:rFonts w:hint="default" w:ascii="Times New Roman" w:hAnsi="Times New Roman" w:cs="Times New Roman"/>
                      <w:b w:val="0"/>
                      <w:color w:val="000000"/>
                    </w:rPr>
                  </w:pPr>
                  <w:r>
                    <w:rPr>
                      <w:rFonts w:hint="default" w:ascii="Times New Roman" w:hAnsi="Times New Roman" w:cs="Times New Roman"/>
                      <w:b w:val="0"/>
                      <w:color w:val="000000"/>
                    </w:rPr>
                    <w:t>2.74</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D1347">
                  <w:pPr>
                    <w:jc w:val="center"/>
                    <w:rPr>
                      <w:rFonts w:hint="default" w:ascii="Times New Roman" w:hAnsi="Times New Roman" w:cs="Times New Roman"/>
                      <w:b w:val="0"/>
                      <w:color w:val="000000"/>
                    </w:rPr>
                  </w:pPr>
                  <w:r>
                    <w:rPr>
                      <w:rFonts w:hint="default" w:ascii="Times New Roman" w:hAnsi="Times New Roman" w:cs="Times New Roman"/>
                      <w:b w:val="0"/>
                      <w:color w:val="000000"/>
                    </w:rPr>
                    <w:t>0.09</w:t>
                  </w:r>
                </w:p>
              </w:tc>
            </w:tr>
            <w:tr w14:paraId="116C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B3A554">
                  <w:pPr>
                    <w:jc w:val="center"/>
                    <w:rPr>
                      <w:rFonts w:hint="default" w:ascii="Times New Roman" w:hAnsi="Times New Roman" w:cs="Times New Roman"/>
                      <w:b w:val="0"/>
                      <w:color w:val="000000"/>
                    </w:rPr>
                  </w:pPr>
                  <w:r>
                    <w:rPr>
                      <w:rFonts w:hint="default" w:ascii="Times New Roman" w:hAnsi="Times New Roman" w:cs="Times New Roman"/>
                      <w:b w:val="0"/>
                      <w:color w:val="000000"/>
                    </w:rPr>
                    <w:t>削减量（t/a）</w:t>
                  </w:r>
                </w:p>
              </w:tc>
              <w:tc>
                <w:tcPr>
                  <w:tcW w:w="5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3B0809">
                  <w:pPr>
                    <w:jc w:val="center"/>
                    <w:rPr>
                      <w:rFonts w:hint="default" w:ascii="Times New Roman" w:hAnsi="Times New Roman" w:cs="Times New Roman"/>
                      <w:b w:val="0"/>
                      <w:color w:val="000000"/>
                    </w:rPr>
                  </w:pPr>
                  <w:r>
                    <w:rPr>
                      <w:rFonts w:hint="default" w:ascii="Times New Roman" w:hAnsi="Times New Roman" w:cs="Times New Roman"/>
                      <w:b w:val="0"/>
                      <w:color w:val="000000"/>
                    </w:rPr>
                    <w:t>49.28</w:t>
                  </w:r>
                </w:p>
              </w:tc>
              <w:tc>
                <w:tcPr>
                  <w:tcW w:w="6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69188E">
                  <w:pPr>
                    <w:jc w:val="center"/>
                    <w:rPr>
                      <w:rFonts w:hint="default" w:ascii="Times New Roman" w:hAnsi="Times New Roman" w:cs="Times New Roman"/>
                      <w:b w:val="0"/>
                      <w:color w:val="000000"/>
                    </w:rPr>
                  </w:pPr>
                  <w:r>
                    <w:rPr>
                      <w:rFonts w:hint="default" w:ascii="Times New Roman" w:hAnsi="Times New Roman" w:cs="Times New Roman"/>
                      <w:b w:val="0"/>
                      <w:color w:val="000000"/>
                    </w:rPr>
                    <w:t>107.68</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D981D2">
                  <w:pPr>
                    <w:jc w:val="center"/>
                    <w:rPr>
                      <w:rFonts w:hint="default" w:ascii="Times New Roman" w:hAnsi="Times New Roman" w:cs="Times New Roman"/>
                      <w:b w:val="0"/>
                      <w:color w:val="000000"/>
                    </w:rPr>
                  </w:pPr>
                  <w:r>
                    <w:rPr>
                      <w:rFonts w:hint="default" w:ascii="Times New Roman" w:hAnsi="Times New Roman" w:cs="Times New Roman"/>
                      <w:b w:val="0"/>
                      <w:color w:val="000000"/>
                    </w:rPr>
                    <w:t>25.55</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C45827">
                  <w:pPr>
                    <w:jc w:val="center"/>
                    <w:rPr>
                      <w:rFonts w:hint="default" w:ascii="Times New Roman" w:hAnsi="Times New Roman" w:cs="Times New Roman"/>
                      <w:b w:val="0"/>
                      <w:color w:val="000000"/>
                    </w:rPr>
                  </w:pPr>
                  <w:r>
                    <w:rPr>
                      <w:rFonts w:hint="default" w:ascii="Times New Roman" w:hAnsi="Times New Roman" w:cs="Times New Roman"/>
                      <w:b w:val="0"/>
                      <w:color w:val="000000"/>
                    </w:rPr>
                    <w:t>11.86</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E4693">
                  <w:pPr>
                    <w:jc w:val="center"/>
                    <w:rPr>
                      <w:rFonts w:hint="default" w:ascii="Times New Roman" w:hAnsi="Times New Roman" w:cs="Times New Roman"/>
                      <w:b w:val="0"/>
                      <w:color w:val="000000"/>
                    </w:rPr>
                  </w:pPr>
                  <w:r>
                    <w:rPr>
                      <w:rFonts w:hint="default" w:ascii="Times New Roman" w:hAnsi="Times New Roman" w:cs="Times New Roman"/>
                      <w:b w:val="0"/>
                      <w:color w:val="000000"/>
                    </w:rPr>
                    <w:t>11.86</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5D7F7D">
                  <w:pPr>
                    <w:jc w:val="center"/>
                    <w:rPr>
                      <w:rFonts w:hint="default" w:ascii="Times New Roman" w:hAnsi="Times New Roman" w:cs="Times New Roman"/>
                      <w:b w:val="0"/>
                      <w:color w:val="000000"/>
                    </w:rPr>
                  </w:pPr>
                  <w:r>
                    <w:rPr>
                      <w:rFonts w:hint="default" w:ascii="Times New Roman" w:hAnsi="Times New Roman" w:cs="Times New Roman"/>
                      <w:b w:val="0"/>
                      <w:color w:val="000000"/>
                    </w:rPr>
                    <w:t>1.37</w:t>
                  </w:r>
                </w:p>
              </w:tc>
            </w:tr>
            <w:tr w14:paraId="3050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05FAE6">
                  <w:pPr>
                    <w:jc w:val="center"/>
                    <w:rPr>
                      <w:rFonts w:hint="default" w:ascii="Times New Roman" w:hAnsi="Times New Roman" w:cs="Times New Roman"/>
                      <w:b w:val="0"/>
                      <w:color w:val="000000"/>
                    </w:rPr>
                  </w:pPr>
                  <w:r>
                    <w:rPr>
                      <w:rFonts w:hint="default" w:ascii="Times New Roman" w:hAnsi="Times New Roman" w:cs="Times New Roman"/>
                      <w:b w:val="0"/>
                      <w:color w:val="000000"/>
                    </w:rPr>
                    <w:t>削减率（%）</w:t>
                  </w:r>
                </w:p>
              </w:tc>
              <w:tc>
                <w:tcPr>
                  <w:tcW w:w="5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65685">
                  <w:pPr>
                    <w:jc w:val="center"/>
                    <w:rPr>
                      <w:rFonts w:hint="default" w:ascii="Times New Roman" w:hAnsi="Times New Roman" w:cs="Times New Roman"/>
                      <w:b w:val="0"/>
                      <w:color w:val="000000"/>
                    </w:rPr>
                  </w:pPr>
                  <w:r>
                    <w:rPr>
                      <w:rFonts w:hint="default" w:ascii="Times New Roman" w:hAnsi="Times New Roman" w:cs="Times New Roman"/>
                      <w:b w:val="0"/>
                      <w:color w:val="000000"/>
                    </w:rPr>
                    <w:t>≥96.4</w:t>
                  </w:r>
                </w:p>
              </w:tc>
              <w:tc>
                <w:tcPr>
                  <w:tcW w:w="6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CB97E9">
                  <w:pPr>
                    <w:jc w:val="center"/>
                    <w:rPr>
                      <w:rFonts w:hint="default" w:ascii="Times New Roman" w:hAnsi="Times New Roman" w:cs="Times New Roman"/>
                      <w:b w:val="0"/>
                      <w:color w:val="000000"/>
                    </w:rPr>
                  </w:pPr>
                  <w:r>
                    <w:rPr>
                      <w:rFonts w:hint="default" w:ascii="Times New Roman" w:hAnsi="Times New Roman" w:cs="Times New Roman"/>
                      <w:b w:val="0"/>
                      <w:color w:val="000000"/>
                    </w:rPr>
                    <w:t>≥92.2</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1A71C">
                  <w:pPr>
                    <w:jc w:val="center"/>
                    <w:rPr>
                      <w:rFonts w:hint="default" w:ascii="Times New Roman" w:hAnsi="Times New Roman" w:cs="Times New Roman"/>
                      <w:b w:val="0"/>
                      <w:color w:val="000000"/>
                    </w:rPr>
                  </w:pPr>
                  <w:r>
                    <w:rPr>
                      <w:rFonts w:hint="default" w:ascii="Times New Roman" w:hAnsi="Times New Roman" w:cs="Times New Roman"/>
                      <w:b w:val="0"/>
                      <w:color w:val="000000"/>
                    </w:rPr>
                    <w:t>≥93.3</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A4FF89">
                  <w:pPr>
                    <w:jc w:val="center"/>
                    <w:rPr>
                      <w:rFonts w:hint="default" w:ascii="Times New Roman" w:hAnsi="Times New Roman" w:cs="Times New Roman"/>
                      <w:b w:val="0"/>
                      <w:color w:val="000000"/>
                    </w:rPr>
                  </w:pPr>
                  <w:r>
                    <w:rPr>
                      <w:rFonts w:hint="default" w:ascii="Times New Roman" w:hAnsi="Times New Roman" w:cs="Times New Roman"/>
                      <w:b w:val="0"/>
                      <w:color w:val="000000"/>
                    </w:rPr>
                    <w:t>≥92.9</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51F81F">
                  <w:pPr>
                    <w:jc w:val="center"/>
                    <w:rPr>
                      <w:rFonts w:hint="default" w:ascii="Times New Roman" w:hAnsi="Times New Roman" w:cs="Times New Roman"/>
                      <w:b w:val="0"/>
                      <w:color w:val="000000"/>
                    </w:rPr>
                  </w:pPr>
                  <w:r>
                    <w:rPr>
                      <w:rFonts w:hint="default" w:ascii="Times New Roman" w:hAnsi="Times New Roman" w:cs="Times New Roman"/>
                      <w:b w:val="0"/>
                      <w:color w:val="000000"/>
                    </w:rPr>
                    <w:t>≥81.3</w:t>
                  </w:r>
                </w:p>
              </w:tc>
              <w:tc>
                <w:tcPr>
                  <w:tcW w:w="5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DB5A1C">
                  <w:pPr>
                    <w:jc w:val="center"/>
                    <w:rPr>
                      <w:rFonts w:hint="default" w:ascii="Times New Roman" w:hAnsi="Times New Roman" w:cs="Times New Roman"/>
                      <w:b w:val="0"/>
                      <w:color w:val="000000"/>
                    </w:rPr>
                  </w:pPr>
                  <w:r>
                    <w:rPr>
                      <w:rFonts w:hint="default" w:ascii="Times New Roman" w:hAnsi="Times New Roman" w:cs="Times New Roman"/>
                      <w:b w:val="0"/>
                      <w:color w:val="000000"/>
                    </w:rPr>
                    <w:t>≥93.8</w:t>
                  </w:r>
                </w:p>
              </w:tc>
            </w:tr>
          </w:tbl>
          <w:p w14:paraId="4DFEE247">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ind w:left="0" w:lef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w:t>
            </w:r>
            <w:r>
              <w:rPr>
                <w:rFonts w:hint="default" w:ascii="Times New Roman" w:hAnsi="Times New Roman" w:eastAsia="宋体" w:cs="Times New Roman"/>
                <w:kern w:val="2"/>
                <w:sz w:val="24"/>
                <w:szCs w:val="24"/>
                <w:lang w:val="en-US" w:eastAsia="zh-CN" w:bidi="ar-SA"/>
              </w:rPr>
              <w:t>二期工程（本项目新增，规模2500m</w:t>
            </w:r>
            <w:r>
              <w:rPr>
                <w:rFonts w:hint="eastAsia" w:ascii="Times New Roman" w:hAnsi="Times New Roman" w:eastAsia="宋体" w:cs="Times New Roman"/>
                <w:kern w:val="2"/>
                <w:sz w:val="24"/>
                <w:szCs w:val="24"/>
                <w:vertAlign w:val="superscript"/>
                <w:lang w:val="en-US" w:eastAsia="zh-CN" w:bidi="ar-SA"/>
              </w:rPr>
              <w:t>3</w:t>
            </w:r>
            <w:r>
              <w:rPr>
                <w:rFonts w:hint="default" w:ascii="Times New Roman" w:hAnsi="Times New Roman" w:eastAsia="宋体" w:cs="Times New Roman"/>
                <w:kern w:val="2"/>
                <w:sz w:val="24"/>
                <w:szCs w:val="24"/>
                <w:lang w:val="en-US" w:eastAsia="zh-CN" w:bidi="ar-SA"/>
              </w:rPr>
              <w:t>/d（91.25万m</w:t>
            </w:r>
            <w:r>
              <w:rPr>
                <w:rFonts w:hint="eastAsia" w:ascii="Times New Roman" w:hAnsi="Times New Roman" w:eastAsia="宋体" w:cs="Times New Roman"/>
                <w:kern w:val="2"/>
                <w:sz w:val="24"/>
                <w:szCs w:val="24"/>
                <w:vertAlign w:val="superscript"/>
                <w:lang w:val="en-US" w:eastAsia="zh-CN" w:bidi="ar-SA"/>
              </w:rPr>
              <w:t>3</w:t>
            </w:r>
            <w:r>
              <w:rPr>
                <w:rFonts w:hint="default" w:ascii="Times New Roman" w:hAnsi="Times New Roman" w:eastAsia="宋体" w:cs="Times New Roman"/>
                <w:kern w:val="2"/>
                <w:sz w:val="24"/>
                <w:szCs w:val="24"/>
                <w:lang w:val="en-US" w:eastAsia="zh-CN" w:bidi="ar-SA"/>
              </w:rPr>
              <w:t>/a））</w:t>
            </w:r>
            <w:r>
              <w:rPr>
                <w:rFonts w:hint="eastAsia" w:ascii="Times New Roman" w:hAnsi="Times New Roman" w:eastAsia="宋体" w:cs="Times New Roman"/>
                <w:kern w:val="2"/>
                <w:sz w:val="24"/>
                <w:szCs w:val="24"/>
                <w:lang w:val="en-US" w:eastAsia="zh-CN" w:bidi="ar-SA"/>
              </w:rPr>
              <w:t>，主要水污染物削减情况如下：</w:t>
            </w:r>
          </w:p>
          <w:p w14:paraId="0E25CDC3">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center"/>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b/>
                <w:bCs/>
                <w:kern w:val="2"/>
                <w:sz w:val="21"/>
                <w:szCs w:val="21"/>
                <w:lang w:val="en-US" w:eastAsia="zh-CN" w:bidi="ar-SA"/>
              </w:rPr>
              <w:t>表4-1</w:t>
            </w:r>
            <w:r>
              <w:rPr>
                <w:rFonts w:hint="eastAsia" w:ascii="Times New Roman" w:cs="Times New Roman"/>
                <w:b/>
                <w:bCs/>
                <w:kern w:val="2"/>
                <w:sz w:val="21"/>
                <w:szCs w:val="21"/>
                <w:lang w:val="en-US" w:eastAsia="zh-CN" w:bidi="ar-SA"/>
              </w:rPr>
              <w:t>6</w:t>
            </w:r>
            <w:r>
              <w:rPr>
                <w:rFonts w:hint="eastAsia" w:ascii="Times New Roman" w:hAnsi="Times New Roman" w:eastAsia="宋体" w:cs="Times New Roman"/>
                <w:b/>
                <w:bCs/>
                <w:kern w:val="2"/>
                <w:sz w:val="21"/>
                <w:szCs w:val="21"/>
                <w:lang w:val="en-US" w:eastAsia="zh-CN" w:bidi="ar-SA"/>
              </w:rPr>
              <w:t>二期工程</w:t>
            </w:r>
            <w:r>
              <w:rPr>
                <w:rFonts w:hint="eastAsia" w:ascii="Times New Roman" w:eastAsia="宋体"/>
                <w:b/>
                <w:bCs/>
                <w:sz w:val="21"/>
                <w:szCs w:val="21"/>
                <w:lang w:val="en-US" w:eastAsia="zh-CN"/>
              </w:rPr>
              <w:t>污染物削减情况一览表</w:t>
            </w:r>
          </w:p>
          <w:tbl>
            <w:tblPr>
              <w:tblStyle w:val="1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9"/>
              <w:gridCol w:w="1060"/>
              <w:gridCol w:w="1101"/>
              <w:gridCol w:w="1060"/>
              <w:gridCol w:w="1131"/>
              <w:gridCol w:w="928"/>
              <w:gridCol w:w="928"/>
            </w:tblGrid>
            <w:tr w14:paraId="6CB7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2B93AEE8">
                  <w:pPr>
                    <w:jc w:val="center"/>
                    <w:rPr>
                      <w:rFonts w:hint="default" w:ascii="Times New Roman" w:hAnsi="Times New Roman" w:cs="Times New Roman"/>
                      <w:b w:val="0"/>
                      <w:color w:val="000000"/>
                    </w:rPr>
                  </w:pPr>
                  <w:r>
                    <w:rPr>
                      <w:rFonts w:hint="default" w:ascii="Times New Roman" w:hAnsi="Times New Roman" w:cs="Times New Roman"/>
                      <w:b w:val="0"/>
                      <w:color w:val="000000"/>
                    </w:rPr>
                    <w:t>指标</w:t>
                  </w:r>
                </w:p>
              </w:tc>
              <w:tc>
                <w:tcPr>
                  <w:tcW w:w="6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51553">
                  <w:pPr>
                    <w:jc w:val="center"/>
                    <w:rPr>
                      <w:rFonts w:hint="default" w:ascii="Times New Roman" w:hAnsi="Times New Roman" w:cs="Times New Roman"/>
                      <w:b w:val="0"/>
                      <w:color w:val="000000"/>
                    </w:rPr>
                  </w:pPr>
                  <w:r>
                    <w:rPr>
                      <w:rFonts w:hint="default" w:ascii="Times New Roman" w:hAnsi="Times New Roman" w:cs="Times New Roman"/>
                      <w:b w:val="0"/>
                      <w:color w:val="000000"/>
                    </w:rPr>
                    <w:t>BODs</w:t>
                  </w:r>
                </w:p>
              </w:tc>
              <w:tc>
                <w:tcPr>
                  <w:tcW w:w="6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27D60">
                  <w:pPr>
                    <w:jc w:val="center"/>
                    <w:rPr>
                      <w:rFonts w:hint="default" w:ascii="Times New Roman" w:hAnsi="Times New Roman" w:cs="Times New Roman"/>
                      <w:b w:val="0"/>
                      <w:color w:val="000000"/>
                    </w:rPr>
                  </w:pPr>
                  <w:r>
                    <w:rPr>
                      <w:rFonts w:hint="default" w:ascii="Times New Roman" w:hAnsi="Times New Roman" w:cs="Times New Roman"/>
                      <w:b w:val="0"/>
                      <w:color w:val="000000"/>
                    </w:rPr>
                    <w:t>CODcr</w:t>
                  </w:r>
                </w:p>
              </w:tc>
              <w:tc>
                <w:tcPr>
                  <w:tcW w:w="6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B6901F">
                  <w:pPr>
                    <w:jc w:val="center"/>
                    <w:rPr>
                      <w:rFonts w:hint="default" w:ascii="Times New Roman" w:hAnsi="Times New Roman" w:cs="Times New Roman"/>
                      <w:b w:val="0"/>
                      <w:color w:val="000000"/>
                    </w:rPr>
                  </w:pPr>
                  <w:r>
                    <w:rPr>
                      <w:rFonts w:hint="default" w:ascii="Times New Roman" w:hAnsi="Times New Roman" w:cs="Times New Roman"/>
                      <w:b w:val="0"/>
                      <w:color w:val="000000"/>
                    </w:rPr>
                    <w:t>SS</w:t>
                  </w:r>
                </w:p>
              </w:tc>
              <w:tc>
                <w:tcPr>
                  <w:tcW w:w="7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7799E0">
                  <w:pPr>
                    <w:jc w:val="center"/>
                    <w:rPr>
                      <w:rFonts w:hint="default" w:ascii="Times New Roman" w:hAnsi="Times New Roman" w:cs="Times New Roman"/>
                      <w:b w:val="0"/>
                      <w:color w:val="000000"/>
                    </w:rPr>
                  </w:pPr>
                  <w:r>
                    <w:rPr>
                      <w:rFonts w:hint="default" w:ascii="Times New Roman" w:hAnsi="Times New Roman" w:cs="Times New Roman"/>
                      <w:b w:val="0"/>
                      <w:color w:val="000000"/>
                    </w:rPr>
                    <w:t>NH₃-N</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D637C1">
                  <w:pPr>
                    <w:jc w:val="center"/>
                    <w:rPr>
                      <w:rFonts w:hint="default" w:ascii="Times New Roman" w:hAnsi="Times New Roman" w:cs="Times New Roman"/>
                      <w:b w:val="0"/>
                      <w:color w:val="000000"/>
                    </w:rPr>
                  </w:pPr>
                  <w:r>
                    <w:rPr>
                      <w:rFonts w:hint="default" w:ascii="Times New Roman" w:hAnsi="Times New Roman" w:cs="Times New Roman"/>
                      <w:b w:val="0"/>
                      <w:color w:val="000000"/>
                    </w:rPr>
                    <w:t>TN</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4B050">
                  <w:pPr>
                    <w:jc w:val="center"/>
                    <w:rPr>
                      <w:rFonts w:hint="default" w:ascii="Times New Roman" w:hAnsi="Times New Roman" w:cs="Times New Roman"/>
                      <w:b w:val="0"/>
                      <w:color w:val="000000"/>
                    </w:rPr>
                  </w:pPr>
                  <w:r>
                    <w:rPr>
                      <w:rFonts w:hint="default" w:ascii="Times New Roman" w:hAnsi="Times New Roman" w:cs="Times New Roman"/>
                      <w:b w:val="0"/>
                      <w:color w:val="000000"/>
                    </w:rPr>
                    <w:t>TP</w:t>
                  </w:r>
                </w:p>
              </w:tc>
            </w:tr>
            <w:tr w14:paraId="3AD3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F18604">
                  <w:pPr>
                    <w:jc w:val="center"/>
                    <w:rPr>
                      <w:rFonts w:hint="default" w:ascii="Times New Roman" w:hAnsi="Times New Roman" w:cs="Times New Roman"/>
                      <w:b w:val="0"/>
                      <w:color w:val="000000"/>
                    </w:rPr>
                  </w:pPr>
                  <w:r>
                    <w:rPr>
                      <w:rFonts w:hint="default" w:ascii="Times New Roman" w:hAnsi="Times New Roman" w:cs="Times New Roman"/>
                      <w:b w:val="0"/>
                      <w:color w:val="000000"/>
                    </w:rPr>
                    <w:t>进水总量（t/a）</w:t>
                  </w:r>
                </w:p>
              </w:tc>
              <w:tc>
                <w:tcPr>
                  <w:tcW w:w="6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228E0">
                  <w:pPr>
                    <w:jc w:val="center"/>
                    <w:rPr>
                      <w:rFonts w:hint="default" w:ascii="Times New Roman" w:hAnsi="Times New Roman" w:cs="Times New Roman"/>
                      <w:b w:val="0"/>
                      <w:color w:val="000000"/>
                    </w:rPr>
                  </w:pPr>
                  <w:r>
                    <w:rPr>
                      <w:rFonts w:hint="default" w:ascii="Times New Roman" w:hAnsi="Times New Roman" w:cs="Times New Roman"/>
                      <w:b w:val="0"/>
                      <w:color w:val="000000"/>
                    </w:rPr>
                    <w:t>255.50</w:t>
                  </w:r>
                </w:p>
              </w:tc>
              <w:tc>
                <w:tcPr>
                  <w:tcW w:w="6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65800A">
                  <w:pPr>
                    <w:jc w:val="center"/>
                    <w:rPr>
                      <w:rFonts w:hint="default" w:ascii="Times New Roman" w:hAnsi="Times New Roman" w:cs="Times New Roman"/>
                      <w:b w:val="0"/>
                      <w:color w:val="000000"/>
                    </w:rPr>
                  </w:pPr>
                  <w:r>
                    <w:rPr>
                      <w:rFonts w:hint="default" w:ascii="Times New Roman" w:hAnsi="Times New Roman" w:cs="Times New Roman"/>
                      <w:b w:val="0"/>
                      <w:color w:val="000000"/>
                    </w:rPr>
                    <w:t>584.00</w:t>
                  </w:r>
                </w:p>
              </w:tc>
              <w:tc>
                <w:tcPr>
                  <w:tcW w:w="6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952BB">
                  <w:pPr>
                    <w:jc w:val="center"/>
                    <w:rPr>
                      <w:rFonts w:hint="default" w:ascii="Times New Roman" w:hAnsi="Times New Roman" w:cs="Times New Roman"/>
                      <w:b w:val="0"/>
                      <w:color w:val="000000"/>
                    </w:rPr>
                  </w:pPr>
                  <w:r>
                    <w:rPr>
                      <w:rFonts w:hint="default" w:ascii="Times New Roman" w:hAnsi="Times New Roman" w:cs="Times New Roman"/>
                      <w:b w:val="0"/>
                      <w:color w:val="000000"/>
                    </w:rPr>
                    <w:t>136.88</w:t>
                  </w:r>
                </w:p>
              </w:tc>
              <w:tc>
                <w:tcPr>
                  <w:tcW w:w="7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A9DA61">
                  <w:pPr>
                    <w:jc w:val="center"/>
                    <w:rPr>
                      <w:rFonts w:hint="default" w:ascii="Times New Roman" w:hAnsi="Times New Roman" w:cs="Times New Roman"/>
                      <w:b w:val="0"/>
                      <w:color w:val="000000"/>
                    </w:rPr>
                  </w:pPr>
                  <w:r>
                    <w:rPr>
                      <w:rFonts w:hint="default" w:ascii="Times New Roman" w:hAnsi="Times New Roman" w:cs="Times New Roman"/>
                      <w:b w:val="0"/>
                      <w:color w:val="000000"/>
                    </w:rPr>
                    <w:t>63.88</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86D33D">
                  <w:pPr>
                    <w:jc w:val="center"/>
                    <w:rPr>
                      <w:rFonts w:hint="default" w:ascii="Times New Roman" w:hAnsi="Times New Roman" w:cs="Times New Roman"/>
                      <w:b w:val="0"/>
                      <w:color w:val="000000"/>
                    </w:rPr>
                  </w:pPr>
                  <w:r>
                    <w:rPr>
                      <w:rFonts w:hint="default" w:ascii="Times New Roman" w:hAnsi="Times New Roman" w:cs="Times New Roman"/>
                      <w:b w:val="0"/>
                      <w:color w:val="000000"/>
                    </w:rPr>
                    <w:t>73.00</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F0AB5">
                  <w:pPr>
                    <w:jc w:val="center"/>
                    <w:rPr>
                      <w:rFonts w:hint="default" w:ascii="Times New Roman" w:hAnsi="Times New Roman" w:cs="Times New Roman"/>
                      <w:b w:val="0"/>
                      <w:color w:val="000000"/>
                    </w:rPr>
                  </w:pPr>
                  <w:r>
                    <w:rPr>
                      <w:rFonts w:hint="default" w:ascii="Times New Roman" w:hAnsi="Times New Roman" w:cs="Times New Roman"/>
                      <w:b w:val="0"/>
                      <w:color w:val="000000"/>
                    </w:rPr>
                    <w:t>7.30</w:t>
                  </w:r>
                </w:p>
              </w:tc>
            </w:tr>
            <w:tr w14:paraId="06236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23CD68">
                  <w:pPr>
                    <w:jc w:val="center"/>
                    <w:rPr>
                      <w:rFonts w:hint="default" w:ascii="Times New Roman" w:hAnsi="Times New Roman" w:cs="Times New Roman"/>
                      <w:b w:val="0"/>
                      <w:color w:val="000000"/>
                    </w:rPr>
                  </w:pPr>
                  <w:r>
                    <w:rPr>
                      <w:rFonts w:hint="default" w:ascii="Times New Roman" w:hAnsi="Times New Roman" w:cs="Times New Roman"/>
                      <w:b w:val="0"/>
                      <w:color w:val="000000"/>
                    </w:rPr>
                    <w:t>出水总量（t/a）</w:t>
                  </w:r>
                </w:p>
              </w:tc>
              <w:tc>
                <w:tcPr>
                  <w:tcW w:w="6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B3ACE">
                  <w:pPr>
                    <w:jc w:val="center"/>
                    <w:rPr>
                      <w:rFonts w:hint="default" w:ascii="Times New Roman" w:hAnsi="Times New Roman" w:cs="Times New Roman"/>
                      <w:b w:val="0"/>
                      <w:color w:val="000000"/>
                    </w:rPr>
                  </w:pPr>
                  <w:r>
                    <w:rPr>
                      <w:rFonts w:hint="default" w:ascii="Times New Roman" w:hAnsi="Times New Roman" w:cs="Times New Roman"/>
                      <w:b w:val="0"/>
                      <w:color w:val="000000"/>
                    </w:rPr>
                    <w:t>9.13</w:t>
                  </w:r>
                </w:p>
              </w:tc>
              <w:tc>
                <w:tcPr>
                  <w:tcW w:w="6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D2542A">
                  <w:pPr>
                    <w:jc w:val="center"/>
                    <w:rPr>
                      <w:rFonts w:hint="default" w:ascii="Times New Roman" w:hAnsi="Times New Roman" w:cs="Times New Roman"/>
                      <w:b w:val="0"/>
                      <w:color w:val="000000"/>
                    </w:rPr>
                  </w:pPr>
                  <w:r>
                    <w:rPr>
                      <w:rFonts w:hint="default" w:ascii="Times New Roman" w:hAnsi="Times New Roman" w:cs="Times New Roman"/>
                      <w:b w:val="0"/>
                      <w:color w:val="000000"/>
                    </w:rPr>
                    <w:t>45.63</w:t>
                  </w:r>
                </w:p>
              </w:tc>
              <w:tc>
                <w:tcPr>
                  <w:tcW w:w="6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A8113D">
                  <w:pPr>
                    <w:jc w:val="center"/>
                    <w:rPr>
                      <w:rFonts w:hint="default" w:ascii="Times New Roman" w:hAnsi="Times New Roman" w:cs="Times New Roman"/>
                      <w:b w:val="0"/>
                      <w:color w:val="000000"/>
                    </w:rPr>
                  </w:pPr>
                  <w:r>
                    <w:rPr>
                      <w:rFonts w:hint="default" w:ascii="Times New Roman" w:hAnsi="Times New Roman" w:cs="Times New Roman"/>
                      <w:b w:val="0"/>
                      <w:color w:val="000000"/>
                    </w:rPr>
                    <w:t>9.13</w:t>
                  </w:r>
                </w:p>
              </w:tc>
              <w:tc>
                <w:tcPr>
                  <w:tcW w:w="7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999ED0">
                  <w:pPr>
                    <w:jc w:val="center"/>
                    <w:rPr>
                      <w:rFonts w:hint="default" w:ascii="Times New Roman" w:hAnsi="Times New Roman" w:cs="Times New Roman"/>
                      <w:b w:val="0"/>
                      <w:color w:val="000000"/>
                    </w:rPr>
                  </w:pPr>
                  <w:r>
                    <w:rPr>
                      <w:rFonts w:hint="default" w:ascii="Times New Roman" w:hAnsi="Times New Roman" w:cs="Times New Roman"/>
                      <w:b w:val="0"/>
                      <w:color w:val="000000"/>
                    </w:rPr>
                    <w:t>4.56</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9DCDE6">
                  <w:pPr>
                    <w:jc w:val="center"/>
                    <w:rPr>
                      <w:rFonts w:hint="default" w:ascii="Times New Roman" w:hAnsi="Times New Roman" w:cs="Times New Roman"/>
                      <w:b w:val="0"/>
                      <w:color w:val="000000"/>
                    </w:rPr>
                  </w:pPr>
                  <w:r>
                    <w:rPr>
                      <w:rFonts w:hint="default" w:ascii="Times New Roman" w:hAnsi="Times New Roman" w:cs="Times New Roman"/>
                      <w:b w:val="0"/>
                      <w:color w:val="000000"/>
                    </w:rPr>
                    <w:t>13.69</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74CB6C">
                  <w:pPr>
                    <w:jc w:val="center"/>
                    <w:rPr>
                      <w:rFonts w:hint="default" w:ascii="Times New Roman" w:hAnsi="Times New Roman" w:cs="Times New Roman"/>
                      <w:b w:val="0"/>
                      <w:color w:val="000000"/>
                    </w:rPr>
                  </w:pPr>
                  <w:r>
                    <w:rPr>
                      <w:rFonts w:hint="default" w:ascii="Times New Roman" w:hAnsi="Times New Roman" w:cs="Times New Roman"/>
                      <w:b w:val="0"/>
                      <w:color w:val="000000"/>
                    </w:rPr>
                    <w:t>0.46</w:t>
                  </w:r>
                </w:p>
              </w:tc>
            </w:tr>
            <w:tr w14:paraId="176A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7755F">
                  <w:pPr>
                    <w:jc w:val="center"/>
                    <w:rPr>
                      <w:rFonts w:hint="default" w:ascii="Times New Roman" w:hAnsi="Times New Roman" w:cs="Times New Roman"/>
                      <w:b w:val="0"/>
                      <w:color w:val="000000"/>
                    </w:rPr>
                  </w:pPr>
                  <w:r>
                    <w:rPr>
                      <w:rFonts w:hint="default" w:ascii="Times New Roman" w:hAnsi="Times New Roman" w:cs="Times New Roman"/>
                      <w:b w:val="0"/>
                      <w:color w:val="000000"/>
                    </w:rPr>
                    <w:t>削减量（t/a）</w:t>
                  </w:r>
                </w:p>
              </w:tc>
              <w:tc>
                <w:tcPr>
                  <w:tcW w:w="6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64D96C">
                  <w:pPr>
                    <w:jc w:val="center"/>
                    <w:rPr>
                      <w:rFonts w:hint="default" w:ascii="Times New Roman" w:hAnsi="Times New Roman" w:cs="Times New Roman"/>
                      <w:b w:val="0"/>
                      <w:color w:val="000000"/>
                    </w:rPr>
                  </w:pPr>
                  <w:r>
                    <w:rPr>
                      <w:rFonts w:hint="default" w:ascii="Times New Roman" w:hAnsi="Times New Roman" w:cs="Times New Roman"/>
                      <w:b w:val="0"/>
                      <w:color w:val="000000"/>
                    </w:rPr>
                    <w:t>246.38</w:t>
                  </w:r>
                </w:p>
              </w:tc>
              <w:tc>
                <w:tcPr>
                  <w:tcW w:w="6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06988">
                  <w:pPr>
                    <w:jc w:val="center"/>
                    <w:rPr>
                      <w:rFonts w:hint="default" w:ascii="Times New Roman" w:hAnsi="Times New Roman" w:cs="Times New Roman"/>
                      <w:b w:val="0"/>
                      <w:color w:val="000000"/>
                    </w:rPr>
                  </w:pPr>
                  <w:r>
                    <w:rPr>
                      <w:rFonts w:hint="default" w:ascii="Times New Roman" w:hAnsi="Times New Roman" w:cs="Times New Roman"/>
                      <w:b w:val="0"/>
                      <w:color w:val="000000"/>
                    </w:rPr>
                    <w:t>538.38</w:t>
                  </w:r>
                </w:p>
              </w:tc>
              <w:tc>
                <w:tcPr>
                  <w:tcW w:w="6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8C649A">
                  <w:pPr>
                    <w:jc w:val="center"/>
                    <w:rPr>
                      <w:rFonts w:hint="default" w:ascii="Times New Roman" w:hAnsi="Times New Roman" w:cs="Times New Roman"/>
                      <w:b w:val="0"/>
                      <w:color w:val="000000"/>
                    </w:rPr>
                  </w:pPr>
                  <w:r>
                    <w:rPr>
                      <w:rFonts w:hint="default" w:ascii="Times New Roman" w:hAnsi="Times New Roman" w:cs="Times New Roman"/>
                      <w:b w:val="0"/>
                      <w:color w:val="000000"/>
                    </w:rPr>
                    <w:t>127.75</w:t>
                  </w:r>
                </w:p>
              </w:tc>
              <w:tc>
                <w:tcPr>
                  <w:tcW w:w="7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AB79E6">
                  <w:pPr>
                    <w:jc w:val="center"/>
                    <w:rPr>
                      <w:rFonts w:hint="default" w:ascii="Times New Roman" w:hAnsi="Times New Roman" w:cs="Times New Roman"/>
                      <w:b w:val="0"/>
                      <w:color w:val="000000"/>
                    </w:rPr>
                  </w:pPr>
                  <w:r>
                    <w:rPr>
                      <w:rFonts w:hint="default" w:ascii="Times New Roman" w:hAnsi="Times New Roman" w:cs="Times New Roman"/>
                      <w:b w:val="0"/>
                      <w:color w:val="000000"/>
                    </w:rPr>
                    <w:t>59.31</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044617">
                  <w:pPr>
                    <w:jc w:val="center"/>
                    <w:rPr>
                      <w:rFonts w:hint="default" w:ascii="Times New Roman" w:hAnsi="Times New Roman" w:cs="Times New Roman"/>
                      <w:b w:val="0"/>
                      <w:color w:val="000000"/>
                    </w:rPr>
                  </w:pPr>
                  <w:r>
                    <w:rPr>
                      <w:rFonts w:hint="default" w:ascii="Times New Roman" w:hAnsi="Times New Roman" w:cs="Times New Roman"/>
                      <w:b w:val="0"/>
                      <w:color w:val="000000"/>
                    </w:rPr>
                    <w:t>59.31</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479B8">
                  <w:pPr>
                    <w:jc w:val="center"/>
                    <w:rPr>
                      <w:rFonts w:hint="default" w:ascii="Times New Roman" w:hAnsi="Times New Roman" w:cs="Times New Roman"/>
                      <w:b w:val="0"/>
                      <w:color w:val="000000"/>
                    </w:rPr>
                  </w:pPr>
                  <w:r>
                    <w:rPr>
                      <w:rFonts w:hint="default" w:ascii="Times New Roman" w:hAnsi="Times New Roman" w:cs="Times New Roman"/>
                      <w:b w:val="0"/>
                      <w:color w:val="000000"/>
                    </w:rPr>
                    <w:t>6.85</w:t>
                  </w:r>
                </w:p>
              </w:tc>
            </w:tr>
            <w:tr w14:paraId="2CFE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E7E6D">
                  <w:pPr>
                    <w:jc w:val="center"/>
                    <w:rPr>
                      <w:rFonts w:hint="default" w:ascii="Times New Roman" w:hAnsi="Times New Roman" w:cs="Times New Roman"/>
                      <w:b w:val="0"/>
                      <w:color w:val="000000"/>
                    </w:rPr>
                  </w:pPr>
                  <w:r>
                    <w:rPr>
                      <w:rFonts w:hint="default" w:ascii="Times New Roman" w:hAnsi="Times New Roman" w:cs="Times New Roman"/>
                      <w:b w:val="0"/>
                      <w:color w:val="000000"/>
                    </w:rPr>
                    <w:t>削减率（%）</w:t>
                  </w:r>
                </w:p>
              </w:tc>
              <w:tc>
                <w:tcPr>
                  <w:tcW w:w="6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0EBD57">
                  <w:pPr>
                    <w:jc w:val="center"/>
                    <w:rPr>
                      <w:rFonts w:hint="default" w:ascii="Times New Roman" w:hAnsi="Times New Roman" w:cs="Times New Roman"/>
                      <w:b w:val="0"/>
                      <w:color w:val="000000"/>
                    </w:rPr>
                  </w:pPr>
                  <w:r>
                    <w:rPr>
                      <w:rFonts w:hint="default" w:ascii="Times New Roman" w:hAnsi="Times New Roman" w:cs="Times New Roman"/>
                      <w:b w:val="0"/>
                      <w:color w:val="000000"/>
                    </w:rPr>
                    <w:t>≥96.4</w:t>
                  </w:r>
                </w:p>
              </w:tc>
              <w:tc>
                <w:tcPr>
                  <w:tcW w:w="6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7D6204">
                  <w:pPr>
                    <w:jc w:val="center"/>
                    <w:rPr>
                      <w:rFonts w:hint="default" w:ascii="Times New Roman" w:hAnsi="Times New Roman" w:cs="Times New Roman"/>
                      <w:b w:val="0"/>
                      <w:color w:val="000000"/>
                    </w:rPr>
                  </w:pPr>
                  <w:r>
                    <w:rPr>
                      <w:rFonts w:hint="default" w:ascii="Times New Roman" w:hAnsi="Times New Roman" w:cs="Times New Roman"/>
                      <w:b w:val="0"/>
                      <w:color w:val="000000"/>
                    </w:rPr>
                    <w:t>≥92.2</w:t>
                  </w:r>
                </w:p>
              </w:tc>
              <w:tc>
                <w:tcPr>
                  <w:tcW w:w="6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84FECE">
                  <w:pPr>
                    <w:jc w:val="center"/>
                    <w:rPr>
                      <w:rFonts w:hint="default" w:ascii="Times New Roman" w:hAnsi="Times New Roman" w:cs="Times New Roman"/>
                      <w:b w:val="0"/>
                      <w:color w:val="000000"/>
                    </w:rPr>
                  </w:pPr>
                  <w:r>
                    <w:rPr>
                      <w:rFonts w:hint="default" w:ascii="Times New Roman" w:hAnsi="Times New Roman" w:cs="Times New Roman"/>
                      <w:b w:val="0"/>
                      <w:color w:val="000000"/>
                    </w:rPr>
                    <w:t>≥93.3</w:t>
                  </w:r>
                </w:p>
              </w:tc>
              <w:tc>
                <w:tcPr>
                  <w:tcW w:w="7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DAB1E4">
                  <w:pPr>
                    <w:jc w:val="center"/>
                    <w:rPr>
                      <w:rFonts w:hint="default" w:ascii="Times New Roman" w:hAnsi="Times New Roman" w:cs="Times New Roman"/>
                      <w:b w:val="0"/>
                      <w:color w:val="000000"/>
                    </w:rPr>
                  </w:pPr>
                  <w:r>
                    <w:rPr>
                      <w:rFonts w:hint="default" w:ascii="Times New Roman" w:hAnsi="Times New Roman" w:cs="Times New Roman"/>
                      <w:b w:val="0"/>
                      <w:color w:val="000000"/>
                    </w:rPr>
                    <w:t>≥92.9</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7D7960">
                  <w:pPr>
                    <w:jc w:val="center"/>
                    <w:rPr>
                      <w:rFonts w:hint="default" w:ascii="Times New Roman" w:hAnsi="Times New Roman" w:cs="Times New Roman"/>
                      <w:b w:val="0"/>
                      <w:color w:val="000000"/>
                    </w:rPr>
                  </w:pPr>
                  <w:r>
                    <w:rPr>
                      <w:rFonts w:hint="default" w:ascii="Times New Roman" w:hAnsi="Times New Roman" w:cs="Times New Roman"/>
                      <w:b w:val="0"/>
                      <w:color w:val="000000"/>
                    </w:rPr>
                    <w:t>≥81.3</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7CC8C">
                  <w:pPr>
                    <w:jc w:val="center"/>
                    <w:rPr>
                      <w:rFonts w:hint="default" w:ascii="Times New Roman" w:hAnsi="Times New Roman" w:cs="Times New Roman"/>
                      <w:b w:val="0"/>
                      <w:color w:val="000000"/>
                    </w:rPr>
                  </w:pPr>
                  <w:r>
                    <w:rPr>
                      <w:rFonts w:hint="default" w:ascii="Times New Roman" w:hAnsi="Times New Roman" w:cs="Times New Roman"/>
                      <w:b w:val="0"/>
                      <w:color w:val="000000"/>
                    </w:rPr>
                    <w:t>≥93.8</w:t>
                  </w:r>
                </w:p>
              </w:tc>
            </w:tr>
          </w:tbl>
          <w:p w14:paraId="3937BDAA">
            <w:pPr>
              <w:pStyle w:val="7"/>
              <w:keepNext w:val="0"/>
              <w:keepLines w:val="0"/>
              <w:pageBreakBefore w:val="0"/>
              <w:widowControl w:val="0"/>
              <w:numPr>
                <w:ilvl w:val="0"/>
                <w:numId w:val="0"/>
              </w:numPr>
              <w:kinsoku/>
              <w:wordWrap/>
              <w:overflowPunct/>
              <w:topLinePunct w:val="0"/>
              <w:autoSpaceDE/>
              <w:autoSpaceDN/>
              <w:bidi w:val="0"/>
              <w:adjustRightInd/>
              <w:snapToGrid/>
              <w:spacing w:before="157" w:beforeLines="50"/>
              <w:ind w:left="0" w:lef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3、</w:t>
            </w:r>
            <w:r>
              <w:rPr>
                <w:rFonts w:hint="default" w:ascii="Times New Roman" w:hAnsi="Times New Roman" w:eastAsia="宋体" w:cs="Times New Roman"/>
                <w:kern w:val="2"/>
                <w:sz w:val="24"/>
                <w:szCs w:val="24"/>
                <w:lang w:val="en-US" w:eastAsia="zh-CN" w:bidi="ar-SA"/>
              </w:rPr>
              <w:t>全厂（一期+二期）</w:t>
            </w:r>
            <w:r>
              <w:rPr>
                <w:rFonts w:hint="eastAsia" w:ascii="Times New Roman" w:hAnsi="Times New Roman" w:eastAsia="宋体" w:cs="Times New Roman"/>
                <w:kern w:val="2"/>
                <w:sz w:val="24"/>
                <w:szCs w:val="24"/>
                <w:lang w:val="en-US" w:eastAsia="zh-CN" w:bidi="ar-SA"/>
              </w:rPr>
              <w:t>，主要水污染物削减情况如下：</w:t>
            </w:r>
          </w:p>
          <w:p w14:paraId="6C3FDAEA">
            <w:pPr>
              <w:pStyle w:val="7"/>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center"/>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b/>
                <w:bCs/>
                <w:kern w:val="2"/>
                <w:sz w:val="21"/>
                <w:szCs w:val="21"/>
                <w:lang w:val="en-US" w:eastAsia="zh-CN" w:bidi="ar-SA"/>
              </w:rPr>
              <w:t>表4-1</w:t>
            </w:r>
            <w:r>
              <w:rPr>
                <w:rFonts w:hint="eastAsia" w:ascii="Times New Roman" w:cs="Times New Roman"/>
                <w:b/>
                <w:bCs/>
                <w:kern w:val="2"/>
                <w:sz w:val="21"/>
                <w:szCs w:val="21"/>
                <w:lang w:val="en-US" w:eastAsia="zh-CN" w:bidi="ar-SA"/>
              </w:rPr>
              <w:t>7</w:t>
            </w:r>
            <w:r>
              <w:rPr>
                <w:rFonts w:hint="eastAsia" w:ascii="Times New Roman" w:hAnsi="Times New Roman" w:eastAsia="宋体" w:cs="Times New Roman"/>
                <w:b/>
                <w:bCs/>
                <w:kern w:val="2"/>
                <w:sz w:val="21"/>
                <w:szCs w:val="21"/>
                <w:lang w:val="en-US" w:eastAsia="zh-CN" w:bidi="ar-SA"/>
              </w:rPr>
              <w:t>全厂工程</w:t>
            </w:r>
            <w:r>
              <w:rPr>
                <w:rFonts w:hint="eastAsia" w:ascii="Times New Roman" w:eastAsia="宋体"/>
                <w:b/>
                <w:bCs/>
                <w:sz w:val="21"/>
                <w:szCs w:val="21"/>
                <w:lang w:val="en-US" w:eastAsia="zh-CN"/>
              </w:rPr>
              <w:t>污染物削减情况一览表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1"/>
              <w:gridCol w:w="895"/>
              <w:gridCol w:w="928"/>
              <w:gridCol w:w="895"/>
              <w:gridCol w:w="1784"/>
              <w:gridCol w:w="788"/>
              <w:gridCol w:w="789"/>
            </w:tblGrid>
            <w:tr w14:paraId="42C47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1"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DB05C85">
                  <w:pPr>
                    <w:jc w:val="center"/>
                    <w:rPr>
                      <w:rFonts w:hint="default" w:ascii="Times New Roman" w:hAnsi="Times New Roman" w:cs="Times New Roman"/>
                      <w:b w:val="0"/>
                      <w:color w:val="000000"/>
                    </w:rPr>
                  </w:pPr>
                  <w:r>
                    <w:rPr>
                      <w:rFonts w:hint="default" w:ascii="Times New Roman" w:hAnsi="Times New Roman" w:cs="Times New Roman"/>
                      <w:b w:val="0"/>
                      <w:color w:val="000000"/>
                    </w:rPr>
                    <w:t>污染物</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77C86F">
                  <w:pPr>
                    <w:jc w:val="center"/>
                    <w:rPr>
                      <w:rFonts w:hint="default" w:ascii="Times New Roman" w:hAnsi="Times New Roman" w:cs="Times New Roman"/>
                      <w:b w:val="0"/>
                      <w:color w:val="000000"/>
                    </w:rPr>
                  </w:pPr>
                  <w:r>
                    <w:rPr>
                      <w:rFonts w:hint="default" w:ascii="Times New Roman" w:hAnsi="Times New Roman" w:cs="Times New Roman"/>
                      <w:b w:val="0"/>
                      <w:color w:val="000000"/>
                    </w:rPr>
                    <w:t>BOD5</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2833B9">
                  <w:pPr>
                    <w:jc w:val="center"/>
                    <w:rPr>
                      <w:rFonts w:hint="default" w:ascii="Times New Roman" w:hAnsi="Times New Roman" w:cs="Times New Roman"/>
                      <w:b w:val="0"/>
                      <w:color w:val="000000"/>
                    </w:rPr>
                  </w:pPr>
                  <w:r>
                    <w:rPr>
                      <w:rFonts w:hint="default" w:ascii="Times New Roman" w:hAnsi="Times New Roman" w:cs="Times New Roman"/>
                      <w:b w:val="0"/>
                      <w:color w:val="000000"/>
                    </w:rPr>
                    <w:t>CODcr</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B34353">
                  <w:pPr>
                    <w:jc w:val="center"/>
                    <w:rPr>
                      <w:rFonts w:hint="default" w:ascii="Times New Roman" w:hAnsi="Times New Roman" w:cs="Times New Roman"/>
                      <w:b w:val="0"/>
                      <w:color w:val="000000"/>
                    </w:rPr>
                  </w:pPr>
                  <w:r>
                    <w:rPr>
                      <w:rFonts w:hint="default" w:ascii="Times New Roman" w:hAnsi="Times New Roman" w:cs="Times New Roman"/>
                      <w:b w:val="0"/>
                      <w:color w:val="000000"/>
                    </w:rPr>
                    <w:t>SS</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053BE8">
                  <w:pPr>
                    <w:jc w:val="center"/>
                    <w:rPr>
                      <w:rFonts w:hint="default" w:ascii="Times New Roman" w:hAnsi="Times New Roman" w:cs="Times New Roman"/>
                      <w:b w:val="0"/>
                      <w:color w:val="000000"/>
                    </w:rPr>
                  </w:pPr>
                  <w:r>
                    <w:rPr>
                      <w:rFonts w:hint="default" w:ascii="Times New Roman" w:hAnsi="Times New Roman" w:cs="Times New Roman"/>
                      <w:b w:val="0"/>
                      <w:color w:val="000000"/>
                    </w:rPr>
                    <w:t>NH</w:t>
                  </w:r>
                  <w:r>
                    <w:rPr>
                      <w:rFonts w:hint="default" w:ascii="Times New Roman" w:hAnsi="Times New Roman" w:cs="Times New Roman"/>
                      <w:b w:val="0"/>
                      <w:color w:val="000000"/>
                      <w:vertAlign w:val="subscript"/>
                      <w:lang w:val="en-US" w:eastAsia="zh-CN"/>
                    </w:rPr>
                    <w:t>3</w:t>
                  </w:r>
                  <w:r>
                    <w:rPr>
                      <w:rFonts w:hint="default" w:ascii="Times New Roman" w:hAnsi="Times New Roman" w:cs="Times New Roman"/>
                      <w:b w:val="0"/>
                      <w:color w:val="000000"/>
                    </w:rPr>
                    <w:t>-N</w:t>
                  </w:r>
                </w:p>
              </w:tc>
              <w:tc>
                <w:tcPr>
                  <w:tcW w:w="4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A0E67">
                  <w:pPr>
                    <w:jc w:val="center"/>
                    <w:rPr>
                      <w:rFonts w:hint="default" w:ascii="Times New Roman" w:hAnsi="Times New Roman" w:cs="Times New Roman"/>
                      <w:b w:val="0"/>
                      <w:color w:val="000000"/>
                    </w:rPr>
                  </w:pPr>
                  <w:r>
                    <w:rPr>
                      <w:rFonts w:hint="default" w:ascii="Times New Roman" w:hAnsi="Times New Roman" w:cs="Times New Roman"/>
                      <w:b w:val="0"/>
                      <w:color w:val="000000"/>
                    </w:rPr>
                    <w:t>TN</w:t>
                  </w:r>
                </w:p>
              </w:tc>
              <w:tc>
                <w:tcPr>
                  <w:tcW w:w="4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2ECF51">
                  <w:pPr>
                    <w:jc w:val="center"/>
                    <w:rPr>
                      <w:rFonts w:hint="default" w:ascii="Times New Roman" w:hAnsi="Times New Roman" w:cs="Times New Roman"/>
                      <w:b w:val="0"/>
                      <w:color w:val="000000"/>
                    </w:rPr>
                  </w:pPr>
                  <w:r>
                    <w:rPr>
                      <w:rFonts w:hint="default" w:ascii="Times New Roman" w:hAnsi="Times New Roman" w:cs="Times New Roman"/>
                      <w:b w:val="0"/>
                      <w:color w:val="000000"/>
                    </w:rPr>
                    <w:t>TP</w:t>
                  </w:r>
                </w:p>
              </w:tc>
            </w:tr>
            <w:tr w14:paraId="142C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57A4E">
                  <w:pPr>
                    <w:jc w:val="center"/>
                    <w:rPr>
                      <w:rFonts w:hint="default" w:ascii="Times New Roman" w:hAnsi="Times New Roman" w:eastAsia="宋体" w:cs="Times New Roman"/>
                      <w:b w:val="0"/>
                      <w:color w:val="000000"/>
                      <w:lang w:eastAsia="zh-CN"/>
                    </w:rPr>
                  </w:pPr>
                  <w:r>
                    <w:rPr>
                      <w:rFonts w:hint="default" w:ascii="Times New Roman" w:hAnsi="Times New Roman" w:cs="Times New Roman"/>
                      <w:b w:val="0"/>
                      <w:color w:val="000000"/>
                    </w:rPr>
                    <w:t>进水浓度</w:t>
                  </w:r>
                  <w:r>
                    <w:rPr>
                      <w:rFonts w:hint="default" w:ascii="Times New Roman" w:hAnsi="Times New Roman" w:cs="Times New Roman"/>
                      <w:b w:val="0"/>
                      <w:color w:val="000000"/>
                      <w:lang w:eastAsia="zh-CN"/>
                    </w:rPr>
                    <w:t>（</w:t>
                  </w:r>
                  <w:r>
                    <w:rPr>
                      <w:rFonts w:hint="default" w:ascii="Times New Roman" w:hAnsi="Times New Roman" w:cs="Times New Roman"/>
                      <w:b w:val="0"/>
                      <w:color w:val="000000"/>
                    </w:rPr>
                    <w:t>mg/L</w:t>
                  </w:r>
                  <w:r>
                    <w:rPr>
                      <w:rFonts w:hint="default" w:ascii="Times New Roman" w:hAnsi="Times New Roman" w:cs="Times New Roman"/>
                      <w:b w:val="0"/>
                      <w:color w:val="000000"/>
                      <w:lang w:eastAsia="zh-CN"/>
                    </w:rPr>
                    <w:t>）</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CB59B">
                  <w:pPr>
                    <w:jc w:val="center"/>
                    <w:rPr>
                      <w:rFonts w:hint="default" w:ascii="Times New Roman" w:hAnsi="Times New Roman" w:cs="Times New Roman"/>
                      <w:b w:val="0"/>
                      <w:color w:val="000000"/>
                    </w:rPr>
                  </w:pPr>
                  <w:r>
                    <w:rPr>
                      <w:rFonts w:hint="default" w:ascii="Times New Roman" w:hAnsi="Times New Roman" w:cs="Times New Roman"/>
                      <w:b w:val="0"/>
                      <w:color w:val="000000"/>
                    </w:rPr>
                    <w:t>280</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FBB7BD">
                  <w:pPr>
                    <w:jc w:val="center"/>
                    <w:rPr>
                      <w:rFonts w:hint="default" w:ascii="Times New Roman" w:hAnsi="Times New Roman" w:cs="Times New Roman"/>
                      <w:b w:val="0"/>
                      <w:color w:val="000000"/>
                    </w:rPr>
                  </w:pPr>
                  <w:r>
                    <w:rPr>
                      <w:rFonts w:hint="default" w:ascii="Times New Roman" w:hAnsi="Times New Roman" w:cs="Times New Roman"/>
                      <w:b w:val="0"/>
                      <w:color w:val="000000"/>
                    </w:rPr>
                    <w:t>640</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118F1B">
                  <w:pPr>
                    <w:jc w:val="center"/>
                    <w:rPr>
                      <w:rFonts w:hint="default" w:ascii="Times New Roman" w:hAnsi="Times New Roman" w:cs="Times New Roman"/>
                      <w:b w:val="0"/>
                      <w:color w:val="000000"/>
                    </w:rPr>
                  </w:pPr>
                  <w:r>
                    <w:rPr>
                      <w:rFonts w:hint="default" w:ascii="Times New Roman" w:hAnsi="Times New Roman" w:cs="Times New Roman"/>
                      <w:b w:val="0"/>
                      <w:color w:val="000000"/>
                    </w:rPr>
                    <w:t>150</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165C7">
                  <w:pPr>
                    <w:jc w:val="center"/>
                    <w:rPr>
                      <w:rFonts w:hint="default" w:ascii="Times New Roman" w:hAnsi="Times New Roman" w:cs="Times New Roman"/>
                      <w:b w:val="0"/>
                      <w:color w:val="000000"/>
                    </w:rPr>
                  </w:pPr>
                  <w:r>
                    <w:rPr>
                      <w:rFonts w:hint="default" w:ascii="Times New Roman" w:hAnsi="Times New Roman" w:cs="Times New Roman"/>
                      <w:b w:val="0"/>
                      <w:color w:val="000000"/>
                    </w:rPr>
                    <w:t>70</w:t>
                  </w:r>
                </w:p>
              </w:tc>
              <w:tc>
                <w:tcPr>
                  <w:tcW w:w="4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B07079">
                  <w:pPr>
                    <w:jc w:val="center"/>
                    <w:rPr>
                      <w:rFonts w:hint="default" w:ascii="Times New Roman" w:hAnsi="Times New Roman" w:cs="Times New Roman"/>
                      <w:b w:val="0"/>
                      <w:color w:val="000000"/>
                    </w:rPr>
                  </w:pPr>
                  <w:r>
                    <w:rPr>
                      <w:rFonts w:hint="default" w:ascii="Times New Roman" w:hAnsi="Times New Roman" w:cs="Times New Roman"/>
                      <w:b w:val="0"/>
                      <w:color w:val="000000"/>
                    </w:rPr>
                    <w:t>80</w:t>
                  </w:r>
                </w:p>
              </w:tc>
              <w:tc>
                <w:tcPr>
                  <w:tcW w:w="4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46A177">
                  <w:pPr>
                    <w:jc w:val="center"/>
                    <w:rPr>
                      <w:rFonts w:hint="default" w:ascii="Times New Roman" w:hAnsi="Times New Roman" w:cs="Times New Roman"/>
                      <w:b w:val="0"/>
                      <w:color w:val="000000"/>
                    </w:rPr>
                  </w:pPr>
                  <w:r>
                    <w:rPr>
                      <w:rFonts w:hint="default" w:ascii="Times New Roman" w:hAnsi="Times New Roman" w:cs="Times New Roman"/>
                      <w:b w:val="0"/>
                      <w:color w:val="000000"/>
                    </w:rPr>
                    <w:t>8</w:t>
                  </w:r>
                </w:p>
              </w:tc>
            </w:tr>
            <w:tr w14:paraId="1CB9C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50FA8F">
                  <w:pPr>
                    <w:jc w:val="center"/>
                    <w:rPr>
                      <w:rFonts w:hint="default" w:ascii="Times New Roman" w:hAnsi="Times New Roman" w:eastAsia="宋体" w:cs="Times New Roman"/>
                      <w:b w:val="0"/>
                      <w:color w:val="000000"/>
                      <w:lang w:eastAsia="zh-CN"/>
                    </w:rPr>
                  </w:pPr>
                  <w:r>
                    <w:rPr>
                      <w:rFonts w:hint="default" w:ascii="Times New Roman" w:hAnsi="Times New Roman" w:cs="Times New Roman"/>
                      <w:b w:val="0"/>
                      <w:color w:val="000000"/>
                    </w:rPr>
                    <w:t>进水总量</w:t>
                  </w:r>
                  <w:r>
                    <w:rPr>
                      <w:rFonts w:hint="default" w:ascii="Times New Roman" w:hAnsi="Times New Roman" w:cs="Times New Roman"/>
                      <w:b w:val="0"/>
                      <w:color w:val="000000"/>
                      <w:lang w:eastAsia="zh-CN"/>
                    </w:rPr>
                    <w:t>（</w:t>
                  </w:r>
                  <w:r>
                    <w:rPr>
                      <w:rFonts w:hint="default" w:ascii="Times New Roman" w:hAnsi="Times New Roman" w:cs="Times New Roman"/>
                      <w:b w:val="0"/>
                      <w:color w:val="000000"/>
                    </w:rPr>
                    <w:t>t/a</w:t>
                  </w:r>
                  <w:r>
                    <w:rPr>
                      <w:rFonts w:hint="default" w:ascii="Times New Roman" w:hAnsi="Times New Roman" w:cs="Times New Roman"/>
                      <w:b w:val="0"/>
                      <w:color w:val="000000"/>
                      <w:lang w:eastAsia="zh-CN"/>
                    </w:rPr>
                    <w:t>）</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48882">
                  <w:pPr>
                    <w:jc w:val="center"/>
                    <w:rPr>
                      <w:rFonts w:hint="default" w:ascii="Times New Roman" w:hAnsi="Times New Roman" w:cs="Times New Roman"/>
                      <w:b w:val="0"/>
                      <w:color w:val="000000"/>
                    </w:rPr>
                  </w:pPr>
                  <w:r>
                    <w:rPr>
                      <w:rFonts w:hint="default" w:ascii="Times New Roman" w:hAnsi="Times New Roman" w:cs="Times New Roman"/>
                      <w:b w:val="0"/>
                      <w:color w:val="000000"/>
                    </w:rPr>
                    <w:t>306.6</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5F7356">
                  <w:pPr>
                    <w:jc w:val="center"/>
                    <w:rPr>
                      <w:rFonts w:hint="default" w:ascii="Times New Roman" w:hAnsi="Times New Roman" w:cs="Times New Roman"/>
                      <w:b w:val="0"/>
                      <w:color w:val="000000"/>
                    </w:rPr>
                  </w:pPr>
                  <w:r>
                    <w:rPr>
                      <w:rFonts w:hint="default" w:ascii="Times New Roman" w:hAnsi="Times New Roman" w:cs="Times New Roman"/>
                      <w:b w:val="0"/>
                      <w:color w:val="000000"/>
                    </w:rPr>
                    <w:t>700.8</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43ECCE">
                  <w:pPr>
                    <w:jc w:val="center"/>
                    <w:rPr>
                      <w:rFonts w:hint="default" w:ascii="Times New Roman" w:hAnsi="Times New Roman" w:cs="Times New Roman"/>
                      <w:b w:val="0"/>
                      <w:color w:val="000000"/>
                    </w:rPr>
                  </w:pPr>
                  <w:r>
                    <w:rPr>
                      <w:rFonts w:hint="default" w:ascii="Times New Roman" w:hAnsi="Times New Roman" w:cs="Times New Roman"/>
                      <w:b w:val="0"/>
                      <w:color w:val="000000"/>
                    </w:rPr>
                    <w:t>164.25</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97E08">
                  <w:pPr>
                    <w:jc w:val="center"/>
                    <w:rPr>
                      <w:rFonts w:hint="default" w:ascii="Times New Roman" w:hAnsi="Times New Roman" w:cs="Times New Roman"/>
                      <w:b w:val="0"/>
                      <w:color w:val="000000"/>
                    </w:rPr>
                  </w:pPr>
                  <w:r>
                    <w:rPr>
                      <w:rFonts w:hint="default" w:ascii="Times New Roman" w:hAnsi="Times New Roman" w:cs="Times New Roman"/>
                      <w:b w:val="0"/>
                      <w:color w:val="000000"/>
                    </w:rPr>
                    <w:t>76.65</w:t>
                  </w:r>
                </w:p>
              </w:tc>
              <w:tc>
                <w:tcPr>
                  <w:tcW w:w="4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DDE340">
                  <w:pPr>
                    <w:jc w:val="center"/>
                    <w:rPr>
                      <w:rFonts w:hint="default" w:ascii="Times New Roman" w:hAnsi="Times New Roman" w:cs="Times New Roman"/>
                      <w:b w:val="0"/>
                      <w:color w:val="000000"/>
                    </w:rPr>
                  </w:pPr>
                  <w:r>
                    <w:rPr>
                      <w:rFonts w:hint="default" w:ascii="Times New Roman" w:hAnsi="Times New Roman" w:cs="Times New Roman"/>
                      <w:b w:val="0"/>
                      <w:color w:val="000000"/>
                    </w:rPr>
                    <w:t>87.6</w:t>
                  </w:r>
                </w:p>
              </w:tc>
              <w:tc>
                <w:tcPr>
                  <w:tcW w:w="4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BE2C46">
                  <w:pPr>
                    <w:jc w:val="center"/>
                    <w:rPr>
                      <w:rFonts w:hint="default" w:ascii="Times New Roman" w:hAnsi="Times New Roman" w:cs="Times New Roman"/>
                      <w:b w:val="0"/>
                      <w:color w:val="000000"/>
                    </w:rPr>
                  </w:pPr>
                  <w:r>
                    <w:rPr>
                      <w:rFonts w:hint="default" w:ascii="Times New Roman" w:hAnsi="Times New Roman" w:cs="Times New Roman"/>
                      <w:b w:val="0"/>
                      <w:color w:val="000000"/>
                    </w:rPr>
                    <w:t>8.76</w:t>
                  </w:r>
                </w:p>
              </w:tc>
            </w:tr>
            <w:tr w14:paraId="17CAE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E26E0">
                  <w:pPr>
                    <w:jc w:val="center"/>
                    <w:rPr>
                      <w:rFonts w:hint="default" w:ascii="Times New Roman" w:hAnsi="Times New Roman" w:eastAsia="宋体" w:cs="Times New Roman"/>
                      <w:b w:val="0"/>
                      <w:color w:val="000000"/>
                      <w:lang w:eastAsia="zh-CN"/>
                    </w:rPr>
                  </w:pPr>
                  <w:r>
                    <w:rPr>
                      <w:rFonts w:hint="default" w:ascii="Times New Roman" w:hAnsi="Times New Roman" w:cs="Times New Roman"/>
                      <w:b w:val="0"/>
                      <w:color w:val="000000"/>
                    </w:rPr>
                    <w:t>出水浓度</w:t>
                  </w:r>
                  <w:r>
                    <w:rPr>
                      <w:rFonts w:hint="default" w:ascii="Times New Roman" w:hAnsi="Times New Roman" w:cs="Times New Roman"/>
                      <w:b w:val="0"/>
                      <w:color w:val="000000"/>
                      <w:lang w:eastAsia="zh-CN"/>
                    </w:rPr>
                    <w:t>（</w:t>
                  </w:r>
                  <w:r>
                    <w:rPr>
                      <w:rFonts w:hint="default" w:ascii="Times New Roman" w:hAnsi="Times New Roman" w:cs="Times New Roman"/>
                      <w:b w:val="0"/>
                      <w:color w:val="000000"/>
                    </w:rPr>
                    <w:t>mg/L</w:t>
                  </w:r>
                  <w:r>
                    <w:rPr>
                      <w:rFonts w:hint="default" w:ascii="Times New Roman" w:hAnsi="Times New Roman" w:cs="Times New Roman"/>
                      <w:b w:val="0"/>
                      <w:color w:val="000000"/>
                      <w:lang w:eastAsia="zh-CN"/>
                    </w:rPr>
                    <w:t>）</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32B8FF">
                  <w:pPr>
                    <w:jc w:val="center"/>
                    <w:rPr>
                      <w:rFonts w:hint="default" w:ascii="Times New Roman" w:hAnsi="Times New Roman" w:cs="Times New Roman"/>
                      <w:b w:val="0"/>
                      <w:color w:val="000000"/>
                    </w:rPr>
                  </w:pPr>
                  <w:r>
                    <w:rPr>
                      <w:rFonts w:hint="default" w:ascii="Times New Roman" w:hAnsi="Times New Roman" w:cs="Times New Roman"/>
                      <w:b w:val="0"/>
                      <w:color w:val="000000"/>
                    </w:rPr>
                    <w:t>≤10</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E866F0">
                  <w:pPr>
                    <w:jc w:val="center"/>
                    <w:rPr>
                      <w:rFonts w:hint="default" w:ascii="Times New Roman" w:hAnsi="Times New Roman" w:cs="Times New Roman"/>
                      <w:b w:val="0"/>
                      <w:color w:val="000000"/>
                    </w:rPr>
                  </w:pPr>
                  <w:r>
                    <w:rPr>
                      <w:rFonts w:hint="default" w:ascii="Times New Roman" w:hAnsi="Times New Roman" w:cs="Times New Roman"/>
                      <w:b w:val="0"/>
                      <w:color w:val="000000"/>
                    </w:rPr>
                    <w:t>≤50</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F73BC">
                  <w:pPr>
                    <w:jc w:val="center"/>
                    <w:rPr>
                      <w:rFonts w:hint="default" w:ascii="Times New Roman" w:hAnsi="Times New Roman" w:cs="Times New Roman"/>
                      <w:b w:val="0"/>
                      <w:color w:val="000000"/>
                    </w:rPr>
                  </w:pPr>
                  <w:r>
                    <w:rPr>
                      <w:rFonts w:hint="default" w:ascii="Times New Roman" w:hAnsi="Times New Roman" w:cs="Times New Roman"/>
                      <w:b w:val="0"/>
                      <w:color w:val="000000"/>
                    </w:rPr>
                    <w:t>≤10</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61DF7F">
                  <w:pPr>
                    <w:jc w:val="center"/>
                    <w:rPr>
                      <w:rFonts w:hint="default" w:ascii="Times New Roman" w:hAnsi="Times New Roman" w:cs="Times New Roman"/>
                      <w:b w:val="0"/>
                      <w:color w:val="000000"/>
                    </w:rPr>
                  </w:pPr>
                  <w:r>
                    <w:rPr>
                      <w:rFonts w:hint="default" w:ascii="Times New Roman" w:hAnsi="Times New Roman" w:cs="Times New Roman"/>
                      <w:b w:val="0"/>
                      <w:color w:val="000000"/>
                    </w:rPr>
                    <w:t>≤5（8）</w:t>
                  </w:r>
                </w:p>
              </w:tc>
              <w:tc>
                <w:tcPr>
                  <w:tcW w:w="4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88832">
                  <w:pPr>
                    <w:jc w:val="center"/>
                    <w:rPr>
                      <w:rFonts w:hint="default" w:ascii="Times New Roman" w:hAnsi="Times New Roman" w:cs="Times New Roman"/>
                      <w:b w:val="0"/>
                      <w:color w:val="000000"/>
                    </w:rPr>
                  </w:pPr>
                  <w:r>
                    <w:rPr>
                      <w:rFonts w:hint="default" w:ascii="Times New Roman" w:hAnsi="Times New Roman" w:cs="Times New Roman"/>
                      <w:b w:val="0"/>
                      <w:color w:val="000000"/>
                    </w:rPr>
                    <w:t>≤15</w:t>
                  </w:r>
                </w:p>
              </w:tc>
              <w:tc>
                <w:tcPr>
                  <w:tcW w:w="4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4B43FD">
                  <w:pPr>
                    <w:jc w:val="center"/>
                    <w:rPr>
                      <w:rFonts w:hint="default" w:ascii="Times New Roman" w:hAnsi="Times New Roman" w:cs="Times New Roman"/>
                      <w:b w:val="0"/>
                      <w:color w:val="000000"/>
                    </w:rPr>
                  </w:pPr>
                  <w:r>
                    <w:rPr>
                      <w:rFonts w:hint="default" w:ascii="Times New Roman" w:hAnsi="Times New Roman" w:cs="Times New Roman"/>
                      <w:b w:val="0"/>
                      <w:color w:val="000000"/>
                    </w:rPr>
                    <w:t>≤0.5</w:t>
                  </w:r>
                </w:p>
              </w:tc>
            </w:tr>
            <w:tr w14:paraId="5FEE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901F6B">
                  <w:pPr>
                    <w:jc w:val="center"/>
                    <w:rPr>
                      <w:rFonts w:hint="default" w:ascii="Times New Roman" w:hAnsi="Times New Roman" w:eastAsia="宋体" w:cs="Times New Roman"/>
                      <w:b w:val="0"/>
                      <w:color w:val="000000"/>
                      <w:lang w:eastAsia="zh-CN"/>
                    </w:rPr>
                  </w:pPr>
                  <w:r>
                    <w:rPr>
                      <w:rFonts w:hint="default" w:ascii="Times New Roman" w:hAnsi="Times New Roman" w:cs="Times New Roman"/>
                      <w:b w:val="0"/>
                      <w:color w:val="000000"/>
                    </w:rPr>
                    <w:t>出水总量</w:t>
                  </w:r>
                  <w:r>
                    <w:rPr>
                      <w:rFonts w:hint="default" w:ascii="Times New Roman" w:hAnsi="Times New Roman" w:cs="Times New Roman"/>
                      <w:b w:val="0"/>
                      <w:color w:val="000000"/>
                      <w:lang w:eastAsia="zh-CN"/>
                    </w:rPr>
                    <w:t>（</w:t>
                  </w:r>
                  <w:r>
                    <w:rPr>
                      <w:rFonts w:hint="default" w:ascii="Times New Roman" w:hAnsi="Times New Roman" w:cs="Times New Roman"/>
                      <w:b w:val="0"/>
                      <w:color w:val="000000"/>
                    </w:rPr>
                    <w:t>t/a</w:t>
                  </w:r>
                  <w:r>
                    <w:rPr>
                      <w:rFonts w:hint="default" w:ascii="Times New Roman" w:hAnsi="Times New Roman" w:cs="Times New Roman"/>
                      <w:b w:val="0"/>
                      <w:color w:val="000000"/>
                      <w:lang w:eastAsia="zh-CN"/>
                    </w:rPr>
                    <w:t>）</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E1496">
                  <w:pPr>
                    <w:jc w:val="center"/>
                    <w:rPr>
                      <w:rFonts w:hint="default" w:ascii="Times New Roman" w:hAnsi="Times New Roman" w:cs="Times New Roman"/>
                      <w:b w:val="0"/>
                      <w:color w:val="000000"/>
                    </w:rPr>
                  </w:pPr>
                  <w:r>
                    <w:rPr>
                      <w:rFonts w:hint="default" w:ascii="Times New Roman" w:hAnsi="Times New Roman" w:cs="Times New Roman"/>
                      <w:b w:val="0"/>
                      <w:color w:val="000000"/>
                    </w:rPr>
                    <w:t>10.95</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B49133">
                  <w:pPr>
                    <w:jc w:val="center"/>
                    <w:rPr>
                      <w:rFonts w:hint="default" w:ascii="Times New Roman" w:hAnsi="Times New Roman" w:cs="Times New Roman"/>
                      <w:b w:val="0"/>
                      <w:color w:val="000000"/>
                    </w:rPr>
                  </w:pPr>
                  <w:r>
                    <w:rPr>
                      <w:rFonts w:hint="default" w:ascii="Times New Roman" w:hAnsi="Times New Roman" w:cs="Times New Roman"/>
                      <w:b w:val="0"/>
                      <w:color w:val="000000"/>
                    </w:rPr>
                    <w:t>54.75</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211FCF">
                  <w:pPr>
                    <w:jc w:val="center"/>
                    <w:rPr>
                      <w:rFonts w:hint="default" w:ascii="Times New Roman" w:hAnsi="Times New Roman" w:cs="Times New Roman"/>
                      <w:b w:val="0"/>
                      <w:color w:val="000000"/>
                    </w:rPr>
                  </w:pPr>
                  <w:r>
                    <w:rPr>
                      <w:rFonts w:hint="default" w:ascii="Times New Roman" w:hAnsi="Times New Roman" w:cs="Times New Roman"/>
                      <w:b w:val="0"/>
                      <w:color w:val="000000"/>
                    </w:rPr>
                    <w:t>10.95</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45BA7B">
                  <w:pPr>
                    <w:jc w:val="center"/>
                    <w:rPr>
                      <w:rFonts w:hint="default" w:ascii="Times New Roman" w:hAnsi="Times New Roman" w:cs="Times New Roman"/>
                      <w:b w:val="0"/>
                      <w:color w:val="000000"/>
                    </w:rPr>
                  </w:pPr>
                  <w:r>
                    <w:rPr>
                      <w:rFonts w:hint="default" w:ascii="Times New Roman" w:hAnsi="Times New Roman" w:cs="Times New Roman"/>
                      <w:b w:val="0"/>
                      <w:color w:val="000000"/>
                    </w:rPr>
                    <w:t>5.48（8.76）</w:t>
                  </w:r>
                </w:p>
              </w:tc>
              <w:tc>
                <w:tcPr>
                  <w:tcW w:w="4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E57CC">
                  <w:pPr>
                    <w:jc w:val="center"/>
                    <w:rPr>
                      <w:rFonts w:hint="default" w:ascii="Times New Roman" w:hAnsi="Times New Roman" w:cs="Times New Roman"/>
                      <w:b w:val="0"/>
                      <w:color w:val="000000"/>
                    </w:rPr>
                  </w:pPr>
                  <w:r>
                    <w:rPr>
                      <w:rFonts w:hint="default" w:ascii="Times New Roman" w:hAnsi="Times New Roman" w:cs="Times New Roman"/>
                      <w:b w:val="0"/>
                      <w:color w:val="000000"/>
                    </w:rPr>
                    <w:t>16.43</w:t>
                  </w:r>
                </w:p>
              </w:tc>
              <w:tc>
                <w:tcPr>
                  <w:tcW w:w="4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9F6AE6">
                  <w:pPr>
                    <w:jc w:val="center"/>
                    <w:rPr>
                      <w:rFonts w:hint="default" w:ascii="Times New Roman" w:hAnsi="Times New Roman" w:cs="Times New Roman"/>
                      <w:b w:val="0"/>
                      <w:color w:val="000000"/>
                    </w:rPr>
                  </w:pPr>
                  <w:r>
                    <w:rPr>
                      <w:rFonts w:hint="default" w:ascii="Times New Roman" w:hAnsi="Times New Roman" w:cs="Times New Roman"/>
                      <w:b w:val="0"/>
                      <w:color w:val="000000"/>
                    </w:rPr>
                    <w:t>0.55</w:t>
                  </w:r>
                </w:p>
              </w:tc>
            </w:tr>
            <w:tr w14:paraId="690B5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4D2F0">
                  <w:pPr>
                    <w:jc w:val="center"/>
                    <w:rPr>
                      <w:rFonts w:hint="default" w:ascii="Times New Roman" w:hAnsi="Times New Roman" w:eastAsia="宋体" w:cs="Times New Roman"/>
                      <w:b w:val="0"/>
                      <w:color w:val="000000"/>
                      <w:lang w:eastAsia="zh-CN"/>
                    </w:rPr>
                  </w:pPr>
                  <w:r>
                    <w:rPr>
                      <w:rFonts w:hint="default" w:ascii="Times New Roman" w:hAnsi="Times New Roman" w:cs="Times New Roman"/>
                      <w:b w:val="0"/>
                      <w:color w:val="000000"/>
                    </w:rPr>
                    <w:t>削减量</w:t>
                  </w:r>
                  <w:r>
                    <w:rPr>
                      <w:rFonts w:hint="default" w:ascii="Times New Roman" w:hAnsi="Times New Roman" w:cs="Times New Roman"/>
                      <w:b w:val="0"/>
                      <w:color w:val="000000"/>
                      <w:lang w:eastAsia="zh-CN"/>
                    </w:rPr>
                    <w:t>（</w:t>
                  </w:r>
                  <w:r>
                    <w:rPr>
                      <w:rFonts w:hint="default" w:ascii="Times New Roman" w:hAnsi="Times New Roman" w:cs="Times New Roman"/>
                      <w:b w:val="0"/>
                      <w:color w:val="000000"/>
                    </w:rPr>
                    <w:t>t/a</w:t>
                  </w:r>
                  <w:r>
                    <w:rPr>
                      <w:rFonts w:hint="default" w:ascii="Times New Roman" w:hAnsi="Times New Roman" w:cs="Times New Roman"/>
                      <w:b w:val="0"/>
                      <w:color w:val="000000"/>
                      <w:lang w:eastAsia="zh-CN"/>
                    </w:rPr>
                    <w:t>）</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64489">
                  <w:pPr>
                    <w:jc w:val="center"/>
                    <w:rPr>
                      <w:rFonts w:hint="default" w:ascii="Times New Roman" w:hAnsi="Times New Roman" w:cs="Times New Roman"/>
                      <w:b w:val="0"/>
                      <w:color w:val="000000"/>
                    </w:rPr>
                  </w:pPr>
                  <w:r>
                    <w:rPr>
                      <w:rFonts w:hint="default" w:ascii="Times New Roman" w:hAnsi="Times New Roman" w:cs="Times New Roman"/>
                      <w:b w:val="0"/>
                      <w:color w:val="000000"/>
                    </w:rPr>
                    <w:t>295.65</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19DC2">
                  <w:pPr>
                    <w:jc w:val="center"/>
                    <w:rPr>
                      <w:rFonts w:hint="default" w:ascii="Times New Roman" w:hAnsi="Times New Roman" w:cs="Times New Roman"/>
                      <w:b w:val="0"/>
                      <w:color w:val="000000"/>
                    </w:rPr>
                  </w:pPr>
                  <w:r>
                    <w:rPr>
                      <w:rFonts w:hint="default" w:ascii="Times New Roman" w:hAnsi="Times New Roman" w:cs="Times New Roman"/>
                      <w:b w:val="0"/>
                      <w:color w:val="000000"/>
                    </w:rPr>
                    <w:t>646.05</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4B0E8">
                  <w:pPr>
                    <w:jc w:val="center"/>
                    <w:rPr>
                      <w:rFonts w:hint="default" w:ascii="Times New Roman" w:hAnsi="Times New Roman" w:cs="Times New Roman"/>
                      <w:b w:val="0"/>
                      <w:color w:val="000000"/>
                    </w:rPr>
                  </w:pPr>
                  <w:r>
                    <w:rPr>
                      <w:rFonts w:hint="default" w:ascii="Times New Roman" w:hAnsi="Times New Roman" w:cs="Times New Roman"/>
                      <w:b w:val="0"/>
                      <w:color w:val="000000"/>
                    </w:rPr>
                    <w:t>153.30</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62C287">
                  <w:pPr>
                    <w:jc w:val="center"/>
                    <w:rPr>
                      <w:rFonts w:hint="default" w:ascii="Times New Roman" w:hAnsi="Times New Roman" w:cs="Times New Roman"/>
                      <w:b w:val="0"/>
                      <w:color w:val="000000"/>
                    </w:rPr>
                  </w:pPr>
                  <w:r>
                    <w:rPr>
                      <w:rFonts w:hint="default" w:ascii="Times New Roman" w:hAnsi="Times New Roman" w:cs="Times New Roman"/>
                      <w:b w:val="0"/>
                      <w:color w:val="000000"/>
                    </w:rPr>
                    <w:t>71.17（67.89）</w:t>
                  </w:r>
                </w:p>
              </w:tc>
              <w:tc>
                <w:tcPr>
                  <w:tcW w:w="4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7B7BC7">
                  <w:pPr>
                    <w:jc w:val="center"/>
                    <w:rPr>
                      <w:rFonts w:hint="default" w:ascii="Times New Roman" w:hAnsi="Times New Roman" w:cs="Times New Roman"/>
                      <w:b w:val="0"/>
                      <w:color w:val="000000"/>
                    </w:rPr>
                  </w:pPr>
                  <w:r>
                    <w:rPr>
                      <w:rFonts w:hint="default" w:ascii="Times New Roman" w:hAnsi="Times New Roman" w:cs="Times New Roman"/>
                      <w:b w:val="0"/>
                      <w:color w:val="000000"/>
                    </w:rPr>
                    <w:t>71.17</w:t>
                  </w:r>
                </w:p>
              </w:tc>
              <w:tc>
                <w:tcPr>
                  <w:tcW w:w="4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C9F320">
                  <w:pPr>
                    <w:jc w:val="center"/>
                    <w:rPr>
                      <w:rFonts w:hint="default" w:ascii="Times New Roman" w:hAnsi="Times New Roman" w:cs="Times New Roman"/>
                      <w:b w:val="0"/>
                      <w:color w:val="000000"/>
                    </w:rPr>
                  </w:pPr>
                  <w:r>
                    <w:rPr>
                      <w:rFonts w:hint="default" w:ascii="Times New Roman" w:hAnsi="Times New Roman" w:cs="Times New Roman"/>
                      <w:b w:val="0"/>
                      <w:color w:val="000000"/>
                    </w:rPr>
                    <w:t>8.21</w:t>
                  </w:r>
                </w:p>
              </w:tc>
            </w:tr>
            <w:tr w14:paraId="7F56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000192">
                  <w:pPr>
                    <w:jc w:val="center"/>
                    <w:rPr>
                      <w:rFonts w:hint="default" w:ascii="Times New Roman" w:hAnsi="Times New Roman" w:eastAsia="宋体" w:cs="Times New Roman"/>
                      <w:b w:val="0"/>
                      <w:color w:val="000000"/>
                      <w:lang w:eastAsia="zh-CN"/>
                    </w:rPr>
                  </w:pPr>
                  <w:r>
                    <w:rPr>
                      <w:rFonts w:hint="default" w:ascii="Times New Roman" w:hAnsi="Times New Roman" w:cs="Times New Roman"/>
                      <w:b w:val="0"/>
                      <w:color w:val="000000"/>
                    </w:rPr>
                    <w:t>削减率</w:t>
                  </w:r>
                  <w:r>
                    <w:rPr>
                      <w:rFonts w:hint="default" w:ascii="Times New Roman" w:hAnsi="Times New Roman" w:cs="Times New Roman"/>
                      <w:b w:val="0"/>
                      <w:color w:val="000000"/>
                      <w:lang w:eastAsia="zh-CN"/>
                    </w:rPr>
                    <w:t>（</w:t>
                  </w:r>
                  <w:r>
                    <w:rPr>
                      <w:rFonts w:hint="default" w:ascii="Times New Roman" w:hAnsi="Times New Roman" w:cs="Times New Roman"/>
                      <w:b w:val="0"/>
                      <w:color w:val="000000"/>
                    </w:rPr>
                    <w:t>%</w:t>
                  </w:r>
                  <w:r>
                    <w:rPr>
                      <w:rFonts w:hint="default" w:ascii="Times New Roman" w:hAnsi="Times New Roman" w:cs="Times New Roman"/>
                      <w:b w:val="0"/>
                      <w:color w:val="000000"/>
                      <w:lang w:eastAsia="zh-CN"/>
                    </w:rPr>
                    <w:t>）</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45E1CD">
                  <w:pPr>
                    <w:jc w:val="center"/>
                    <w:rPr>
                      <w:rFonts w:hint="default" w:ascii="Times New Roman" w:hAnsi="Times New Roman" w:cs="Times New Roman"/>
                      <w:b w:val="0"/>
                      <w:color w:val="000000"/>
                    </w:rPr>
                  </w:pPr>
                  <w:r>
                    <w:rPr>
                      <w:rFonts w:hint="default" w:ascii="Times New Roman" w:hAnsi="Times New Roman" w:cs="Times New Roman"/>
                      <w:b w:val="0"/>
                      <w:color w:val="000000"/>
                    </w:rPr>
                    <w:t>≥96.4</w:t>
                  </w:r>
                </w:p>
              </w:tc>
              <w:tc>
                <w:tcPr>
                  <w:tcW w:w="5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92C0A5">
                  <w:pPr>
                    <w:jc w:val="center"/>
                    <w:rPr>
                      <w:rFonts w:hint="default" w:ascii="Times New Roman" w:hAnsi="Times New Roman" w:cs="Times New Roman"/>
                      <w:b w:val="0"/>
                      <w:color w:val="000000"/>
                    </w:rPr>
                  </w:pPr>
                  <w:r>
                    <w:rPr>
                      <w:rFonts w:hint="default" w:ascii="Times New Roman" w:hAnsi="Times New Roman" w:cs="Times New Roman"/>
                      <w:b w:val="0"/>
                      <w:color w:val="000000"/>
                    </w:rPr>
                    <w:t>≥92.2</w:t>
                  </w:r>
                </w:p>
              </w:tc>
              <w:tc>
                <w:tcPr>
                  <w:tcW w:w="5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D1EF63">
                  <w:pPr>
                    <w:jc w:val="center"/>
                    <w:rPr>
                      <w:rFonts w:hint="default" w:ascii="Times New Roman" w:hAnsi="Times New Roman" w:cs="Times New Roman"/>
                      <w:b w:val="0"/>
                      <w:color w:val="000000"/>
                    </w:rPr>
                  </w:pPr>
                  <w:r>
                    <w:rPr>
                      <w:rFonts w:hint="default" w:ascii="Times New Roman" w:hAnsi="Times New Roman" w:cs="Times New Roman"/>
                      <w:b w:val="0"/>
                      <w:color w:val="000000"/>
                    </w:rPr>
                    <w:t>≥93.3</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91474">
                  <w:pPr>
                    <w:jc w:val="center"/>
                    <w:rPr>
                      <w:rFonts w:hint="default" w:ascii="Times New Roman" w:hAnsi="Times New Roman" w:cs="Times New Roman"/>
                      <w:b w:val="0"/>
                      <w:color w:val="000000"/>
                    </w:rPr>
                  </w:pPr>
                  <w:r>
                    <w:rPr>
                      <w:rFonts w:hint="default" w:ascii="Times New Roman" w:hAnsi="Times New Roman" w:cs="Times New Roman"/>
                      <w:b w:val="0"/>
                      <w:color w:val="000000"/>
                    </w:rPr>
                    <w:t>≥92.9（88.6）</w:t>
                  </w:r>
                </w:p>
              </w:tc>
              <w:tc>
                <w:tcPr>
                  <w:tcW w:w="4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B5E150">
                  <w:pPr>
                    <w:jc w:val="center"/>
                    <w:rPr>
                      <w:rFonts w:hint="default" w:ascii="Times New Roman" w:hAnsi="Times New Roman" w:cs="Times New Roman"/>
                      <w:b w:val="0"/>
                      <w:color w:val="000000"/>
                    </w:rPr>
                  </w:pPr>
                  <w:r>
                    <w:rPr>
                      <w:rFonts w:hint="default" w:ascii="Times New Roman" w:hAnsi="Times New Roman" w:cs="Times New Roman"/>
                      <w:b w:val="0"/>
                      <w:color w:val="000000"/>
                    </w:rPr>
                    <w:t>≥81.3</w:t>
                  </w:r>
                </w:p>
              </w:tc>
              <w:tc>
                <w:tcPr>
                  <w:tcW w:w="4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C10240">
                  <w:pPr>
                    <w:jc w:val="center"/>
                    <w:rPr>
                      <w:rFonts w:hint="default" w:ascii="Times New Roman" w:hAnsi="Times New Roman" w:cs="Times New Roman"/>
                      <w:b w:val="0"/>
                      <w:color w:val="000000"/>
                    </w:rPr>
                  </w:pPr>
                  <w:r>
                    <w:rPr>
                      <w:rFonts w:hint="default" w:ascii="Times New Roman" w:hAnsi="Times New Roman" w:cs="Times New Roman"/>
                      <w:b w:val="0"/>
                      <w:color w:val="000000"/>
                    </w:rPr>
                    <w:t>≥93.8</w:t>
                  </w:r>
                </w:p>
              </w:tc>
            </w:tr>
          </w:tbl>
          <w:p w14:paraId="5856EBF2">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4.2.</w:t>
            </w:r>
            <w:r>
              <w:rPr>
                <w:rFonts w:hint="eastAsia"/>
                <w:sz w:val="24"/>
                <w:szCs w:val="24"/>
                <w:lang w:val="en-US" w:eastAsia="zh-CN"/>
              </w:rPr>
              <w:t>2.7</w:t>
            </w:r>
            <w:r>
              <w:rPr>
                <w:rFonts w:hint="eastAsia"/>
                <w:sz w:val="24"/>
                <w:szCs w:val="24"/>
              </w:rPr>
              <w:t>监测要求</w:t>
            </w:r>
          </w:p>
          <w:p w14:paraId="007FA5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根据《排污单位自行监测技术指南 水处理》（HJ 1083-2020），对污水处理设施的进、出水水质进行监测：</w:t>
            </w:r>
          </w:p>
          <w:p w14:paraId="2294032A">
            <w:pPr>
              <w:pStyle w:val="23"/>
              <w:bidi w:val="0"/>
              <w:rPr>
                <w:rFonts w:hint="eastAsia"/>
                <w:color w:val="FF0000"/>
                <w:lang w:val="en-US" w:eastAsia="zh-CN"/>
              </w:rPr>
            </w:pPr>
            <w:r>
              <w:rPr>
                <w:rFonts w:hint="eastAsia"/>
                <w:lang w:val="en-US" w:eastAsia="zh-CN"/>
              </w:rPr>
              <w:t>表4-18 运营期废水检测计划</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
              <w:gridCol w:w="3848"/>
              <w:gridCol w:w="1187"/>
              <w:gridCol w:w="1943"/>
            </w:tblGrid>
            <w:tr w14:paraId="581C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1"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188C0CB1">
                  <w:pPr>
                    <w:jc w:val="center"/>
                    <w:rPr>
                      <w:b w:val="0"/>
                      <w:color w:val="000000"/>
                    </w:rPr>
                  </w:pPr>
                  <w:r>
                    <w:rPr>
                      <w:b w:val="0"/>
                      <w:color w:val="000000"/>
                    </w:rPr>
                    <w:t>监测点位</w:t>
                  </w:r>
                </w:p>
              </w:tc>
              <w:tc>
                <w:tcPr>
                  <w:tcW w:w="24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8B7033">
                  <w:pPr>
                    <w:jc w:val="center"/>
                    <w:rPr>
                      <w:b w:val="0"/>
                      <w:color w:val="000000"/>
                    </w:rPr>
                  </w:pPr>
                  <w:r>
                    <w:rPr>
                      <w:b w:val="0"/>
                      <w:color w:val="000000"/>
                    </w:rPr>
                    <w:t>监测因子</w:t>
                  </w:r>
                </w:p>
              </w:tc>
              <w:tc>
                <w:tcPr>
                  <w:tcW w:w="8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33437E">
                  <w:pPr>
                    <w:jc w:val="center"/>
                    <w:rPr>
                      <w:b w:val="0"/>
                      <w:color w:val="000000"/>
                    </w:rPr>
                  </w:pPr>
                  <w:r>
                    <w:rPr>
                      <w:b w:val="0"/>
                      <w:color w:val="000000"/>
                    </w:rPr>
                    <w:t>监测频次</w:t>
                  </w:r>
                </w:p>
              </w:tc>
              <w:tc>
                <w:tcPr>
                  <w:tcW w:w="9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9491C3">
                  <w:pPr>
                    <w:jc w:val="center"/>
                    <w:rPr>
                      <w:b w:val="0"/>
                      <w:color w:val="000000"/>
                    </w:rPr>
                  </w:pPr>
                  <w:r>
                    <w:rPr>
                      <w:b w:val="0"/>
                      <w:color w:val="000000"/>
                    </w:rPr>
                    <w:t>执行标准</w:t>
                  </w:r>
                </w:p>
              </w:tc>
            </w:tr>
            <w:tr w14:paraId="11ECB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1" w:type="pct"/>
                  <w:vMerge w:val="restart"/>
                  <w:tcBorders>
                    <w:top w:val="single" w:color="000000" w:sz="4" w:space="0"/>
                    <w:left w:val="single" w:color="000000" w:sz="4" w:space="0"/>
                    <w:right w:val="single" w:color="000000" w:sz="4" w:space="0"/>
                  </w:tcBorders>
                  <w:shd w:val="clear" w:color="auto" w:fill="FFFFFF"/>
                  <w:vAlign w:val="center"/>
                </w:tcPr>
                <w:p w14:paraId="081F07AE">
                  <w:pPr>
                    <w:jc w:val="center"/>
                    <w:rPr>
                      <w:b w:val="0"/>
                      <w:color w:val="000000"/>
                    </w:rPr>
                  </w:pPr>
                  <w:r>
                    <w:rPr>
                      <w:b w:val="0"/>
                      <w:color w:val="000000"/>
                    </w:rPr>
                    <w:t>进水总管</w:t>
                  </w:r>
                </w:p>
              </w:tc>
              <w:tc>
                <w:tcPr>
                  <w:tcW w:w="24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46449">
                  <w:pPr>
                    <w:jc w:val="center"/>
                    <w:rPr>
                      <w:b w:val="0"/>
                      <w:color w:val="000000"/>
                    </w:rPr>
                  </w:pPr>
                  <w:r>
                    <w:rPr>
                      <w:b w:val="0"/>
                      <w:color w:val="000000"/>
                    </w:rPr>
                    <w:t>流量、化学需氧量、氨氮</w:t>
                  </w:r>
                </w:p>
              </w:tc>
              <w:tc>
                <w:tcPr>
                  <w:tcW w:w="8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CD254F">
                  <w:pPr>
                    <w:jc w:val="center"/>
                    <w:rPr>
                      <w:b w:val="0"/>
                      <w:color w:val="000000"/>
                    </w:rPr>
                  </w:pPr>
                  <w:r>
                    <w:rPr>
                      <w:b w:val="0"/>
                      <w:color w:val="000000"/>
                    </w:rPr>
                    <w:t>自动监测</w:t>
                  </w:r>
                </w:p>
              </w:tc>
              <w:tc>
                <w:tcPr>
                  <w:tcW w:w="998" w:type="pct"/>
                  <w:vMerge w:val="restart"/>
                  <w:tcBorders>
                    <w:top w:val="single" w:color="000000" w:sz="4" w:space="0"/>
                    <w:left w:val="single" w:color="000000" w:sz="4" w:space="0"/>
                    <w:right w:val="single" w:color="000000" w:sz="4" w:space="0"/>
                  </w:tcBorders>
                  <w:shd w:val="clear" w:color="auto" w:fill="FFFFFF"/>
                  <w:vAlign w:val="center"/>
                </w:tcPr>
                <w:p w14:paraId="4FB5E2BE">
                  <w:pPr>
                    <w:jc w:val="center"/>
                    <w:rPr>
                      <w:b w:val="0"/>
                      <w:color w:val="000000"/>
                    </w:rPr>
                  </w:pPr>
                  <w:r>
                    <w:rPr>
                      <w:b w:val="0"/>
                      <w:color w:val="000000"/>
                    </w:rPr>
                    <w:t>《城镇污水处理厂污染物排放标准》（GB18918-2002）</w:t>
                  </w:r>
                  <w:r>
                    <w:rPr>
                      <w:rFonts w:hint="eastAsia" w:cs="Times New Roman"/>
                      <w:lang w:val="en-US" w:eastAsia="zh-CN"/>
                    </w:rPr>
                    <w:t>及其修改单</w:t>
                  </w:r>
                  <w:r>
                    <w:rPr>
                      <w:b w:val="0"/>
                      <w:color w:val="000000"/>
                    </w:rPr>
                    <w:t>一级A标准</w:t>
                  </w:r>
                </w:p>
              </w:tc>
            </w:tr>
            <w:tr w14:paraId="6D7F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1" w:type="pct"/>
                  <w:vMerge w:val="continue"/>
                  <w:tcBorders>
                    <w:left w:val="single" w:color="000000" w:sz="4" w:space="0"/>
                    <w:bottom w:val="single" w:color="000000" w:sz="4" w:space="0"/>
                    <w:right w:val="single" w:color="000000" w:sz="4" w:space="0"/>
                  </w:tcBorders>
                  <w:shd w:val="clear" w:color="auto" w:fill="FFFFFF"/>
                  <w:vAlign w:val="center"/>
                </w:tcPr>
                <w:p w14:paraId="6F77751A">
                  <w:pPr>
                    <w:jc w:val="center"/>
                    <w:rPr>
                      <w:b w:val="0"/>
                      <w:color w:val="000000"/>
                    </w:rPr>
                  </w:pPr>
                </w:p>
              </w:tc>
              <w:tc>
                <w:tcPr>
                  <w:tcW w:w="24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3D33F0">
                  <w:pPr>
                    <w:jc w:val="center"/>
                    <w:rPr>
                      <w:b w:val="0"/>
                      <w:color w:val="000000"/>
                    </w:rPr>
                  </w:pPr>
                  <w:r>
                    <w:rPr>
                      <w:b w:val="0"/>
                      <w:color w:val="000000"/>
                    </w:rPr>
                    <w:t>总氮、总磷</w:t>
                  </w:r>
                </w:p>
              </w:tc>
              <w:tc>
                <w:tcPr>
                  <w:tcW w:w="8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1E345F">
                  <w:pPr>
                    <w:jc w:val="center"/>
                    <w:rPr>
                      <w:b w:val="0"/>
                      <w:color w:val="000000"/>
                    </w:rPr>
                  </w:pPr>
                  <w:r>
                    <w:rPr>
                      <w:b w:val="0"/>
                      <w:color w:val="000000"/>
                    </w:rPr>
                    <w:t>1次/日</w:t>
                  </w:r>
                </w:p>
              </w:tc>
              <w:tc>
                <w:tcPr>
                  <w:tcW w:w="998" w:type="pct"/>
                  <w:vMerge w:val="continue"/>
                  <w:tcBorders>
                    <w:left w:val="single" w:color="000000" w:sz="4" w:space="0"/>
                    <w:right w:val="single" w:color="000000" w:sz="4" w:space="0"/>
                  </w:tcBorders>
                  <w:shd w:val="clear" w:color="auto" w:fill="FFFFFF"/>
                  <w:vAlign w:val="center"/>
                </w:tcPr>
                <w:p w14:paraId="0771CB0B">
                  <w:pPr>
                    <w:jc w:val="center"/>
                    <w:rPr>
                      <w:b w:val="0"/>
                      <w:color w:val="000000"/>
                    </w:rPr>
                  </w:pPr>
                </w:p>
              </w:tc>
            </w:tr>
            <w:tr w14:paraId="14029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1" w:type="pct"/>
                  <w:vMerge w:val="restart"/>
                  <w:tcBorders>
                    <w:top w:val="single" w:color="000000" w:sz="4" w:space="0"/>
                    <w:left w:val="single" w:color="000000" w:sz="4" w:space="0"/>
                    <w:right w:val="single" w:color="000000" w:sz="4" w:space="0"/>
                  </w:tcBorders>
                  <w:shd w:val="clear" w:color="auto" w:fill="FFFFFF"/>
                  <w:vAlign w:val="center"/>
                </w:tcPr>
                <w:p w14:paraId="62D076F9">
                  <w:pPr>
                    <w:jc w:val="center"/>
                    <w:rPr>
                      <w:b w:val="0"/>
                      <w:color w:val="000000"/>
                    </w:rPr>
                  </w:pPr>
                  <w:r>
                    <w:rPr>
                      <w:b w:val="0"/>
                      <w:color w:val="000000"/>
                      <w:spacing w:val="-11"/>
                      <w:sz w:val="21"/>
                    </w:rPr>
                    <w:t>总排口（回用水池）</w:t>
                  </w:r>
                </w:p>
              </w:tc>
              <w:tc>
                <w:tcPr>
                  <w:tcW w:w="24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396C00">
                  <w:pPr>
                    <w:jc w:val="center"/>
                    <w:rPr>
                      <w:b w:val="0"/>
                      <w:color w:val="000000"/>
                    </w:rPr>
                  </w:pPr>
                  <w:r>
                    <w:rPr>
                      <w:b w:val="0"/>
                      <w:color w:val="000000"/>
                    </w:rPr>
                    <w:t>流量、pH值、水温、化学需氧量、氨氮、总氮、总磷</w:t>
                  </w:r>
                </w:p>
              </w:tc>
              <w:tc>
                <w:tcPr>
                  <w:tcW w:w="8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973FE0">
                  <w:pPr>
                    <w:jc w:val="center"/>
                    <w:rPr>
                      <w:b w:val="0"/>
                      <w:color w:val="000000"/>
                    </w:rPr>
                  </w:pPr>
                  <w:r>
                    <w:rPr>
                      <w:b w:val="0"/>
                      <w:color w:val="000000"/>
                    </w:rPr>
                    <w:t>自动监测</w:t>
                  </w:r>
                </w:p>
              </w:tc>
              <w:tc>
                <w:tcPr>
                  <w:tcW w:w="998" w:type="pct"/>
                  <w:vMerge w:val="continue"/>
                  <w:tcBorders>
                    <w:left w:val="single" w:color="000000" w:sz="4" w:space="0"/>
                    <w:right w:val="single" w:color="000000" w:sz="4" w:space="0"/>
                  </w:tcBorders>
                  <w:shd w:val="clear" w:color="auto" w:fill="FFFFFF"/>
                  <w:vAlign w:val="center"/>
                </w:tcPr>
                <w:p w14:paraId="42B40EF7">
                  <w:pPr>
                    <w:jc w:val="center"/>
                    <w:rPr>
                      <w:b w:val="0"/>
                      <w:color w:val="000000"/>
                    </w:rPr>
                  </w:pPr>
                </w:p>
              </w:tc>
            </w:tr>
            <w:tr w14:paraId="7ADF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1" w:type="pct"/>
                  <w:vMerge w:val="continue"/>
                  <w:tcBorders>
                    <w:left w:val="single" w:color="000000" w:sz="4" w:space="0"/>
                    <w:right w:val="single" w:color="000000" w:sz="4" w:space="0"/>
                  </w:tcBorders>
                  <w:shd w:val="clear" w:color="auto" w:fill="FFFFFF"/>
                  <w:vAlign w:val="center"/>
                </w:tcPr>
                <w:p w14:paraId="16D99CAE">
                  <w:pPr>
                    <w:jc w:val="center"/>
                    <w:rPr>
                      <w:b w:val="0"/>
                      <w:color w:val="000000"/>
                    </w:rPr>
                  </w:pPr>
                </w:p>
              </w:tc>
              <w:tc>
                <w:tcPr>
                  <w:tcW w:w="24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F42375">
                  <w:pPr>
                    <w:jc w:val="center"/>
                    <w:rPr>
                      <w:b w:val="0"/>
                      <w:color w:val="000000"/>
                    </w:rPr>
                  </w:pPr>
                  <w:r>
                    <w:rPr>
                      <w:b w:val="0"/>
                      <w:color w:val="000000"/>
                    </w:rPr>
                    <w:t>悬浮物、色度、五日生化需氧量、动植物油、石油类、阴离子表面活性剂、粪大肠菌群数</w:t>
                  </w:r>
                </w:p>
              </w:tc>
              <w:tc>
                <w:tcPr>
                  <w:tcW w:w="8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AB4F3">
                  <w:pPr>
                    <w:jc w:val="center"/>
                    <w:rPr>
                      <w:b w:val="0"/>
                      <w:color w:val="000000"/>
                    </w:rPr>
                  </w:pPr>
                  <w:r>
                    <w:rPr>
                      <w:b w:val="0"/>
                      <w:color w:val="000000"/>
                    </w:rPr>
                    <w:t>1次/季度</w:t>
                  </w:r>
                </w:p>
              </w:tc>
              <w:tc>
                <w:tcPr>
                  <w:tcW w:w="998" w:type="pct"/>
                  <w:vMerge w:val="continue"/>
                  <w:tcBorders>
                    <w:left w:val="single" w:color="000000" w:sz="4" w:space="0"/>
                    <w:right w:val="single" w:color="000000" w:sz="4" w:space="0"/>
                  </w:tcBorders>
                  <w:shd w:val="clear" w:color="auto" w:fill="FFFFFF"/>
                  <w:vAlign w:val="center"/>
                </w:tcPr>
                <w:p w14:paraId="269DB7DE">
                  <w:pPr>
                    <w:jc w:val="center"/>
                    <w:rPr>
                      <w:b w:val="0"/>
                      <w:color w:val="000000"/>
                    </w:rPr>
                  </w:pPr>
                </w:p>
              </w:tc>
            </w:tr>
            <w:tr w14:paraId="523B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1" w:type="pct"/>
                  <w:vMerge w:val="continue"/>
                  <w:tcBorders>
                    <w:left w:val="single" w:color="000000" w:sz="4" w:space="0"/>
                    <w:bottom w:val="single" w:color="000000" w:sz="4" w:space="0"/>
                    <w:right w:val="single" w:color="000000" w:sz="4" w:space="0"/>
                  </w:tcBorders>
                  <w:shd w:val="clear" w:color="auto" w:fill="FFFFFF"/>
                  <w:vAlign w:val="center"/>
                </w:tcPr>
                <w:p w14:paraId="4730466E">
                  <w:pPr>
                    <w:jc w:val="center"/>
                    <w:rPr>
                      <w:b w:val="0"/>
                      <w:color w:val="000000"/>
                    </w:rPr>
                  </w:pPr>
                </w:p>
              </w:tc>
              <w:tc>
                <w:tcPr>
                  <w:tcW w:w="24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49E2BC">
                  <w:pPr>
                    <w:jc w:val="center"/>
                    <w:rPr>
                      <w:b w:val="0"/>
                      <w:color w:val="000000"/>
                    </w:rPr>
                  </w:pPr>
                  <w:r>
                    <w:rPr>
                      <w:b w:val="0"/>
                      <w:color w:val="000000"/>
                    </w:rPr>
                    <w:t>总镉、总铬、总汞、总铅、总砷、六价铬</w:t>
                  </w:r>
                </w:p>
              </w:tc>
              <w:tc>
                <w:tcPr>
                  <w:tcW w:w="8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06065">
                  <w:pPr>
                    <w:jc w:val="center"/>
                    <w:rPr>
                      <w:b w:val="0"/>
                      <w:color w:val="000000"/>
                    </w:rPr>
                  </w:pPr>
                  <w:r>
                    <w:rPr>
                      <w:b w:val="0"/>
                      <w:color w:val="000000"/>
                    </w:rPr>
                    <w:t>1次/半年</w:t>
                  </w:r>
                </w:p>
              </w:tc>
              <w:tc>
                <w:tcPr>
                  <w:tcW w:w="998" w:type="pct"/>
                  <w:vMerge w:val="continue"/>
                  <w:tcBorders>
                    <w:left w:val="single" w:color="000000" w:sz="4" w:space="0"/>
                    <w:bottom w:val="single" w:color="000000" w:sz="4" w:space="0"/>
                    <w:right w:val="single" w:color="000000" w:sz="4" w:space="0"/>
                  </w:tcBorders>
                  <w:shd w:val="clear" w:color="auto" w:fill="FFFFFF"/>
                  <w:vAlign w:val="center"/>
                </w:tcPr>
                <w:p w14:paraId="70D41BF2">
                  <w:pPr>
                    <w:jc w:val="center"/>
                    <w:rPr>
                      <w:b w:val="0"/>
                      <w:color w:val="000000"/>
                    </w:rPr>
                  </w:pPr>
                </w:p>
              </w:tc>
            </w:tr>
          </w:tbl>
          <w:p w14:paraId="4CBB6894">
            <w:pPr>
              <w:keepNext w:val="0"/>
              <w:keepLines w:val="0"/>
              <w:pageBreakBefore w:val="0"/>
              <w:widowControl/>
              <w:suppressLineNumbers w:val="0"/>
              <w:kinsoku/>
              <w:wordWrap/>
              <w:overflowPunct/>
              <w:topLinePunct w:val="0"/>
              <w:autoSpaceDE/>
              <w:autoSpaceDN/>
              <w:bidi w:val="0"/>
              <w:adjustRightInd/>
              <w:snapToGrid/>
              <w:spacing w:before="157" w:beforeLines="50" w:line="360" w:lineRule="auto"/>
              <w:jc w:val="left"/>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4.</w:t>
            </w:r>
            <w:r>
              <w:rPr>
                <w:rFonts w:hint="eastAsia" w:ascii="Times New Roman" w:hAnsi="Times New Roman" w:eastAsia="宋体" w:cs="Times New Roman"/>
                <w:b/>
                <w:bCs/>
                <w:color w:val="000000"/>
                <w:kern w:val="0"/>
                <w:sz w:val="24"/>
                <w:szCs w:val="24"/>
                <w:lang w:val="en-US" w:eastAsia="zh-CN" w:bidi="ar"/>
              </w:rPr>
              <w:t xml:space="preserve">2.3 </w:t>
            </w:r>
            <w:r>
              <w:rPr>
                <w:rFonts w:hint="default" w:ascii="Times New Roman" w:hAnsi="Times New Roman" w:eastAsia="宋体" w:cs="Times New Roman"/>
                <w:b/>
                <w:bCs/>
                <w:color w:val="000000"/>
                <w:sz w:val="24"/>
              </w:rPr>
              <w:t>运营期</w:t>
            </w:r>
            <w:r>
              <w:rPr>
                <w:rFonts w:hint="eastAsia" w:ascii="Times New Roman" w:hAnsi="Times New Roman" w:eastAsia="宋体" w:cs="Times New Roman"/>
                <w:b/>
                <w:bCs/>
                <w:color w:val="000000"/>
                <w:sz w:val="24"/>
                <w:lang w:val="en-US" w:eastAsia="zh-CN"/>
              </w:rPr>
              <w:t>声</w:t>
            </w:r>
            <w:r>
              <w:rPr>
                <w:rFonts w:hint="default" w:ascii="Times New Roman" w:hAnsi="Times New Roman" w:eastAsia="宋体" w:cs="Times New Roman"/>
                <w:b/>
                <w:bCs/>
                <w:color w:val="000000"/>
                <w:sz w:val="24"/>
              </w:rPr>
              <w:t>环境影响分析及防治措施</w:t>
            </w:r>
          </w:p>
          <w:p w14:paraId="3E73C9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2.</w:t>
            </w:r>
            <w:r>
              <w:rPr>
                <w:rFonts w:hint="eastAsia"/>
                <w:sz w:val="24"/>
                <w:szCs w:val="24"/>
              </w:rPr>
              <w:t>3.1噪声源强分析</w:t>
            </w:r>
          </w:p>
          <w:p w14:paraId="16D767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本项目运营期噪声主要来自各类水泵、鼓风机、压滤机等设备。项目区周围50m内无集中居民区等声环境敏感目标，不会出现扰民现象，仅对现场人员产生影响。</w:t>
            </w:r>
          </w:p>
          <w:p w14:paraId="1859260A">
            <w:pPr>
              <w:pStyle w:val="23"/>
              <w:bidi w:val="0"/>
              <w:rPr>
                <w:rFonts w:hint="eastAsia"/>
                <w:lang w:val="en-US" w:eastAsia="zh-CN"/>
              </w:rPr>
            </w:pPr>
            <w:r>
              <w:rPr>
                <w:rFonts w:hint="eastAsia"/>
                <w:lang w:val="en-US" w:eastAsia="zh-CN"/>
              </w:rPr>
              <w:t>表4-19 噪声源强及治理措施一览表</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6"/>
              <w:gridCol w:w="1431"/>
              <w:gridCol w:w="1134"/>
              <w:gridCol w:w="801"/>
              <w:gridCol w:w="1781"/>
              <w:gridCol w:w="1224"/>
            </w:tblGrid>
            <w:tr w14:paraId="4524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492B5B66">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噪声源</w:t>
                  </w:r>
                </w:p>
              </w:tc>
              <w:tc>
                <w:tcPr>
                  <w:tcW w:w="9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4DDDA1">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数量（台）</w:t>
                  </w:r>
                </w:p>
              </w:tc>
              <w:tc>
                <w:tcPr>
                  <w:tcW w:w="7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D43A95">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单台声压级（dB</w:t>
                  </w:r>
                  <w:r>
                    <w:rPr>
                      <w:rFonts w:hint="default" w:ascii="Times New Roman" w:hAnsi="Times New Roman" w:cs="Times New Roman"/>
                      <w:b w:val="0"/>
                      <w:color w:val="000000"/>
                      <w:sz w:val="21"/>
                      <w:szCs w:val="21"/>
                      <w:highlight w:val="none"/>
                      <w:lang w:eastAsia="zh-CN"/>
                    </w:rPr>
                    <w:t>（</w:t>
                  </w:r>
                  <w:r>
                    <w:rPr>
                      <w:rFonts w:hint="default" w:ascii="Times New Roman" w:hAnsi="Times New Roman" w:cs="Times New Roman"/>
                      <w:b w:val="0"/>
                      <w:color w:val="000000"/>
                      <w:sz w:val="21"/>
                      <w:szCs w:val="21"/>
                      <w:highlight w:val="none"/>
                    </w:rPr>
                    <w:t>A</w:t>
                  </w:r>
                  <w:r>
                    <w:rPr>
                      <w:rFonts w:hint="default" w:ascii="Times New Roman" w:hAnsi="Times New Roman" w:cs="Times New Roman"/>
                      <w:b w:val="0"/>
                      <w:color w:val="000000"/>
                      <w:sz w:val="21"/>
                      <w:szCs w:val="21"/>
                      <w:highlight w:val="none"/>
                      <w:lang w:eastAsia="zh-CN"/>
                    </w:rPr>
                    <w:t>）</w:t>
                  </w:r>
                  <w:r>
                    <w:rPr>
                      <w:rFonts w:hint="default" w:ascii="Times New Roman" w:hAnsi="Times New Roman" w:cs="Times New Roman"/>
                      <w:b w:val="0"/>
                      <w:color w:val="000000"/>
                      <w:sz w:val="21"/>
                      <w:szCs w:val="21"/>
                      <w:highlight w:val="none"/>
                    </w:rPr>
                    <w:t>）</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351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排放</w:t>
                  </w:r>
                </w:p>
                <w:p w14:paraId="78BED9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特征</w:t>
                  </w:r>
                </w:p>
              </w:tc>
              <w:tc>
                <w:tcPr>
                  <w:tcW w:w="11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42E19">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位置</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E02CC9">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治理措施</w:t>
                  </w:r>
                </w:p>
              </w:tc>
            </w:tr>
            <w:tr w14:paraId="0C4D9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A231BA">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潜水搅拌器</w:t>
                  </w:r>
                </w:p>
              </w:tc>
              <w:tc>
                <w:tcPr>
                  <w:tcW w:w="9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72D77F">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lang w:val="en-US" w:eastAsia="zh-CN"/>
                    </w:rPr>
                    <w:t>4</w:t>
                  </w:r>
                  <w:r>
                    <w:rPr>
                      <w:rFonts w:hint="default" w:ascii="Times New Roman" w:hAnsi="Times New Roman" w:cs="Times New Roman"/>
                      <w:b w:val="0"/>
                      <w:color w:val="000000"/>
                      <w:sz w:val="21"/>
                      <w:szCs w:val="21"/>
                      <w:highlight w:val="none"/>
                    </w:rPr>
                    <w:t>台</w:t>
                  </w:r>
                </w:p>
              </w:tc>
              <w:tc>
                <w:tcPr>
                  <w:tcW w:w="7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04F761">
                  <w:pPr>
                    <w:jc w:val="center"/>
                    <w:rPr>
                      <w:rFonts w:hint="default" w:ascii="Times New Roman" w:hAnsi="Times New Roman" w:eastAsia="宋体" w:cs="Times New Roman"/>
                      <w:b w:val="0"/>
                      <w:color w:val="000000"/>
                      <w:sz w:val="21"/>
                      <w:szCs w:val="21"/>
                      <w:highlight w:val="none"/>
                      <w:lang w:eastAsia="zh-CN"/>
                    </w:rPr>
                  </w:pPr>
                  <w:r>
                    <w:rPr>
                      <w:rFonts w:hint="default" w:ascii="Times New Roman" w:hAnsi="Times New Roman" w:cs="Times New Roman"/>
                      <w:b w:val="0"/>
                      <w:color w:val="000000"/>
                      <w:sz w:val="21"/>
                      <w:szCs w:val="21"/>
                      <w:highlight w:val="none"/>
                    </w:rPr>
                    <w:t>75</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328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连续</w:t>
                  </w:r>
                </w:p>
              </w:tc>
              <w:tc>
                <w:tcPr>
                  <w:tcW w:w="11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4E793B">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生物池（水下）</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63DB8">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水下安装</w:t>
                  </w:r>
                </w:p>
              </w:tc>
            </w:tr>
            <w:tr w14:paraId="4ABC4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E3730">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潜水推进器</w:t>
                  </w:r>
                </w:p>
              </w:tc>
              <w:tc>
                <w:tcPr>
                  <w:tcW w:w="9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32060E">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lang w:val="en-US" w:eastAsia="zh-CN"/>
                    </w:rPr>
                    <w:t>2</w:t>
                  </w:r>
                  <w:r>
                    <w:rPr>
                      <w:rFonts w:hint="default" w:ascii="Times New Roman" w:hAnsi="Times New Roman" w:cs="Times New Roman"/>
                      <w:b w:val="0"/>
                      <w:color w:val="000000"/>
                      <w:sz w:val="21"/>
                      <w:szCs w:val="21"/>
                      <w:highlight w:val="none"/>
                    </w:rPr>
                    <w:t>台</w:t>
                  </w:r>
                </w:p>
              </w:tc>
              <w:tc>
                <w:tcPr>
                  <w:tcW w:w="7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781334">
                  <w:pPr>
                    <w:jc w:val="center"/>
                    <w:rPr>
                      <w:rFonts w:hint="default" w:ascii="Times New Roman" w:hAnsi="Times New Roman" w:eastAsia="宋体" w:cs="Times New Roman"/>
                      <w:b w:val="0"/>
                      <w:color w:val="000000"/>
                      <w:sz w:val="21"/>
                      <w:szCs w:val="21"/>
                      <w:highlight w:val="none"/>
                      <w:lang w:eastAsia="zh-CN"/>
                    </w:rPr>
                  </w:pPr>
                  <w:r>
                    <w:rPr>
                      <w:rFonts w:hint="default" w:ascii="Times New Roman" w:hAnsi="Times New Roman" w:cs="Times New Roman"/>
                      <w:b w:val="0"/>
                      <w:color w:val="000000"/>
                      <w:sz w:val="21"/>
                      <w:szCs w:val="21"/>
                      <w:highlight w:val="none"/>
                    </w:rPr>
                    <w:t>75</w:t>
                  </w:r>
                </w:p>
              </w:tc>
              <w:tc>
                <w:tcPr>
                  <w:tcW w:w="5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02EDD">
                  <w:pPr>
                    <w:jc w:val="center"/>
                    <w:rPr>
                      <w:rFonts w:hint="default" w:ascii="Times New Roman" w:hAnsi="Times New Roman" w:cs="Times New Roman"/>
                      <w:b w:val="0"/>
                      <w:color w:val="000000"/>
                      <w:sz w:val="21"/>
                      <w:szCs w:val="21"/>
                      <w:highlight w:val="none"/>
                    </w:rPr>
                  </w:pPr>
                  <w:r>
                    <w:rPr>
                      <w:rFonts w:hint="default" w:ascii="Times New Roman" w:hAnsi="Times New Roman" w:eastAsia="宋体" w:cs="Times New Roman"/>
                      <w:sz w:val="21"/>
                      <w:szCs w:val="21"/>
                      <w:highlight w:val="none"/>
                      <w:lang w:val="en-US" w:eastAsia="zh-CN"/>
                    </w:rPr>
                    <w:t>连续</w:t>
                  </w:r>
                </w:p>
              </w:tc>
              <w:tc>
                <w:tcPr>
                  <w:tcW w:w="11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AAB6B">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生物池（水下）</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A5899">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水下安装</w:t>
                  </w:r>
                </w:p>
              </w:tc>
            </w:tr>
            <w:tr w14:paraId="43D9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B1F777">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内回流泵</w:t>
                  </w:r>
                </w:p>
              </w:tc>
              <w:tc>
                <w:tcPr>
                  <w:tcW w:w="9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CB0FFD">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pacing w:val="-6"/>
                      <w:sz w:val="21"/>
                      <w:szCs w:val="21"/>
                      <w:highlight w:val="none"/>
                    </w:rPr>
                    <w:t>5（4用1冷备）</w:t>
                  </w:r>
                </w:p>
              </w:tc>
              <w:tc>
                <w:tcPr>
                  <w:tcW w:w="7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6B290">
                  <w:pPr>
                    <w:jc w:val="center"/>
                    <w:rPr>
                      <w:rFonts w:hint="default" w:ascii="Times New Roman" w:hAnsi="Times New Roman" w:eastAsia="宋体" w:cs="Times New Roman"/>
                      <w:b w:val="0"/>
                      <w:color w:val="000000"/>
                      <w:sz w:val="21"/>
                      <w:szCs w:val="21"/>
                      <w:highlight w:val="none"/>
                      <w:lang w:eastAsia="zh-CN"/>
                    </w:rPr>
                  </w:pPr>
                  <w:r>
                    <w:rPr>
                      <w:rFonts w:hint="default" w:ascii="Times New Roman" w:hAnsi="Times New Roman" w:cs="Times New Roman"/>
                      <w:b w:val="0"/>
                      <w:color w:val="000000"/>
                      <w:sz w:val="21"/>
                      <w:szCs w:val="21"/>
                      <w:highlight w:val="none"/>
                    </w:rPr>
                    <w:t>75</w:t>
                  </w:r>
                </w:p>
              </w:tc>
              <w:tc>
                <w:tcPr>
                  <w:tcW w:w="5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5676E4">
                  <w:pPr>
                    <w:jc w:val="center"/>
                    <w:rPr>
                      <w:rFonts w:hint="default" w:ascii="Times New Roman" w:hAnsi="Times New Roman" w:cs="Times New Roman"/>
                      <w:b w:val="0"/>
                      <w:color w:val="000000"/>
                      <w:sz w:val="21"/>
                      <w:szCs w:val="21"/>
                      <w:highlight w:val="none"/>
                    </w:rPr>
                  </w:pPr>
                  <w:r>
                    <w:rPr>
                      <w:rFonts w:hint="default" w:ascii="Times New Roman" w:hAnsi="Times New Roman" w:eastAsia="宋体" w:cs="Times New Roman"/>
                      <w:sz w:val="21"/>
                      <w:szCs w:val="21"/>
                      <w:highlight w:val="none"/>
                      <w:lang w:val="en-US" w:eastAsia="zh-CN"/>
                    </w:rPr>
                    <w:t>连续</w:t>
                  </w:r>
                </w:p>
              </w:tc>
              <w:tc>
                <w:tcPr>
                  <w:tcW w:w="11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1C2215">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生物池（水下）</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49BE6">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水下安装</w:t>
                  </w:r>
                </w:p>
              </w:tc>
            </w:tr>
            <w:tr w14:paraId="30A4F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9D30B">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外回流泵</w:t>
                  </w:r>
                </w:p>
              </w:tc>
              <w:tc>
                <w:tcPr>
                  <w:tcW w:w="9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FB99E">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3（2用1备）</w:t>
                  </w:r>
                </w:p>
              </w:tc>
              <w:tc>
                <w:tcPr>
                  <w:tcW w:w="7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B916C">
                  <w:pPr>
                    <w:jc w:val="center"/>
                    <w:rPr>
                      <w:rFonts w:hint="default" w:ascii="Times New Roman" w:hAnsi="Times New Roman" w:eastAsia="宋体" w:cs="Times New Roman"/>
                      <w:b w:val="0"/>
                      <w:color w:val="000000"/>
                      <w:sz w:val="21"/>
                      <w:szCs w:val="21"/>
                      <w:highlight w:val="none"/>
                      <w:lang w:eastAsia="zh-CN"/>
                    </w:rPr>
                  </w:pPr>
                  <w:r>
                    <w:rPr>
                      <w:rFonts w:hint="default" w:ascii="Times New Roman" w:hAnsi="Times New Roman" w:cs="Times New Roman"/>
                      <w:b w:val="0"/>
                      <w:color w:val="000000"/>
                      <w:sz w:val="21"/>
                      <w:szCs w:val="21"/>
                      <w:highlight w:val="none"/>
                    </w:rPr>
                    <w:t>75</w:t>
                  </w:r>
                </w:p>
              </w:tc>
              <w:tc>
                <w:tcPr>
                  <w:tcW w:w="5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1528A8">
                  <w:pPr>
                    <w:jc w:val="center"/>
                    <w:rPr>
                      <w:rFonts w:hint="default" w:ascii="Times New Roman" w:hAnsi="Times New Roman" w:cs="Times New Roman"/>
                      <w:b w:val="0"/>
                      <w:color w:val="000000"/>
                      <w:sz w:val="21"/>
                      <w:szCs w:val="21"/>
                      <w:highlight w:val="none"/>
                    </w:rPr>
                  </w:pPr>
                  <w:r>
                    <w:rPr>
                      <w:rFonts w:hint="default" w:ascii="Times New Roman" w:hAnsi="Times New Roman" w:eastAsia="宋体" w:cs="Times New Roman"/>
                      <w:sz w:val="21"/>
                      <w:szCs w:val="21"/>
                      <w:highlight w:val="none"/>
                      <w:lang w:val="en-US" w:eastAsia="zh-CN"/>
                    </w:rPr>
                    <w:t>连续</w:t>
                  </w:r>
                </w:p>
              </w:tc>
              <w:tc>
                <w:tcPr>
                  <w:tcW w:w="11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354B33">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污泥泵池</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66E133">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厂房隔声、基础减振</w:t>
                  </w:r>
                </w:p>
              </w:tc>
            </w:tr>
            <w:tr w14:paraId="05195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39E750">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剩余污泥泵</w:t>
                  </w:r>
                </w:p>
              </w:tc>
              <w:tc>
                <w:tcPr>
                  <w:tcW w:w="9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81A92">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2（1用1备）</w:t>
                  </w:r>
                </w:p>
              </w:tc>
              <w:tc>
                <w:tcPr>
                  <w:tcW w:w="7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DA44D6">
                  <w:pPr>
                    <w:jc w:val="center"/>
                    <w:rPr>
                      <w:rFonts w:hint="default" w:ascii="Times New Roman" w:hAnsi="Times New Roman" w:eastAsia="宋体" w:cs="Times New Roman"/>
                      <w:b w:val="0"/>
                      <w:color w:val="000000"/>
                      <w:sz w:val="21"/>
                      <w:szCs w:val="21"/>
                      <w:highlight w:val="none"/>
                      <w:lang w:eastAsia="zh-CN"/>
                    </w:rPr>
                  </w:pPr>
                  <w:r>
                    <w:rPr>
                      <w:rFonts w:hint="default" w:ascii="Times New Roman" w:hAnsi="Times New Roman" w:cs="Times New Roman"/>
                      <w:b w:val="0"/>
                      <w:color w:val="000000"/>
                      <w:sz w:val="21"/>
                      <w:szCs w:val="21"/>
                      <w:highlight w:val="none"/>
                    </w:rPr>
                    <w:t>75</w:t>
                  </w:r>
                </w:p>
              </w:tc>
              <w:tc>
                <w:tcPr>
                  <w:tcW w:w="5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A4A923">
                  <w:pPr>
                    <w:jc w:val="center"/>
                    <w:rPr>
                      <w:rFonts w:hint="default" w:ascii="Times New Roman" w:hAnsi="Times New Roman" w:cs="Times New Roman"/>
                      <w:b w:val="0"/>
                      <w:color w:val="000000"/>
                      <w:sz w:val="21"/>
                      <w:szCs w:val="21"/>
                      <w:highlight w:val="none"/>
                    </w:rPr>
                  </w:pPr>
                  <w:r>
                    <w:rPr>
                      <w:rFonts w:hint="default" w:ascii="Times New Roman" w:hAnsi="Times New Roman" w:eastAsia="宋体" w:cs="Times New Roman"/>
                      <w:sz w:val="21"/>
                      <w:szCs w:val="21"/>
                      <w:highlight w:val="none"/>
                      <w:lang w:val="en-US" w:eastAsia="zh-CN"/>
                    </w:rPr>
                    <w:t>连续</w:t>
                  </w:r>
                </w:p>
              </w:tc>
              <w:tc>
                <w:tcPr>
                  <w:tcW w:w="11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27E5EA">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污泥泵池</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15912E">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厂房隔声、基础减振</w:t>
                  </w:r>
                </w:p>
              </w:tc>
            </w:tr>
            <w:tr w14:paraId="32A3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9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067D5D">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磁悬浮鼓风机</w:t>
                  </w:r>
                </w:p>
              </w:tc>
              <w:tc>
                <w:tcPr>
                  <w:tcW w:w="9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32694">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2（1用1备）</w:t>
                  </w:r>
                </w:p>
              </w:tc>
              <w:tc>
                <w:tcPr>
                  <w:tcW w:w="7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994DB">
                  <w:pPr>
                    <w:jc w:val="center"/>
                    <w:rPr>
                      <w:rFonts w:hint="default" w:ascii="Times New Roman" w:hAnsi="Times New Roman" w:eastAsia="宋体" w:cs="Times New Roman"/>
                      <w:b w:val="0"/>
                      <w:color w:val="000000"/>
                      <w:sz w:val="21"/>
                      <w:szCs w:val="21"/>
                      <w:highlight w:val="none"/>
                      <w:lang w:eastAsia="zh-CN"/>
                    </w:rPr>
                  </w:pPr>
                  <w:r>
                    <w:rPr>
                      <w:rFonts w:hint="default" w:ascii="Times New Roman" w:hAnsi="Times New Roman" w:cs="Times New Roman"/>
                      <w:b w:val="0"/>
                      <w:color w:val="000000"/>
                      <w:sz w:val="21"/>
                      <w:szCs w:val="21"/>
                      <w:highlight w:val="none"/>
                    </w:rPr>
                    <w:t>85</w:t>
                  </w:r>
                </w:p>
              </w:tc>
              <w:tc>
                <w:tcPr>
                  <w:tcW w:w="5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A16872">
                  <w:pPr>
                    <w:jc w:val="center"/>
                    <w:rPr>
                      <w:rFonts w:hint="default" w:ascii="Times New Roman" w:hAnsi="Times New Roman" w:cs="Times New Roman"/>
                      <w:b w:val="0"/>
                      <w:color w:val="000000"/>
                      <w:sz w:val="21"/>
                      <w:szCs w:val="21"/>
                      <w:highlight w:val="none"/>
                    </w:rPr>
                  </w:pPr>
                  <w:r>
                    <w:rPr>
                      <w:rFonts w:hint="default" w:ascii="Times New Roman" w:hAnsi="Times New Roman" w:eastAsia="宋体" w:cs="Times New Roman"/>
                      <w:sz w:val="21"/>
                      <w:szCs w:val="21"/>
                      <w:highlight w:val="none"/>
                      <w:lang w:val="en-US" w:eastAsia="zh-CN"/>
                    </w:rPr>
                    <w:t>连续</w:t>
                  </w:r>
                </w:p>
              </w:tc>
              <w:tc>
                <w:tcPr>
                  <w:tcW w:w="11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31933B">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鼓风机房</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F2A28">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厂房隔声、基础减振、进出口消声器</w:t>
                  </w:r>
                </w:p>
              </w:tc>
            </w:tr>
            <w:tr w14:paraId="19094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4D3C7F">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污泥提升泵</w:t>
                  </w:r>
                </w:p>
              </w:tc>
              <w:tc>
                <w:tcPr>
                  <w:tcW w:w="9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B13F8">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2（互为备用）</w:t>
                  </w:r>
                </w:p>
              </w:tc>
              <w:tc>
                <w:tcPr>
                  <w:tcW w:w="7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44CC71">
                  <w:pPr>
                    <w:jc w:val="center"/>
                    <w:rPr>
                      <w:rFonts w:hint="default" w:ascii="Times New Roman" w:hAnsi="Times New Roman" w:eastAsia="宋体" w:cs="Times New Roman"/>
                      <w:b w:val="0"/>
                      <w:color w:val="000000"/>
                      <w:sz w:val="21"/>
                      <w:szCs w:val="21"/>
                      <w:highlight w:val="none"/>
                      <w:lang w:eastAsia="zh-CN"/>
                    </w:rPr>
                  </w:pPr>
                  <w:r>
                    <w:rPr>
                      <w:rFonts w:hint="default" w:ascii="Times New Roman" w:hAnsi="Times New Roman" w:cs="Times New Roman"/>
                      <w:b w:val="0"/>
                      <w:color w:val="000000"/>
                      <w:sz w:val="21"/>
                      <w:szCs w:val="21"/>
                      <w:highlight w:val="none"/>
                    </w:rPr>
                    <w:t>75</w:t>
                  </w:r>
                </w:p>
              </w:tc>
              <w:tc>
                <w:tcPr>
                  <w:tcW w:w="5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E3D09">
                  <w:pPr>
                    <w:jc w:val="center"/>
                    <w:rPr>
                      <w:rFonts w:hint="default" w:ascii="Times New Roman" w:hAnsi="Times New Roman" w:cs="Times New Roman"/>
                      <w:b w:val="0"/>
                      <w:color w:val="000000"/>
                      <w:sz w:val="21"/>
                      <w:szCs w:val="21"/>
                      <w:highlight w:val="none"/>
                    </w:rPr>
                  </w:pPr>
                  <w:r>
                    <w:rPr>
                      <w:rFonts w:hint="default" w:ascii="Times New Roman" w:hAnsi="Times New Roman" w:eastAsia="宋体" w:cs="Times New Roman"/>
                      <w:sz w:val="21"/>
                      <w:szCs w:val="21"/>
                      <w:highlight w:val="none"/>
                      <w:lang w:val="en-US" w:eastAsia="zh-CN"/>
                    </w:rPr>
                    <w:t>连续</w:t>
                  </w:r>
                </w:p>
              </w:tc>
              <w:tc>
                <w:tcPr>
                  <w:tcW w:w="11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195A33">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脱水机房</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0FD4F6">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厂房隔声、基础减振</w:t>
                  </w:r>
                </w:p>
              </w:tc>
            </w:tr>
            <w:tr w14:paraId="3F06E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1754F5">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pacing w:val="-11"/>
                      <w:sz w:val="21"/>
                      <w:szCs w:val="21"/>
                      <w:highlight w:val="none"/>
                    </w:rPr>
                    <w:t>压榨进料柱塞泵</w:t>
                  </w:r>
                </w:p>
              </w:tc>
              <w:tc>
                <w:tcPr>
                  <w:tcW w:w="9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CBCFC">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2（1用1备）</w:t>
                  </w:r>
                </w:p>
              </w:tc>
              <w:tc>
                <w:tcPr>
                  <w:tcW w:w="7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F95115">
                  <w:pPr>
                    <w:jc w:val="center"/>
                    <w:rPr>
                      <w:rFonts w:hint="default" w:ascii="Times New Roman" w:hAnsi="Times New Roman" w:eastAsia="宋体" w:cs="Times New Roman"/>
                      <w:b w:val="0"/>
                      <w:color w:val="000000"/>
                      <w:sz w:val="21"/>
                      <w:szCs w:val="21"/>
                      <w:highlight w:val="none"/>
                      <w:lang w:eastAsia="zh-CN"/>
                    </w:rPr>
                  </w:pPr>
                  <w:r>
                    <w:rPr>
                      <w:rFonts w:hint="default" w:ascii="Times New Roman" w:hAnsi="Times New Roman" w:cs="Times New Roman"/>
                      <w:b w:val="0"/>
                      <w:color w:val="000000"/>
                      <w:sz w:val="21"/>
                      <w:szCs w:val="21"/>
                      <w:highlight w:val="none"/>
                    </w:rPr>
                    <w:t>75</w:t>
                  </w:r>
                </w:p>
              </w:tc>
              <w:tc>
                <w:tcPr>
                  <w:tcW w:w="5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3404F9">
                  <w:pPr>
                    <w:jc w:val="center"/>
                    <w:rPr>
                      <w:rFonts w:hint="default" w:ascii="Times New Roman" w:hAnsi="Times New Roman" w:cs="Times New Roman"/>
                      <w:b w:val="0"/>
                      <w:color w:val="000000"/>
                      <w:sz w:val="21"/>
                      <w:szCs w:val="21"/>
                      <w:highlight w:val="none"/>
                    </w:rPr>
                  </w:pPr>
                  <w:r>
                    <w:rPr>
                      <w:rFonts w:hint="default" w:ascii="Times New Roman" w:hAnsi="Times New Roman" w:eastAsia="宋体" w:cs="Times New Roman"/>
                      <w:sz w:val="21"/>
                      <w:szCs w:val="21"/>
                      <w:highlight w:val="none"/>
                      <w:lang w:val="en-US" w:eastAsia="zh-CN"/>
                    </w:rPr>
                    <w:t>连续</w:t>
                  </w:r>
                </w:p>
              </w:tc>
              <w:tc>
                <w:tcPr>
                  <w:tcW w:w="11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4F7571">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脱水机房</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534FD8">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厂房隔声、基础减振</w:t>
                  </w:r>
                </w:p>
              </w:tc>
            </w:tr>
            <w:tr w14:paraId="14921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9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8F469C">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超高压压滤机</w:t>
                  </w:r>
                </w:p>
              </w:tc>
              <w:tc>
                <w:tcPr>
                  <w:tcW w:w="9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43E9A7">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2</w:t>
                  </w:r>
                </w:p>
              </w:tc>
              <w:tc>
                <w:tcPr>
                  <w:tcW w:w="7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8C0CF7">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70</w:t>
                  </w:r>
                </w:p>
              </w:tc>
              <w:tc>
                <w:tcPr>
                  <w:tcW w:w="5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E098EE">
                  <w:pPr>
                    <w:jc w:val="center"/>
                    <w:rPr>
                      <w:rFonts w:hint="default" w:ascii="Times New Roman" w:hAnsi="Times New Roman" w:cs="Times New Roman"/>
                      <w:b w:val="0"/>
                      <w:color w:val="000000"/>
                      <w:sz w:val="21"/>
                      <w:szCs w:val="21"/>
                      <w:highlight w:val="none"/>
                    </w:rPr>
                  </w:pPr>
                  <w:r>
                    <w:rPr>
                      <w:rFonts w:hint="default" w:ascii="Times New Roman" w:hAnsi="Times New Roman" w:eastAsia="宋体" w:cs="Times New Roman"/>
                      <w:sz w:val="21"/>
                      <w:szCs w:val="21"/>
                      <w:highlight w:val="none"/>
                      <w:lang w:val="en-US" w:eastAsia="zh-CN"/>
                    </w:rPr>
                    <w:t>连续</w:t>
                  </w:r>
                </w:p>
              </w:tc>
              <w:tc>
                <w:tcPr>
                  <w:tcW w:w="11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38C0A7">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脱水机房</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57E0CE">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厂房隔声、基础减振</w:t>
                  </w:r>
                </w:p>
              </w:tc>
            </w:tr>
            <w:tr w14:paraId="1693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EBEDC">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pacing w:val="-17"/>
                      <w:sz w:val="21"/>
                      <w:szCs w:val="21"/>
                      <w:highlight w:val="none"/>
                    </w:rPr>
                    <w:t>离心风机（除臭）</w:t>
                  </w:r>
                </w:p>
              </w:tc>
              <w:tc>
                <w:tcPr>
                  <w:tcW w:w="9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02C609">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2</w:t>
                  </w:r>
                </w:p>
              </w:tc>
              <w:tc>
                <w:tcPr>
                  <w:tcW w:w="7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8D993">
                  <w:pPr>
                    <w:jc w:val="center"/>
                    <w:rPr>
                      <w:rFonts w:hint="default" w:ascii="Times New Roman" w:hAnsi="Times New Roman" w:eastAsia="宋体" w:cs="Times New Roman"/>
                      <w:b w:val="0"/>
                      <w:color w:val="000000"/>
                      <w:sz w:val="21"/>
                      <w:szCs w:val="21"/>
                      <w:highlight w:val="none"/>
                      <w:lang w:eastAsia="zh-CN"/>
                    </w:rPr>
                  </w:pPr>
                  <w:r>
                    <w:rPr>
                      <w:rFonts w:hint="default" w:ascii="Times New Roman" w:hAnsi="Times New Roman" w:cs="Times New Roman"/>
                      <w:b w:val="0"/>
                      <w:color w:val="000000"/>
                      <w:sz w:val="21"/>
                      <w:szCs w:val="21"/>
                      <w:highlight w:val="none"/>
                    </w:rPr>
                    <w:t>85</w:t>
                  </w:r>
                </w:p>
              </w:tc>
              <w:tc>
                <w:tcPr>
                  <w:tcW w:w="5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D48905">
                  <w:pPr>
                    <w:jc w:val="center"/>
                    <w:rPr>
                      <w:rFonts w:hint="default" w:ascii="Times New Roman" w:hAnsi="Times New Roman" w:cs="Times New Roman"/>
                      <w:b w:val="0"/>
                      <w:color w:val="000000"/>
                      <w:sz w:val="21"/>
                      <w:szCs w:val="21"/>
                      <w:highlight w:val="none"/>
                    </w:rPr>
                  </w:pPr>
                  <w:r>
                    <w:rPr>
                      <w:rFonts w:hint="default" w:ascii="Times New Roman" w:hAnsi="Times New Roman" w:eastAsia="宋体" w:cs="Times New Roman"/>
                      <w:sz w:val="21"/>
                      <w:szCs w:val="21"/>
                      <w:highlight w:val="none"/>
                      <w:lang w:val="en-US" w:eastAsia="zh-CN"/>
                    </w:rPr>
                    <w:t>连续</w:t>
                  </w:r>
                </w:p>
              </w:tc>
              <w:tc>
                <w:tcPr>
                  <w:tcW w:w="11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2AF830">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除臭设备间</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7840A">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厂房隔声、隔音罩、基础减振</w:t>
                  </w:r>
                </w:p>
              </w:tc>
            </w:tr>
            <w:tr w14:paraId="3A25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BF9AB6">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空压机</w:t>
                  </w:r>
                </w:p>
              </w:tc>
              <w:tc>
                <w:tcPr>
                  <w:tcW w:w="9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86CBCF">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1</w:t>
                  </w:r>
                </w:p>
              </w:tc>
              <w:tc>
                <w:tcPr>
                  <w:tcW w:w="7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3048C2">
                  <w:pPr>
                    <w:jc w:val="center"/>
                    <w:rPr>
                      <w:rFonts w:hint="default" w:ascii="Times New Roman" w:hAnsi="Times New Roman" w:eastAsia="宋体" w:cs="Times New Roman"/>
                      <w:b w:val="0"/>
                      <w:color w:val="000000"/>
                      <w:sz w:val="21"/>
                      <w:szCs w:val="21"/>
                      <w:highlight w:val="none"/>
                      <w:lang w:eastAsia="zh-CN"/>
                    </w:rPr>
                  </w:pPr>
                  <w:r>
                    <w:rPr>
                      <w:rFonts w:hint="default" w:ascii="Times New Roman" w:hAnsi="Times New Roman" w:cs="Times New Roman"/>
                      <w:b w:val="0"/>
                      <w:color w:val="000000"/>
                      <w:sz w:val="21"/>
                      <w:szCs w:val="21"/>
                      <w:highlight w:val="none"/>
                    </w:rPr>
                    <w:t>85</w:t>
                  </w:r>
                </w:p>
              </w:tc>
              <w:tc>
                <w:tcPr>
                  <w:tcW w:w="5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4E0E0">
                  <w:pPr>
                    <w:jc w:val="center"/>
                    <w:rPr>
                      <w:rFonts w:hint="default" w:ascii="Times New Roman" w:hAnsi="Times New Roman" w:cs="Times New Roman"/>
                      <w:b w:val="0"/>
                      <w:color w:val="000000"/>
                      <w:sz w:val="21"/>
                      <w:szCs w:val="21"/>
                      <w:highlight w:val="none"/>
                    </w:rPr>
                  </w:pPr>
                  <w:r>
                    <w:rPr>
                      <w:rFonts w:hint="default" w:ascii="Times New Roman" w:hAnsi="Times New Roman" w:eastAsia="宋体" w:cs="Times New Roman"/>
                      <w:sz w:val="21"/>
                      <w:szCs w:val="21"/>
                      <w:highlight w:val="none"/>
                      <w:lang w:val="en-US" w:eastAsia="zh-CN"/>
                    </w:rPr>
                    <w:t>连续</w:t>
                  </w:r>
                </w:p>
              </w:tc>
              <w:tc>
                <w:tcPr>
                  <w:tcW w:w="11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C419B">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脱水机房</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D99AAF">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厂房隔声、基础减振</w:t>
                  </w:r>
                </w:p>
              </w:tc>
            </w:tr>
            <w:tr w14:paraId="0E270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F21E0D">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潜污泵（再生水提升）</w:t>
                  </w:r>
                </w:p>
              </w:tc>
              <w:tc>
                <w:tcPr>
                  <w:tcW w:w="9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83B7D">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2（1用1备）</w:t>
                  </w:r>
                </w:p>
              </w:tc>
              <w:tc>
                <w:tcPr>
                  <w:tcW w:w="7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983CD">
                  <w:pPr>
                    <w:jc w:val="center"/>
                    <w:rPr>
                      <w:rFonts w:hint="default" w:ascii="Times New Roman" w:hAnsi="Times New Roman" w:eastAsia="宋体" w:cs="Times New Roman"/>
                      <w:b w:val="0"/>
                      <w:color w:val="000000"/>
                      <w:sz w:val="21"/>
                      <w:szCs w:val="21"/>
                      <w:highlight w:val="none"/>
                      <w:lang w:eastAsia="zh-CN"/>
                    </w:rPr>
                  </w:pPr>
                  <w:r>
                    <w:rPr>
                      <w:rFonts w:hint="default" w:ascii="Times New Roman" w:hAnsi="Times New Roman" w:cs="Times New Roman"/>
                      <w:b w:val="0"/>
                      <w:color w:val="000000"/>
                      <w:sz w:val="21"/>
                      <w:szCs w:val="21"/>
                      <w:highlight w:val="none"/>
                    </w:rPr>
                    <w:t>75</w:t>
                  </w:r>
                </w:p>
              </w:tc>
              <w:tc>
                <w:tcPr>
                  <w:tcW w:w="5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296C4">
                  <w:pPr>
                    <w:jc w:val="center"/>
                    <w:rPr>
                      <w:rFonts w:hint="default" w:ascii="Times New Roman" w:hAnsi="Times New Roman" w:cs="Times New Roman"/>
                      <w:b w:val="0"/>
                      <w:color w:val="000000"/>
                      <w:sz w:val="21"/>
                      <w:szCs w:val="21"/>
                      <w:highlight w:val="none"/>
                    </w:rPr>
                  </w:pPr>
                  <w:r>
                    <w:rPr>
                      <w:rFonts w:hint="default" w:ascii="Times New Roman" w:hAnsi="Times New Roman" w:eastAsia="宋体" w:cs="Times New Roman"/>
                      <w:sz w:val="21"/>
                      <w:szCs w:val="21"/>
                      <w:highlight w:val="none"/>
                      <w:lang w:val="en-US" w:eastAsia="zh-CN"/>
                    </w:rPr>
                    <w:t>连续</w:t>
                  </w:r>
                </w:p>
              </w:tc>
              <w:tc>
                <w:tcPr>
                  <w:tcW w:w="11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76B2D1">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再生水提升泵池</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F92C50">
                  <w:pPr>
                    <w:jc w:val="center"/>
                    <w:rPr>
                      <w:rFonts w:hint="default" w:ascii="Times New Roman" w:hAnsi="Times New Roman" w:cs="Times New Roman"/>
                      <w:b w:val="0"/>
                      <w:color w:val="000000"/>
                      <w:sz w:val="21"/>
                      <w:szCs w:val="21"/>
                      <w:highlight w:val="none"/>
                    </w:rPr>
                  </w:pPr>
                  <w:r>
                    <w:rPr>
                      <w:rFonts w:hint="default" w:ascii="Times New Roman" w:hAnsi="Times New Roman" w:cs="Times New Roman"/>
                      <w:b w:val="0"/>
                      <w:color w:val="000000"/>
                      <w:sz w:val="21"/>
                      <w:szCs w:val="21"/>
                      <w:highlight w:val="none"/>
                    </w:rPr>
                    <w:t>水下安装、建筑隔声</w:t>
                  </w:r>
                </w:p>
              </w:tc>
            </w:tr>
          </w:tbl>
          <w:p w14:paraId="512D14EC">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pPr>
            <w:r>
              <w:rPr>
                <w:rFonts w:hint="eastAsia"/>
                <w:sz w:val="24"/>
                <w:szCs w:val="24"/>
              </w:rPr>
              <w:t>4.</w:t>
            </w:r>
            <w:r>
              <w:rPr>
                <w:rFonts w:hint="eastAsia"/>
                <w:sz w:val="24"/>
                <w:szCs w:val="24"/>
                <w:lang w:val="en-US" w:eastAsia="zh-CN"/>
              </w:rPr>
              <w:t>2.</w:t>
            </w:r>
            <w:r>
              <w:rPr>
                <w:rFonts w:hint="eastAsia"/>
                <w:sz w:val="24"/>
                <w:szCs w:val="24"/>
              </w:rPr>
              <w:t>3.2治理措施</w:t>
            </w:r>
          </w:p>
          <w:p w14:paraId="262962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本项目运营期噪声主要来自各类水泵、鼓风机、压滤机等设备。为最大程度降低噪声对周边环境的影响，参照同类污水处理厂项目噪声污染防治经验，本评价要求从源头控制、传播途径控制和日常管理三个方面采取以下综合治理措施：</w:t>
            </w:r>
          </w:p>
          <w:p w14:paraId="1ADFE154">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（一）源头控制措施</w:t>
            </w:r>
          </w:p>
          <w:p w14:paraId="729E9D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优选低噪声设备：在设备选型上优先选用高效节能、低噪声的先进设备。水泵选用低噪声的潜污泵，风机选用低速多级离心风机或磁悬浮离心鼓风机；压滤机、搅拌机等设备选用低噪声型号。从源头上降低噪声源的强度。</w:t>
            </w:r>
          </w:p>
          <w:p w14:paraId="24FCAB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合理布局：按照“闹静分开”的原则进行厂区平面布置，将高噪声设备集中布置在专用设备机房内，尽可能布置在厂区中央，远离厂界，以减轻对外界环境的影响。</w:t>
            </w:r>
          </w:p>
          <w:p w14:paraId="1F2573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设备基础减振：所有转动设备（泵类、风机、压滤机等）安装时在设备与基础之间加装减振元件，如减震器、橡胶隔振垫等，并设置防振沟。水泵吸水管和出水管上加设可曲绕橡胶接头以减振。大型设备均安装减震座垫。</w:t>
            </w:r>
          </w:p>
          <w:p w14:paraId="42821A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管道柔性连接：管道、阀门接口采用缓动及减振的挠性接头（口），可有效阻断噪音并防止振动的传播。</w:t>
            </w:r>
          </w:p>
          <w:p w14:paraId="623AD2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（二）传播途径控制措施</w:t>
            </w:r>
          </w:p>
          <w:p w14:paraId="64AAF1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风机类设备消声：鼓风机、空压机等设备的进、出气口设阻抗复合式消声器，消声量为20dB以上。风机安装减振底座。</w:t>
            </w:r>
          </w:p>
          <w:p w14:paraId="381B5B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高噪声设备隔声：对鼓风机、空压机等高噪声设备设置隔声罩，将周边噪声降到75dB以下。空压机房采取减振、隔音、地下廊道式送风等措施。空压机房噪声较大时，应设置隔声操作室保护操作人员。</w:t>
            </w:r>
          </w:p>
          <w:p w14:paraId="4F74A9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厂房隔声：高噪声设备均布置在室内，利用厂房围护结构隔声。鼓风机房墙体采用实体墙并设置隔音门窗，门窗应保证在关闭状态下运行。鼓风机房内安装吸音板等吸声材料，采用消声门窗。污水泵房工作时应关闭门窗，泵房内采用隔音、吸音材料装饰墙体。</w:t>
            </w:r>
          </w:p>
          <w:p w14:paraId="35E560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设备隔音罩：对单台高噪声设备（如风机）可采取隔声罩措施，把周边噪声降到75dB以下。</w:t>
            </w:r>
          </w:p>
          <w:p w14:paraId="3C278E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厂区绿化降噪：搞好厂区绿化，在厂区周围和厂区内道路两侧、构（建）筑物周围种植高大乔木和灌木相结合的绿化带，绿化带宽度不宜小于5米。沿厂区围墙内外侧布置吸抗性强的灌木树种，形成绿色屏障，既美化环境又能减轻声污染。</w:t>
            </w:r>
          </w:p>
          <w:p w14:paraId="533364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（三）日常管理措施</w:t>
            </w:r>
          </w:p>
          <w:p w14:paraId="2D2F4B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定期检修维护：加强对各类机械设备及其降噪设备的定期检查、维护和管理，适时添加润滑油防止机械磨损。设备出现故障要及时更换，减少因设备不正常运转产生的异常噪声。</w:t>
            </w:r>
          </w:p>
          <w:p w14:paraId="1C023A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设备保养制度：建立设备保养台账，对水泵、风机、压滤机等主要噪声源设备制定详细的维护保养计划。定期对减振装置、消声器、隔声罩等降噪设施进行检查和维护，确保其持续高效稳定运行。</w:t>
            </w:r>
          </w:p>
          <w:p w14:paraId="3754AC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人员培训：污水处理厂投入运行前，对操作人员进行专业化培训，并进行定期考核。组织专业技术人员提前进岗，参与设备安装、调试和验收的全过程，为今后的正常运行管理奠定基础。</w:t>
            </w:r>
          </w:p>
          <w:p w14:paraId="3F88CF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车辆管理：加强进出车辆管理，厂区内限速行驶，禁止随意鸣笛。</w:t>
            </w:r>
          </w:p>
          <w:p w14:paraId="414ED2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运行时间管理：合理安排高噪声设备的运行时间，避免多台高噪声设备同时集中运行。</w:t>
            </w:r>
          </w:p>
          <w:p w14:paraId="0AA7A7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噪声监测：按照《排污单位自行监测技术指南 水处理》（HJ 10832020）要求，定期对厂界噪声进行监测，若出现超标现象，应制定相应的改善目标、指标及实施方案。</w:t>
            </w:r>
          </w:p>
          <w:p w14:paraId="6BB59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员工防护：对长时间在高噪声环境中作业的操作人员，应配备耳塞、耳罩等个人防护用品，并在高噪声车间设置隔声操作室或值班室。</w:t>
            </w:r>
          </w:p>
          <w:p w14:paraId="2E1169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在严格落实上述噪声防治措施后，项目各厂界噪声贡献值可满足《工业企业厂界环境噪声排放标准》（GB123482008）3类标准要求。</w:t>
            </w:r>
          </w:p>
          <w:p w14:paraId="39B9D4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2.</w:t>
            </w:r>
            <w:r>
              <w:rPr>
                <w:rFonts w:hint="eastAsia"/>
                <w:sz w:val="24"/>
                <w:szCs w:val="24"/>
              </w:rPr>
              <w:t>3.</w:t>
            </w:r>
            <w:r>
              <w:rPr>
                <w:rFonts w:hint="eastAsia"/>
                <w:sz w:val="24"/>
                <w:szCs w:val="24"/>
                <w:lang w:val="en-US" w:eastAsia="zh-CN"/>
              </w:rPr>
              <w:t>3</w:t>
            </w:r>
            <w:r>
              <w:rPr>
                <w:rFonts w:hint="eastAsia"/>
                <w:sz w:val="24"/>
                <w:szCs w:val="24"/>
              </w:rPr>
              <w:t>噪声预测分析</w:t>
            </w:r>
          </w:p>
          <w:p w14:paraId="39F1D505">
            <w:pPr>
              <w:pStyle w:val="7"/>
              <w:bidi w:val="0"/>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根据《环境影响评价技术导则声环境》</w:t>
            </w:r>
            <w:r>
              <w:rPr>
                <w:rFonts w:hint="eastAsia" w:ascii="Times New Roman" w:cs="Times New Roman"/>
                <w:spacing w:val="1"/>
                <w:sz w:val="24"/>
                <w:szCs w:val="24"/>
                <w:lang w:eastAsia="zh-CN"/>
              </w:rPr>
              <w:t>（</w:t>
            </w:r>
            <w:r>
              <w:rPr>
                <w:rFonts w:hint="default" w:ascii="Times New Roman" w:hAnsi="Times New Roman" w:eastAsia="宋体" w:cs="Times New Roman"/>
                <w:sz w:val="24"/>
                <w:szCs w:val="24"/>
              </w:rPr>
              <w:t>HJ</w:t>
            </w:r>
            <w:r>
              <w:rPr>
                <w:rFonts w:hint="default" w:ascii="Times New Roman" w:hAnsi="Times New Roman" w:eastAsia="宋体" w:cs="Times New Roman"/>
                <w:spacing w:val="1"/>
                <w:sz w:val="24"/>
                <w:szCs w:val="24"/>
              </w:rPr>
              <w:t>2.4-2021</w:t>
            </w:r>
            <w:r>
              <w:rPr>
                <w:rFonts w:hint="eastAsia" w:ascii="Times New Roman" w:cs="Times New Roman"/>
                <w:spacing w:val="1"/>
                <w:sz w:val="24"/>
                <w:szCs w:val="24"/>
                <w:lang w:eastAsia="zh-CN"/>
              </w:rPr>
              <w:t>）</w:t>
            </w:r>
            <w:r>
              <w:rPr>
                <w:rFonts w:hint="default" w:ascii="Times New Roman" w:hAnsi="Times New Roman" w:eastAsia="宋体" w:cs="Times New Roman"/>
                <w:spacing w:val="1"/>
                <w:sz w:val="24"/>
                <w:szCs w:val="24"/>
              </w:rPr>
              <w:t>中推荐的预测方法，对本项目</w:t>
            </w:r>
            <w:r>
              <w:rPr>
                <w:rFonts w:hint="default" w:ascii="Times New Roman" w:hAnsi="Times New Roman" w:eastAsia="宋体" w:cs="Times New Roman"/>
                <w:sz w:val="24"/>
                <w:szCs w:val="24"/>
              </w:rPr>
              <w:t>产生的噪声进行影响预测。</w:t>
            </w:r>
          </w:p>
          <w:p w14:paraId="3CC1F710">
            <w:pPr>
              <w:pStyle w:val="22"/>
              <w:keepNext w:val="0"/>
              <w:keepLines w:val="0"/>
              <w:pageBreakBefore w:val="0"/>
              <w:kinsoku/>
              <w:wordWrap/>
              <w:overflowPunct/>
              <w:topLinePunct w:val="0"/>
              <w:autoSpaceDE/>
              <w:autoSpaceDN/>
              <w:bidi w:val="0"/>
              <w:adjustRightInd/>
              <w:snapToGrid/>
              <w:spacing w:line="360" w:lineRule="auto"/>
              <w:ind w:left="0" w:right="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以预测点为原点，选择一个坐标系，确定各噪声源位置</w:t>
            </w:r>
            <w:r>
              <w:rPr>
                <w:rFonts w:hint="default" w:ascii="Times New Roman" w:hAnsi="Times New Roman" w:eastAsia="宋体" w:cs="Times New Roman"/>
                <w:spacing w:val="-1"/>
                <w:sz w:val="24"/>
                <w:szCs w:val="24"/>
              </w:rPr>
              <w:t>，并测量各噪声源到预测点的</w:t>
            </w:r>
            <w:r>
              <w:rPr>
                <w:rFonts w:hint="default" w:ascii="Times New Roman" w:hAnsi="Times New Roman" w:eastAsia="宋体" w:cs="Times New Roman"/>
                <w:sz w:val="24"/>
                <w:szCs w:val="24"/>
              </w:rPr>
              <w:t xml:space="preserve"> 距离，将各噪声源视为半自由状态噪声源，按声能量在空气传播</w:t>
            </w:r>
            <w:r>
              <w:rPr>
                <w:rFonts w:hint="default" w:ascii="Times New Roman" w:hAnsi="Times New Roman" w:eastAsia="宋体" w:cs="Times New Roman"/>
                <w:spacing w:val="-1"/>
                <w:sz w:val="24"/>
                <w:szCs w:val="24"/>
              </w:rPr>
              <w:t>中衰减模式可计算出某噪</w:t>
            </w:r>
            <w:r>
              <w:rPr>
                <w:rFonts w:hint="default" w:ascii="Times New Roman" w:hAnsi="Times New Roman" w:eastAsia="宋体" w:cs="Times New Roman"/>
                <w:sz w:val="24"/>
                <w:szCs w:val="24"/>
              </w:rPr>
              <w:t xml:space="preserve"> </w:t>
            </w:r>
            <w:r>
              <w:rPr>
                <w:rFonts w:hint="default" w:ascii="Times New Roman" w:hAnsi="Times New Roman" w:eastAsia="宋体" w:cs="Times New Roman"/>
                <w:spacing w:val="-1"/>
                <w:sz w:val="24"/>
                <w:szCs w:val="24"/>
              </w:rPr>
              <w:t>声源在预测点的声压级，预测模式如下。</w:t>
            </w:r>
          </w:p>
          <w:p w14:paraId="525A9003">
            <w:pPr>
              <w:pStyle w:val="22"/>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①室外噪声源</w:t>
            </w:r>
          </w:p>
          <w:p w14:paraId="359CC97A">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kern w:val="2"/>
                <w:sz w:val="24"/>
                <w:szCs w:val="24"/>
                <w:lang w:val="en-US" w:eastAsia="zh-CN" w:bidi="ar-SA"/>
              </w:rPr>
              <w:t>a.</w:t>
            </w:r>
            <w:r>
              <w:rPr>
                <w:rFonts w:hint="default" w:ascii="Times New Roman" w:hAnsi="Times New Roman" w:eastAsia="宋体" w:cs="Times New Roman"/>
                <w:sz w:val="24"/>
                <w:szCs w:val="24"/>
              </w:rPr>
              <w:t>根据声源声功率级或参考位置处的声压级、户外声传播衰减，计算预测点的声</w:t>
            </w:r>
            <w:r>
              <w:rPr>
                <w:rFonts w:hint="default" w:ascii="Times New Roman" w:hAnsi="Times New Roman" w:eastAsia="宋体" w:cs="Times New Roman"/>
                <w:spacing w:val="-1"/>
                <w:sz w:val="24"/>
                <w:szCs w:val="24"/>
              </w:rPr>
              <w:t>级，</w:t>
            </w:r>
            <w:r>
              <w:rPr>
                <w:rFonts w:hint="default" w:ascii="Times New Roman" w:hAnsi="Times New Roman" w:eastAsia="宋体" w:cs="Times New Roman"/>
                <w:sz w:val="24"/>
                <w:szCs w:val="24"/>
              </w:rPr>
              <w:t>分别按式</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A.1</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或式</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A.2</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计算</w:t>
            </w:r>
          </w:p>
          <w:p w14:paraId="0A3AD5DA">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drawing>
                <wp:inline distT="0" distB="0" distL="114300" distR="114300">
                  <wp:extent cx="4773295" cy="236855"/>
                  <wp:effectExtent l="0" t="0" r="8255" b="10795"/>
                  <wp:docPr id="93" name="图片 2" descr="1781691357733_5E214E59-F491-4098-B359-7BE2977E65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2" descr="1781691357733_5E214E59-F491-4098-B359-7BE2977E65CA"/>
                          <pic:cNvPicPr>
                            <a:picLocks noChangeAspect="1"/>
                          </pic:cNvPicPr>
                        </pic:nvPicPr>
                        <pic:blipFill>
                          <a:blip r:embed="rId17"/>
                          <a:stretch>
                            <a:fillRect/>
                          </a:stretch>
                        </pic:blipFill>
                        <pic:spPr>
                          <a:xfrm>
                            <a:off x="0" y="0"/>
                            <a:ext cx="4773295" cy="236855"/>
                          </a:xfrm>
                          <a:prstGeom prst="rect">
                            <a:avLst/>
                          </a:prstGeom>
                          <a:noFill/>
                          <a:ln>
                            <a:noFill/>
                          </a:ln>
                        </pic:spPr>
                      </pic:pic>
                    </a:graphicData>
                  </a:graphic>
                </wp:inline>
              </w:drawing>
            </w:r>
          </w:p>
          <w:p w14:paraId="5E5D9D8B">
            <w:pPr>
              <w:pStyle w:val="22"/>
              <w:keepNext w:val="0"/>
              <w:keepLines w:val="0"/>
              <w:pageBreakBefore w:val="0"/>
              <w:kinsoku/>
              <w:wordWrap/>
              <w:overflowPunct/>
              <w:topLinePunct w:val="0"/>
              <w:autoSpaceDE/>
              <w:autoSpaceDN/>
              <w:bidi w:val="0"/>
              <w:adjustRightInd/>
              <w:snapToGrid/>
              <w:spacing w:line="360" w:lineRule="auto"/>
              <w:ind w:left="0" w:right="0" w:firstLine="484" w:firstLineChars="200"/>
              <w:textAlignment w:val="auto"/>
              <w:rPr>
                <w:rFonts w:hint="default" w:ascii="Times New Roman" w:hAnsi="Times New Roman" w:eastAsia="宋体" w:cs="Times New Roman"/>
                <w:spacing w:val="1"/>
                <w:sz w:val="24"/>
                <w:szCs w:val="24"/>
                <w:lang w:val="en-US" w:eastAsia="zh-CN"/>
              </w:rPr>
            </w:pPr>
            <w:r>
              <w:rPr>
                <w:rFonts w:hint="default" w:ascii="Times New Roman" w:hAnsi="Times New Roman" w:eastAsia="宋体" w:cs="Times New Roman"/>
                <w:spacing w:val="1"/>
                <w:sz w:val="24"/>
                <w:szCs w:val="24"/>
                <w:lang w:val="en-US" w:eastAsia="zh-CN"/>
              </w:rPr>
              <w:t>式中：</w:t>
            </w:r>
            <w:r>
              <w:rPr>
                <w:rFonts w:hint="default" w:ascii="Times New Roman" w:hAnsi="Times New Roman" w:eastAsia="宋体" w:cs="Times New Roman"/>
                <w:i/>
                <w:iCs/>
                <w:spacing w:val="1"/>
                <w:sz w:val="24"/>
                <w:szCs w:val="24"/>
                <w:lang w:val="en-US" w:eastAsia="zh-CN"/>
              </w:rPr>
              <w:t>Lp</w:t>
            </w:r>
            <w:r>
              <w:rPr>
                <w:rFonts w:hint="eastAsia" w:ascii="Times New Roman" w:hAnsi="Times New Roman" w:cs="Times New Roman"/>
                <w:spacing w:val="1"/>
                <w:sz w:val="24"/>
                <w:szCs w:val="24"/>
                <w:lang w:val="en-US" w:eastAsia="zh-CN"/>
              </w:rPr>
              <w:t>（</w:t>
            </w:r>
            <w:r>
              <w:rPr>
                <w:rFonts w:hint="default" w:ascii="Times New Roman" w:hAnsi="Times New Roman" w:eastAsia="宋体" w:cs="Times New Roman"/>
                <w:spacing w:val="1"/>
                <w:sz w:val="24"/>
                <w:szCs w:val="24"/>
                <w:lang w:val="en-US" w:eastAsia="zh-CN"/>
              </w:rPr>
              <w:t>r</w:t>
            </w:r>
            <w:r>
              <w:rPr>
                <w:rFonts w:hint="eastAsia" w:ascii="Times New Roman" w:hAnsi="Times New Roman" w:cs="Times New Roman"/>
                <w:spacing w:val="1"/>
                <w:sz w:val="24"/>
                <w:szCs w:val="24"/>
                <w:lang w:val="en-US" w:eastAsia="zh-CN"/>
              </w:rPr>
              <w:t>）</w:t>
            </w:r>
            <w:r>
              <w:rPr>
                <w:rFonts w:hint="default" w:ascii="Times New Roman" w:hAnsi="Times New Roman" w:eastAsia="宋体" w:cs="Times New Roman"/>
                <w:spacing w:val="1"/>
                <w:sz w:val="24"/>
                <w:szCs w:val="24"/>
                <w:lang w:val="en-US" w:eastAsia="zh-CN"/>
              </w:rPr>
              <w:t>——点声源在预测点产生的倍频带声压级；</w:t>
            </w:r>
          </w:p>
          <w:p w14:paraId="1E9582D7">
            <w:pPr>
              <w:pStyle w:val="22"/>
              <w:keepNext w:val="0"/>
              <w:keepLines w:val="0"/>
              <w:pageBreakBefore w:val="0"/>
              <w:kinsoku/>
              <w:wordWrap/>
              <w:overflowPunct/>
              <w:topLinePunct w:val="0"/>
              <w:autoSpaceDE/>
              <w:autoSpaceDN/>
              <w:bidi w:val="0"/>
              <w:adjustRightInd/>
              <w:snapToGrid/>
              <w:spacing w:line="360" w:lineRule="auto"/>
              <w:ind w:left="0" w:right="0" w:firstLine="484" w:firstLineChars="200"/>
              <w:textAlignment w:val="auto"/>
              <w:rPr>
                <w:rFonts w:hint="default" w:ascii="Times New Roman" w:hAnsi="Times New Roman" w:eastAsia="宋体" w:cs="Times New Roman"/>
                <w:spacing w:val="1"/>
                <w:sz w:val="24"/>
                <w:szCs w:val="24"/>
                <w:lang w:val="en-US" w:eastAsia="zh-CN"/>
              </w:rPr>
            </w:pPr>
            <w:r>
              <w:rPr>
                <w:rFonts w:hint="default" w:ascii="Times New Roman" w:hAnsi="Times New Roman" w:eastAsia="宋体" w:cs="Times New Roman"/>
                <w:i/>
                <w:iCs/>
                <w:spacing w:val="1"/>
                <w:sz w:val="24"/>
                <w:szCs w:val="24"/>
                <w:lang w:val="en-US" w:eastAsia="zh-CN"/>
              </w:rPr>
              <w:t>L</w:t>
            </w:r>
            <w:r>
              <w:rPr>
                <w:rFonts w:hint="default" w:ascii="Times New Roman" w:hAnsi="Times New Roman" w:eastAsia="宋体" w:cs="Times New Roman"/>
                <w:spacing w:val="1"/>
                <w:sz w:val="24"/>
                <w:szCs w:val="24"/>
                <w:lang w:val="en-US" w:eastAsia="zh-CN"/>
              </w:rPr>
              <w:t>w——由点声源产生的声功率级</w:t>
            </w:r>
            <w:r>
              <w:rPr>
                <w:rFonts w:hint="eastAsia" w:ascii="Times New Roman" w:hAnsi="Times New Roman" w:cs="Times New Roman"/>
                <w:spacing w:val="1"/>
                <w:sz w:val="24"/>
                <w:szCs w:val="24"/>
                <w:lang w:val="en-US" w:eastAsia="zh-CN"/>
              </w:rPr>
              <w:t>（</w:t>
            </w:r>
            <w:r>
              <w:rPr>
                <w:rFonts w:hint="default" w:ascii="Times New Roman" w:hAnsi="Times New Roman" w:eastAsia="宋体" w:cs="Times New Roman"/>
                <w:spacing w:val="1"/>
                <w:sz w:val="24"/>
                <w:szCs w:val="24"/>
                <w:lang w:val="en-US" w:eastAsia="zh-CN"/>
              </w:rPr>
              <w:t>A计权或倍频带</w:t>
            </w:r>
            <w:r>
              <w:rPr>
                <w:rFonts w:hint="eastAsia" w:ascii="Times New Roman" w:hAnsi="Times New Roman" w:cs="Times New Roman"/>
                <w:spacing w:val="1"/>
                <w:sz w:val="24"/>
                <w:szCs w:val="24"/>
                <w:lang w:val="en-US" w:eastAsia="zh-CN"/>
              </w:rPr>
              <w:t>）</w:t>
            </w:r>
            <w:r>
              <w:rPr>
                <w:rFonts w:hint="default" w:ascii="Times New Roman" w:hAnsi="Times New Roman" w:eastAsia="宋体" w:cs="Times New Roman"/>
                <w:spacing w:val="1"/>
                <w:sz w:val="24"/>
                <w:szCs w:val="24"/>
                <w:lang w:val="en-US" w:eastAsia="zh-CN"/>
              </w:rPr>
              <w:t>,dB;</w:t>
            </w:r>
          </w:p>
          <w:p w14:paraId="0DA49E50">
            <w:pPr>
              <w:pStyle w:val="22"/>
              <w:keepNext w:val="0"/>
              <w:keepLines w:val="0"/>
              <w:pageBreakBefore w:val="0"/>
              <w:kinsoku/>
              <w:wordWrap/>
              <w:overflowPunct/>
              <w:topLinePunct w:val="0"/>
              <w:autoSpaceDE/>
              <w:autoSpaceDN/>
              <w:bidi w:val="0"/>
              <w:adjustRightInd/>
              <w:snapToGrid/>
              <w:spacing w:line="360" w:lineRule="auto"/>
              <w:ind w:left="0" w:right="0" w:firstLine="484" w:firstLineChars="200"/>
              <w:textAlignment w:val="auto"/>
              <w:rPr>
                <w:rFonts w:hint="default" w:ascii="Times New Roman" w:hAnsi="Times New Roman" w:eastAsia="宋体" w:cs="Times New Roman"/>
                <w:spacing w:val="1"/>
                <w:sz w:val="24"/>
                <w:szCs w:val="24"/>
                <w:lang w:val="en-US" w:eastAsia="zh-CN"/>
              </w:rPr>
            </w:pPr>
            <w:r>
              <w:rPr>
                <w:rFonts w:hint="default" w:ascii="Times New Roman" w:hAnsi="Times New Roman" w:eastAsia="宋体" w:cs="Times New Roman"/>
                <w:i/>
                <w:iCs/>
                <w:spacing w:val="1"/>
                <w:sz w:val="24"/>
                <w:szCs w:val="24"/>
                <w:lang w:val="en-US" w:eastAsia="zh-CN"/>
              </w:rPr>
              <w:t>D</w:t>
            </w:r>
            <w:r>
              <w:rPr>
                <w:rFonts w:hint="default" w:ascii="Times New Roman" w:hAnsi="Times New Roman" w:eastAsia="宋体" w:cs="Times New Roman"/>
                <w:spacing w:val="1"/>
                <w:sz w:val="24"/>
                <w:szCs w:val="24"/>
                <w:lang w:val="en-US" w:eastAsia="zh-CN"/>
              </w:rPr>
              <w:t>c——指向性校正，它描述点声源的等效连续声压级与产生声功率级</w:t>
            </w:r>
            <w:r>
              <w:rPr>
                <w:rFonts w:hint="default" w:ascii="Times New Roman" w:hAnsi="Times New Roman" w:eastAsia="宋体" w:cs="Times New Roman"/>
                <w:i/>
                <w:iCs/>
                <w:spacing w:val="1"/>
                <w:sz w:val="24"/>
                <w:szCs w:val="24"/>
                <w:lang w:val="en-US" w:eastAsia="zh-CN"/>
              </w:rPr>
              <w:t>L</w:t>
            </w:r>
            <w:r>
              <w:rPr>
                <w:rFonts w:hint="default" w:ascii="Times New Roman" w:hAnsi="Times New Roman" w:eastAsia="宋体" w:cs="Times New Roman"/>
                <w:spacing w:val="1"/>
                <w:sz w:val="24"/>
                <w:szCs w:val="24"/>
                <w:lang w:val="en-US" w:eastAsia="zh-CN"/>
              </w:rPr>
              <w:t>w的全向点声源在规定方向的声级的偏差程度</w:t>
            </w:r>
            <w:r>
              <w:rPr>
                <w:rFonts w:hint="eastAsia" w:ascii="Times New Roman" w:hAnsi="Times New Roman" w:eastAsia="宋体" w:cs="Times New Roman"/>
                <w:spacing w:val="1"/>
                <w:sz w:val="24"/>
                <w:szCs w:val="24"/>
                <w:lang w:val="en-US" w:eastAsia="zh-CN"/>
              </w:rPr>
              <w:t>，</w:t>
            </w:r>
            <w:r>
              <w:rPr>
                <w:rFonts w:hint="default" w:ascii="Times New Roman" w:hAnsi="Times New Roman" w:eastAsia="宋体" w:cs="Times New Roman"/>
                <w:spacing w:val="1"/>
                <w:sz w:val="24"/>
                <w:szCs w:val="24"/>
                <w:lang w:val="en-US" w:eastAsia="zh-CN"/>
              </w:rPr>
              <w:t>dB</w:t>
            </w:r>
            <w:r>
              <w:rPr>
                <w:rFonts w:hint="eastAsia" w:ascii="Times New Roman" w:hAnsi="Times New Roman" w:eastAsia="宋体" w:cs="Times New Roman"/>
                <w:spacing w:val="1"/>
                <w:sz w:val="24"/>
                <w:szCs w:val="24"/>
                <w:lang w:val="en-US" w:eastAsia="zh-CN"/>
              </w:rPr>
              <w:t>；</w:t>
            </w:r>
          </w:p>
          <w:p w14:paraId="3FCC77D6">
            <w:pPr>
              <w:pStyle w:val="22"/>
              <w:keepNext w:val="0"/>
              <w:keepLines w:val="0"/>
              <w:pageBreakBefore w:val="0"/>
              <w:kinsoku/>
              <w:wordWrap/>
              <w:overflowPunct/>
              <w:topLinePunct w:val="0"/>
              <w:autoSpaceDE/>
              <w:autoSpaceDN/>
              <w:bidi w:val="0"/>
              <w:adjustRightInd/>
              <w:snapToGrid/>
              <w:spacing w:line="360" w:lineRule="auto"/>
              <w:ind w:left="0" w:right="0" w:firstLine="484" w:firstLineChars="200"/>
              <w:textAlignment w:val="auto"/>
              <w:rPr>
                <w:rFonts w:hint="default" w:ascii="Times New Roman" w:hAnsi="Times New Roman" w:eastAsia="宋体" w:cs="Times New Roman"/>
                <w:spacing w:val="1"/>
                <w:sz w:val="24"/>
                <w:szCs w:val="24"/>
                <w:lang w:val="en-US" w:eastAsia="zh-CN"/>
              </w:rPr>
            </w:pPr>
            <w:r>
              <w:rPr>
                <w:rFonts w:hint="default" w:ascii="Times New Roman" w:hAnsi="Times New Roman" w:eastAsia="宋体" w:cs="Times New Roman"/>
                <w:i/>
                <w:iCs/>
                <w:spacing w:val="1"/>
                <w:sz w:val="24"/>
                <w:szCs w:val="24"/>
                <w:lang w:val="en-US" w:eastAsia="zh-CN"/>
              </w:rPr>
              <w:t>A</w:t>
            </w:r>
            <w:r>
              <w:rPr>
                <w:rFonts w:hint="default" w:ascii="Times New Roman" w:hAnsi="Times New Roman" w:eastAsia="宋体" w:cs="Times New Roman"/>
                <w:spacing w:val="1"/>
                <w:sz w:val="24"/>
                <w:szCs w:val="24"/>
                <w:vertAlign w:val="subscript"/>
                <w:lang w:val="en-US" w:eastAsia="zh-CN"/>
              </w:rPr>
              <w:t>div</w:t>
            </w:r>
            <w:r>
              <w:rPr>
                <w:rFonts w:hint="default" w:ascii="Times New Roman" w:hAnsi="Times New Roman" w:eastAsia="宋体" w:cs="Times New Roman"/>
                <w:spacing w:val="1"/>
                <w:sz w:val="24"/>
                <w:szCs w:val="24"/>
                <w:lang w:val="en-US" w:eastAsia="zh-CN"/>
              </w:rPr>
              <w:t>——几何发散引起的衰减，dB</w:t>
            </w:r>
            <w:r>
              <w:rPr>
                <w:rFonts w:hint="eastAsia" w:ascii="Times New Roman" w:hAnsi="Times New Roman" w:eastAsia="宋体" w:cs="Times New Roman"/>
                <w:spacing w:val="1"/>
                <w:sz w:val="24"/>
                <w:szCs w:val="24"/>
                <w:lang w:val="en-US" w:eastAsia="zh-CN"/>
              </w:rPr>
              <w:t>；</w:t>
            </w:r>
          </w:p>
          <w:p w14:paraId="0A6F73E1">
            <w:pPr>
              <w:pStyle w:val="22"/>
              <w:keepNext w:val="0"/>
              <w:keepLines w:val="0"/>
              <w:pageBreakBefore w:val="0"/>
              <w:kinsoku/>
              <w:wordWrap/>
              <w:overflowPunct/>
              <w:topLinePunct w:val="0"/>
              <w:autoSpaceDE/>
              <w:autoSpaceDN/>
              <w:bidi w:val="0"/>
              <w:adjustRightInd/>
              <w:snapToGrid/>
              <w:spacing w:line="360" w:lineRule="auto"/>
              <w:ind w:left="0" w:right="0" w:firstLine="484" w:firstLineChars="200"/>
              <w:textAlignment w:val="auto"/>
              <w:rPr>
                <w:rFonts w:hint="default" w:ascii="Times New Roman" w:hAnsi="Times New Roman" w:eastAsia="宋体" w:cs="Times New Roman"/>
                <w:spacing w:val="1"/>
                <w:sz w:val="24"/>
                <w:szCs w:val="24"/>
                <w:lang w:val="en-US" w:eastAsia="zh-CN"/>
              </w:rPr>
            </w:pPr>
            <w:r>
              <w:rPr>
                <w:rFonts w:hint="default" w:ascii="Times New Roman" w:hAnsi="Times New Roman" w:eastAsia="宋体" w:cs="Times New Roman"/>
                <w:i/>
                <w:iCs/>
                <w:spacing w:val="1"/>
                <w:sz w:val="24"/>
                <w:szCs w:val="24"/>
                <w:lang w:val="en-US" w:eastAsia="zh-CN"/>
              </w:rPr>
              <w:t>A</w:t>
            </w:r>
            <w:r>
              <w:rPr>
                <w:rFonts w:hint="default" w:ascii="Times New Roman" w:hAnsi="Times New Roman" w:eastAsia="宋体" w:cs="Times New Roman"/>
                <w:spacing w:val="1"/>
                <w:sz w:val="24"/>
                <w:szCs w:val="24"/>
                <w:vertAlign w:val="subscript"/>
                <w:lang w:val="en-US" w:eastAsia="zh-CN"/>
              </w:rPr>
              <w:t>atm</w:t>
            </w:r>
            <w:r>
              <w:rPr>
                <w:rFonts w:hint="default" w:ascii="Times New Roman" w:hAnsi="Times New Roman" w:eastAsia="宋体" w:cs="Times New Roman"/>
                <w:spacing w:val="1"/>
                <w:sz w:val="24"/>
                <w:szCs w:val="24"/>
                <w:lang w:val="en-US" w:eastAsia="zh-CN"/>
              </w:rPr>
              <w:t>——大气吸收引起的衰减</w:t>
            </w:r>
            <w:r>
              <w:rPr>
                <w:rFonts w:hint="eastAsia" w:ascii="Times New Roman" w:hAnsi="Times New Roman" w:eastAsia="宋体" w:cs="Times New Roman"/>
                <w:spacing w:val="1"/>
                <w:sz w:val="24"/>
                <w:szCs w:val="24"/>
                <w:lang w:val="en-US" w:eastAsia="zh-CN"/>
              </w:rPr>
              <w:t>，</w:t>
            </w:r>
            <w:r>
              <w:rPr>
                <w:rFonts w:hint="default" w:ascii="Times New Roman" w:hAnsi="Times New Roman" w:eastAsia="宋体" w:cs="Times New Roman"/>
                <w:spacing w:val="1"/>
                <w:sz w:val="24"/>
                <w:szCs w:val="24"/>
                <w:lang w:val="en-US" w:eastAsia="zh-CN"/>
              </w:rPr>
              <w:t>dB</w:t>
            </w:r>
            <w:r>
              <w:rPr>
                <w:rFonts w:hint="eastAsia" w:ascii="Times New Roman" w:hAnsi="Times New Roman" w:eastAsia="宋体" w:cs="Times New Roman"/>
                <w:spacing w:val="1"/>
                <w:sz w:val="24"/>
                <w:szCs w:val="24"/>
                <w:lang w:val="en-US" w:eastAsia="zh-CN"/>
              </w:rPr>
              <w:t>；</w:t>
            </w:r>
          </w:p>
          <w:p w14:paraId="21635A15">
            <w:pPr>
              <w:pStyle w:val="22"/>
              <w:keepNext w:val="0"/>
              <w:keepLines w:val="0"/>
              <w:pageBreakBefore w:val="0"/>
              <w:kinsoku/>
              <w:wordWrap/>
              <w:overflowPunct/>
              <w:topLinePunct w:val="0"/>
              <w:autoSpaceDE/>
              <w:autoSpaceDN/>
              <w:bidi w:val="0"/>
              <w:adjustRightInd/>
              <w:snapToGrid/>
              <w:spacing w:line="360" w:lineRule="auto"/>
              <w:ind w:left="0" w:right="0" w:firstLine="484" w:firstLineChars="200"/>
              <w:textAlignment w:val="auto"/>
              <w:rPr>
                <w:rFonts w:hint="default" w:ascii="Times New Roman" w:hAnsi="Times New Roman" w:eastAsia="宋体" w:cs="Times New Roman"/>
                <w:spacing w:val="1"/>
                <w:sz w:val="24"/>
                <w:szCs w:val="24"/>
                <w:lang w:val="en-US" w:eastAsia="zh-CN"/>
              </w:rPr>
            </w:pPr>
            <w:r>
              <w:rPr>
                <w:rFonts w:hint="default" w:ascii="Times New Roman" w:hAnsi="Times New Roman" w:eastAsia="宋体" w:cs="Times New Roman"/>
                <w:i/>
                <w:iCs/>
                <w:spacing w:val="1"/>
                <w:sz w:val="24"/>
                <w:szCs w:val="24"/>
                <w:lang w:val="en-US" w:eastAsia="zh-CN"/>
              </w:rPr>
              <w:t>A</w:t>
            </w:r>
            <w:r>
              <w:rPr>
                <w:rFonts w:hint="default" w:ascii="Times New Roman" w:hAnsi="Times New Roman" w:eastAsia="宋体" w:cs="Times New Roman"/>
                <w:spacing w:val="1"/>
                <w:sz w:val="24"/>
                <w:szCs w:val="24"/>
                <w:vertAlign w:val="subscript"/>
                <w:lang w:val="en-US" w:eastAsia="zh-CN"/>
              </w:rPr>
              <w:t>g</w:t>
            </w:r>
            <w:r>
              <w:rPr>
                <w:rFonts w:hint="eastAsia" w:ascii="Times New Roman" w:hAnsi="Times New Roman" w:eastAsia="宋体" w:cs="Times New Roman"/>
                <w:spacing w:val="1"/>
                <w:sz w:val="24"/>
                <w:szCs w:val="24"/>
                <w:vertAlign w:val="subscript"/>
                <w:lang w:val="en-US" w:eastAsia="zh-CN"/>
              </w:rPr>
              <w:t>r</w:t>
            </w:r>
            <w:r>
              <w:rPr>
                <w:rFonts w:hint="default" w:ascii="Times New Roman" w:hAnsi="Times New Roman" w:eastAsia="宋体" w:cs="Times New Roman"/>
                <w:spacing w:val="1"/>
                <w:sz w:val="24"/>
                <w:szCs w:val="24"/>
                <w:lang w:val="en-US" w:eastAsia="zh-CN"/>
              </w:rPr>
              <w:t>——地面效应引起的衰减</w:t>
            </w:r>
            <w:r>
              <w:rPr>
                <w:rFonts w:hint="eastAsia" w:ascii="Times New Roman" w:hAnsi="Times New Roman" w:eastAsia="宋体" w:cs="Times New Roman"/>
                <w:spacing w:val="1"/>
                <w:sz w:val="24"/>
                <w:szCs w:val="24"/>
                <w:lang w:val="en-US" w:eastAsia="zh-CN"/>
              </w:rPr>
              <w:t>，</w:t>
            </w:r>
            <w:r>
              <w:rPr>
                <w:rFonts w:hint="default" w:ascii="Times New Roman" w:hAnsi="Times New Roman" w:eastAsia="宋体" w:cs="Times New Roman"/>
                <w:spacing w:val="1"/>
                <w:sz w:val="24"/>
                <w:szCs w:val="24"/>
                <w:lang w:val="en-US" w:eastAsia="zh-CN"/>
              </w:rPr>
              <w:t>dB</w:t>
            </w:r>
            <w:r>
              <w:rPr>
                <w:rFonts w:hint="eastAsia" w:ascii="Times New Roman" w:hAnsi="Times New Roman" w:eastAsia="宋体" w:cs="Times New Roman"/>
                <w:spacing w:val="1"/>
                <w:sz w:val="24"/>
                <w:szCs w:val="24"/>
                <w:lang w:val="en-US" w:eastAsia="zh-CN"/>
              </w:rPr>
              <w:t>；</w:t>
            </w:r>
          </w:p>
          <w:p w14:paraId="750CEC3F">
            <w:pPr>
              <w:pStyle w:val="22"/>
              <w:keepNext w:val="0"/>
              <w:keepLines w:val="0"/>
              <w:pageBreakBefore w:val="0"/>
              <w:kinsoku/>
              <w:wordWrap/>
              <w:overflowPunct/>
              <w:topLinePunct w:val="0"/>
              <w:autoSpaceDE/>
              <w:autoSpaceDN/>
              <w:bidi w:val="0"/>
              <w:adjustRightInd/>
              <w:snapToGrid/>
              <w:spacing w:line="360" w:lineRule="auto"/>
              <w:ind w:left="0" w:right="0" w:firstLine="484" w:firstLineChars="200"/>
              <w:textAlignment w:val="auto"/>
              <w:rPr>
                <w:rFonts w:hint="default" w:ascii="Times New Roman" w:hAnsi="Times New Roman" w:eastAsia="宋体" w:cs="Times New Roman"/>
                <w:spacing w:val="1"/>
                <w:sz w:val="24"/>
                <w:szCs w:val="24"/>
                <w:lang w:val="en-US" w:eastAsia="zh-CN"/>
              </w:rPr>
            </w:pPr>
            <w:r>
              <w:rPr>
                <w:rFonts w:hint="default" w:ascii="Times New Roman" w:hAnsi="Times New Roman" w:eastAsia="宋体" w:cs="Times New Roman"/>
                <w:i/>
                <w:iCs/>
                <w:spacing w:val="1"/>
                <w:sz w:val="24"/>
                <w:szCs w:val="24"/>
                <w:lang w:val="en-US" w:eastAsia="zh-CN"/>
              </w:rPr>
              <w:t>A</w:t>
            </w:r>
            <w:r>
              <w:rPr>
                <w:rFonts w:hint="default" w:ascii="Times New Roman" w:hAnsi="Times New Roman" w:eastAsia="宋体" w:cs="Times New Roman"/>
                <w:spacing w:val="1"/>
                <w:sz w:val="24"/>
                <w:szCs w:val="24"/>
                <w:vertAlign w:val="subscript"/>
                <w:lang w:val="en-US" w:eastAsia="zh-CN"/>
              </w:rPr>
              <w:t>bar</w:t>
            </w:r>
            <w:r>
              <w:rPr>
                <w:rFonts w:hint="default" w:ascii="Times New Roman" w:hAnsi="Times New Roman" w:eastAsia="宋体" w:cs="Times New Roman"/>
                <w:spacing w:val="1"/>
                <w:sz w:val="24"/>
                <w:szCs w:val="24"/>
                <w:lang w:val="en-US" w:eastAsia="zh-CN"/>
              </w:rPr>
              <w:t>——障碍物屏蔽引起的衰减</w:t>
            </w:r>
            <w:r>
              <w:rPr>
                <w:rFonts w:hint="eastAsia" w:ascii="Times New Roman" w:hAnsi="Times New Roman" w:eastAsia="宋体" w:cs="Times New Roman"/>
                <w:spacing w:val="1"/>
                <w:sz w:val="24"/>
                <w:szCs w:val="24"/>
                <w:lang w:val="en-US" w:eastAsia="zh-CN"/>
              </w:rPr>
              <w:t>，</w:t>
            </w:r>
            <w:r>
              <w:rPr>
                <w:rFonts w:hint="default" w:ascii="Times New Roman" w:hAnsi="Times New Roman" w:eastAsia="宋体" w:cs="Times New Roman"/>
                <w:spacing w:val="1"/>
                <w:sz w:val="24"/>
                <w:szCs w:val="24"/>
                <w:lang w:val="en-US" w:eastAsia="zh-CN"/>
              </w:rPr>
              <w:t>dB</w:t>
            </w:r>
            <w:r>
              <w:rPr>
                <w:rFonts w:hint="eastAsia" w:ascii="Times New Roman" w:hAnsi="Times New Roman" w:eastAsia="宋体" w:cs="Times New Roman"/>
                <w:spacing w:val="1"/>
                <w:sz w:val="24"/>
                <w:szCs w:val="24"/>
                <w:lang w:val="en-US" w:eastAsia="zh-CN"/>
              </w:rPr>
              <w:t>；</w:t>
            </w:r>
          </w:p>
          <w:p w14:paraId="43167494">
            <w:pPr>
              <w:pStyle w:val="22"/>
              <w:keepNext w:val="0"/>
              <w:keepLines w:val="0"/>
              <w:pageBreakBefore w:val="0"/>
              <w:kinsoku/>
              <w:wordWrap/>
              <w:overflowPunct/>
              <w:topLinePunct w:val="0"/>
              <w:autoSpaceDE/>
              <w:autoSpaceDN/>
              <w:bidi w:val="0"/>
              <w:adjustRightInd/>
              <w:snapToGrid/>
              <w:spacing w:line="360" w:lineRule="auto"/>
              <w:ind w:left="0" w:right="0" w:firstLine="484"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pacing w:val="1"/>
                <w:sz w:val="24"/>
                <w:szCs w:val="24"/>
                <w:lang w:val="en-US" w:eastAsia="zh-CN"/>
              </w:rPr>
              <w:t>A</w:t>
            </w:r>
            <w:r>
              <w:rPr>
                <w:rFonts w:hint="default" w:ascii="Times New Roman" w:hAnsi="Times New Roman" w:eastAsia="宋体" w:cs="Times New Roman"/>
                <w:spacing w:val="1"/>
                <w:sz w:val="24"/>
                <w:szCs w:val="24"/>
                <w:vertAlign w:val="subscript"/>
                <w:lang w:val="en-US" w:eastAsia="zh-CN"/>
              </w:rPr>
              <w:t>misc</w:t>
            </w:r>
            <w:r>
              <w:rPr>
                <w:rFonts w:hint="default" w:ascii="Times New Roman" w:hAnsi="Times New Roman" w:eastAsia="宋体" w:cs="Times New Roman"/>
                <w:spacing w:val="1"/>
                <w:sz w:val="24"/>
                <w:szCs w:val="24"/>
                <w:lang w:val="en-US" w:eastAsia="zh-CN"/>
              </w:rPr>
              <w:t>——其他多方面效应引起的衰减</w:t>
            </w:r>
            <w:r>
              <w:rPr>
                <w:rFonts w:hint="eastAsia" w:ascii="Times New Roman" w:hAnsi="Times New Roman" w:eastAsia="宋体" w:cs="Times New Roman"/>
                <w:spacing w:val="1"/>
                <w:sz w:val="24"/>
                <w:szCs w:val="24"/>
                <w:lang w:val="en-US" w:eastAsia="zh-CN"/>
              </w:rPr>
              <w:t>，</w:t>
            </w:r>
            <w:r>
              <w:rPr>
                <w:rFonts w:hint="default" w:ascii="Times New Roman" w:hAnsi="Times New Roman" w:eastAsia="宋体" w:cs="Times New Roman"/>
                <w:spacing w:val="1"/>
                <w:sz w:val="24"/>
                <w:szCs w:val="24"/>
                <w:lang w:val="en-US" w:eastAsia="zh-CN"/>
              </w:rPr>
              <w:t>dB。</w:t>
            </w:r>
          </w:p>
          <w:p w14:paraId="27FA362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drawing>
                <wp:inline distT="0" distB="0" distL="114300" distR="114300">
                  <wp:extent cx="4739640" cy="230505"/>
                  <wp:effectExtent l="0" t="0" r="3810" b="17145"/>
                  <wp:docPr id="95" name="图片 3" descr="1781691653766_25D68A87-B217-4235-96CD-F507D0E42E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3" descr="1781691653766_25D68A87-B217-4235-96CD-F507D0E42E72"/>
                          <pic:cNvPicPr>
                            <a:picLocks noChangeAspect="1"/>
                          </pic:cNvPicPr>
                        </pic:nvPicPr>
                        <pic:blipFill>
                          <a:blip r:embed="rId18"/>
                          <a:stretch>
                            <a:fillRect/>
                          </a:stretch>
                        </pic:blipFill>
                        <pic:spPr>
                          <a:xfrm>
                            <a:off x="0" y="0"/>
                            <a:ext cx="4739640" cy="230505"/>
                          </a:xfrm>
                          <a:prstGeom prst="rect">
                            <a:avLst/>
                          </a:prstGeom>
                          <a:noFill/>
                          <a:ln>
                            <a:noFill/>
                          </a:ln>
                        </pic:spPr>
                      </pic:pic>
                    </a:graphicData>
                  </a:graphic>
                </wp:inline>
              </w:drawing>
            </w:r>
          </w:p>
          <w:p w14:paraId="7EE1D4C4">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式中：</w:t>
            </w:r>
            <w:r>
              <w:rPr>
                <w:rFonts w:hint="default" w:ascii="Times New Roman" w:hAnsi="Times New Roman" w:eastAsia="宋体" w:cs="Times New Roman"/>
                <w:i/>
                <w:iCs/>
                <w:spacing w:val="1"/>
                <w:sz w:val="24"/>
                <w:szCs w:val="24"/>
                <w:lang w:val="en-US" w:eastAsia="zh-CN"/>
              </w:rPr>
              <w:t>Lp</w:t>
            </w:r>
            <w:r>
              <w:rPr>
                <w:rFonts w:hint="eastAsia" w:cs="Times New Roman"/>
                <w:spacing w:val="1"/>
                <w:sz w:val="24"/>
                <w:szCs w:val="24"/>
                <w:lang w:val="en-US" w:eastAsia="zh-CN"/>
              </w:rPr>
              <w:t>（</w:t>
            </w:r>
            <w:r>
              <w:rPr>
                <w:rFonts w:hint="default" w:ascii="Times New Roman" w:hAnsi="Times New Roman" w:eastAsia="宋体" w:cs="Times New Roman"/>
                <w:spacing w:val="1"/>
                <w:sz w:val="24"/>
                <w:szCs w:val="24"/>
                <w:lang w:val="en-US" w:eastAsia="zh-CN"/>
              </w:rPr>
              <w:t>r</w:t>
            </w:r>
            <w:r>
              <w:rPr>
                <w:rFonts w:hint="eastAsia" w:cs="Times New Roman"/>
                <w:spacing w:val="1"/>
                <w:sz w:val="24"/>
                <w:szCs w:val="24"/>
                <w:lang w:val="en-US" w:eastAsia="zh-CN"/>
              </w:rPr>
              <w:t>）</w:t>
            </w:r>
            <w:r>
              <w:rPr>
                <w:rFonts w:hint="default" w:ascii="Times New Roman" w:hAnsi="Times New Roman" w:eastAsia="宋体" w:cs="Times New Roman"/>
                <w:sz w:val="24"/>
                <w:szCs w:val="24"/>
                <w:lang w:val="en-US" w:eastAsia="zh-CN"/>
              </w:rPr>
              <w:t>——预测点处声压级，dB</w:t>
            </w:r>
            <w:r>
              <w:rPr>
                <w:rFonts w:hint="eastAsia" w:ascii="Times New Roman" w:hAnsi="Times New Roman" w:eastAsia="宋体" w:cs="Times New Roman"/>
                <w:sz w:val="24"/>
                <w:szCs w:val="24"/>
                <w:lang w:val="en-US" w:eastAsia="zh-CN"/>
              </w:rPr>
              <w:t>；</w:t>
            </w:r>
          </w:p>
          <w:p w14:paraId="3049B1B3">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z w:val="24"/>
                <w:szCs w:val="24"/>
                <w:lang w:val="en-US" w:eastAsia="zh-CN"/>
              </w:rPr>
              <w:t>Lp</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r</w:t>
            </w:r>
            <w:r>
              <w:rPr>
                <w:rFonts w:hint="eastAsia" w:ascii="Times New Roman" w:hAnsi="Times New Roman" w:eastAsia="宋体" w:cs="Times New Roman"/>
                <w:sz w:val="24"/>
                <w:szCs w:val="24"/>
                <w:lang w:val="en-US" w:eastAsia="zh-CN"/>
              </w:rPr>
              <w:t>0</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——参考位置r0处的声压级，dB</w:t>
            </w:r>
            <w:r>
              <w:rPr>
                <w:rFonts w:hint="eastAsia" w:ascii="Times New Roman" w:hAnsi="Times New Roman" w:eastAsia="宋体" w:cs="Times New Roman"/>
                <w:sz w:val="24"/>
                <w:szCs w:val="24"/>
                <w:lang w:val="en-US" w:eastAsia="zh-CN"/>
              </w:rPr>
              <w:t>；</w:t>
            </w:r>
          </w:p>
          <w:p w14:paraId="72F1A61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4"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pacing w:val="1"/>
                <w:sz w:val="24"/>
                <w:szCs w:val="24"/>
                <w:lang w:val="en-US" w:eastAsia="zh-CN"/>
              </w:rPr>
              <w:t>D</w:t>
            </w:r>
            <w:r>
              <w:rPr>
                <w:rFonts w:hint="default" w:ascii="Times New Roman" w:hAnsi="Times New Roman" w:eastAsia="宋体" w:cs="Times New Roman"/>
                <w:spacing w:val="1"/>
                <w:sz w:val="24"/>
                <w:szCs w:val="24"/>
                <w:lang w:val="en-US" w:eastAsia="zh-CN"/>
              </w:rPr>
              <w:t>c</w:t>
            </w:r>
            <w:r>
              <w:rPr>
                <w:rFonts w:hint="default" w:ascii="Times New Roman" w:hAnsi="Times New Roman" w:eastAsia="宋体" w:cs="Times New Roman"/>
                <w:sz w:val="24"/>
                <w:szCs w:val="24"/>
                <w:lang w:val="en-US" w:eastAsia="zh-CN"/>
              </w:rPr>
              <w:t>——指向性校正，它描述点声源的等效连续声压级与产生声功率级</w:t>
            </w:r>
            <w:r>
              <w:rPr>
                <w:rFonts w:hint="default" w:ascii="Times New Roman" w:hAnsi="Times New Roman" w:eastAsia="宋体" w:cs="Times New Roman"/>
                <w:i/>
                <w:iCs/>
                <w:spacing w:val="1"/>
                <w:sz w:val="24"/>
                <w:szCs w:val="24"/>
                <w:lang w:val="en-US" w:eastAsia="zh-CN"/>
              </w:rPr>
              <w:t>L</w:t>
            </w:r>
            <w:r>
              <w:rPr>
                <w:rFonts w:hint="default" w:ascii="Times New Roman" w:hAnsi="Times New Roman" w:eastAsia="宋体" w:cs="Times New Roman"/>
                <w:spacing w:val="1"/>
                <w:sz w:val="24"/>
                <w:szCs w:val="24"/>
                <w:lang w:val="en-US" w:eastAsia="zh-CN"/>
              </w:rPr>
              <w:t>w</w:t>
            </w:r>
            <w:r>
              <w:rPr>
                <w:rFonts w:hint="default" w:ascii="Times New Roman" w:hAnsi="Times New Roman" w:eastAsia="宋体" w:cs="Times New Roman"/>
                <w:sz w:val="24"/>
                <w:szCs w:val="24"/>
                <w:lang w:val="en-US" w:eastAsia="zh-CN"/>
              </w:rPr>
              <w:t>的全向点声源在规定方向的声级的偏差程度，dB</w:t>
            </w:r>
            <w:r>
              <w:rPr>
                <w:rFonts w:hint="eastAsia" w:ascii="Times New Roman" w:hAnsi="Times New Roman" w:eastAsia="宋体" w:cs="Times New Roman"/>
                <w:sz w:val="24"/>
                <w:szCs w:val="24"/>
                <w:lang w:val="en-US" w:eastAsia="zh-CN"/>
              </w:rPr>
              <w:t>；</w:t>
            </w:r>
          </w:p>
          <w:p w14:paraId="5AC52D6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4"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pacing w:val="1"/>
                <w:sz w:val="24"/>
                <w:szCs w:val="24"/>
                <w:lang w:val="en-US" w:eastAsia="zh-CN"/>
              </w:rPr>
              <w:t>A</w:t>
            </w:r>
            <w:r>
              <w:rPr>
                <w:rFonts w:hint="default" w:ascii="Times New Roman" w:hAnsi="Times New Roman" w:eastAsia="宋体" w:cs="Times New Roman"/>
                <w:spacing w:val="1"/>
                <w:sz w:val="24"/>
                <w:szCs w:val="24"/>
                <w:vertAlign w:val="subscript"/>
                <w:lang w:val="en-US" w:eastAsia="zh-CN"/>
              </w:rPr>
              <w:t>div</w:t>
            </w:r>
            <w:r>
              <w:rPr>
                <w:rFonts w:hint="default" w:ascii="Times New Roman" w:hAnsi="Times New Roman" w:eastAsia="宋体" w:cs="Times New Roman"/>
                <w:sz w:val="24"/>
                <w:szCs w:val="24"/>
                <w:lang w:val="en-US" w:eastAsia="zh-CN"/>
              </w:rPr>
              <w:t>——几何发散引起的衰减，dB</w:t>
            </w:r>
            <w:r>
              <w:rPr>
                <w:rFonts w:hint="eastAsia" w:ascii="Times New Roman" w:hAnsi="Times New Roman" w:eastAsia="宋体" w:cs="Times New Roman"/>
                <w:sz w:val="24"/>
                <w:szCs w:val="24"/>
                <w:lang w:val="en-US" w:eastAsia="zh-CN"/>
              </w:rPr>
              <w:t>；</w:t>
            </w:r>
          </w:p>
          <w:p w14:paraId="66B9C87D">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4"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pacing w:val="1"/>
                <w:sz w:val="24"/>
                <w:szCs w:val="24"/>
                <w:lang w:val="en-US" w:eastAsia="zh-CN"/>
              </w:rPr>
              <w:t>A</w:t>
            </w:r>
            <w:r>
              <w:rPr>
                <w:rFonts w:hint="default" w:ascii="Times New Roman" w:hAnsi="Times New Roman" w:eastAsia="宋体" w:cs="Times New Roman"/>
                <w:spacing w:val="1"/>
                <w:sz w:val="24"/>
                <w:szCs w:val="24"/>
                <w:vertAlign w:val="subscript"/>
                <w:lang w:val="en-US" w:eastAsia="zh-CN"/>
              </w:rPr>
              <w:t>atm</w:t>
            </w:r>
            <w:r>
              <w:rPr>
                <w:rFonts w:hint="default" w:ascii="Times New Roman" w:hAnsi="Times New Roman" w:eastAsia="宋体" w:cs="Times New Roman"/>
                <w:sz w:val="24"/>
                <w:szCs w:val="24"/>
                <w:lang w:val="en-US" w:eastAsia="zh-CN"/>
              </w:rPr>
              <w:t>——大气吸收引起的衰减，dB</w:t>
            </w:r>
            <w:r>
              <w:rPr>
                <w:rFonts w:hint="eastAsia" w:ascii="Times New Roman" w:hAnsi="Times New Roman" w:eastAsia="宋体" w:cs="Times New Roman"/>
                <w:sz w:val="24"/>
                <w:szCs w:val="24"/>
                <w:lang w:val="en-US" w:eastAsia="zh-CN"/>
              </w:rPr>
              <w:t>；</w:t>
            </w:r>
          </w:p>
          <w:p w14:paraId="5D487008">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4"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pacing w:val="1"/>
                <w:sz w:val="24"/>
                <w:szCs w:val="24"/>
                <w:lang w:val="en-US" w:eastAsia="zh-CN"/>
              </w:rPr>
              <w:t>A</w:t>
            </w:r>
            <w:r>
              <w:rPr>
                <w:rFonts w:hint="default" w:ascii="Times New Roman" w:hAnsi="Times New Roman" w:eastAsia="宋体" w:cs="Times New Roman"/>
                <w:spacing w:val="1"/>
                <w:sz w:val="24"/>
                <w:szCs w:val="24"/>
                <w:vertAlign w:val="subscript"/>
                <w:lang w:val="en-US" w:eastAsia="zh-CN"/>
              </w:rPr>
              <w:t>g</w:t>
            </w:r>
            <w:r>
              <w:rPr>
                <w:rFonts w:hint="eastAsia" w:ascii="Times New Roman" w:hAnsi="Times New Roman" w:eastAsia="宋体" w:cs="Times New Roman"/>
                <w:spacing w:val="1"/>
                <w:sz w:val="24"/>
                <w:szCs w:val="24"/>
                <w:vertAlign w:val="subscript"/>
                <w:lang w:val="en-US" w:eastAsia="zh-CN"/>
              </w:rPr>
              <w:t>r</w:t>
            </w:r>
            <w:r>
              <w:rPr>
                <w:rFonts w:hint="default" w:ascii="Times New Roman" w:hAnsi="Times New Roman" w:eastAsia="宋体" w:cs="Times New Roman"/>
                <w:sz w:val="24"/>
                <w:szCs w:val="24"/>
                <w:lang w:val="en-US" w:eastAsia="zh-CN"/>
              </w:rPr>
              <w:t>—地面效应引起的衰减，dB</w:t>
            </w:r>
            <w:r>
              <w:rPr>
                <w:rFonts w:hint="eastAsia" w:ascii="Times New Roman" w:hAnsi="Times New Roman" w:eastAsia="宋体" w:cs="Times New Roman"/>
                <w:sz w:val="24"/>
                <w:szCs w:val="24"/>
                <w:lang w:val="en-US" w:eastAsia="zh-CN"/>
              </w:rPr>
              <w:t>；</w:t>
            </w:r>
          </w:p>
          <w:p w14:paraId="06F08969">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4"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pacing w:val="1"/>
                <w:sz w:val="24"/>
                <w:szCs w:val="24"/>
                <w:lang w:val="en-US" w:eastAsia="zh-CN"/>
              </w:rPr>
              <w:t>A</w:t>
            </w:r>
            <w:r>
              <w:rPr>
                <w:rFonts w:hint="default" w:ascii="Times New Roman" w:hAnsi="Times New Roman" w:eastAsia="宋体" w:cs="Times New Roman"/>
                <w:spacing w:val="1"/>
                <w:sz w:val="24"/>
                <w:szCs w:val="24"/>
                <w:vertAlign w:val="subscript"/>
                <w:lang w:val="en-US" w:eastAsia="zh-CN"/>
              </w:rPr>
              <w:t>bar</w:t>
            </w:r>
            <w:r>
              <w:rPr>
                <w:rFonts w:hint="default" w:ascii="Times New Roman" w:hAnsi="Times New Roman" w:eastAsia="宋体" w:cs="Times New Roman"/>
                <w:sz w:val="24"/>
                <w:szCs w:val="24"/>
                <w:lang w:val="en-US" w:eastAsia="zh-CN"/>
              </w:rPr>
              <w:t>——障碍物屏蔽引起的衰减，dB</w:t>
            </w:r>
            <w:r>
              <w:rPr>
                <w:rFonts w:hint="eastAsia" w:ascii="Times New Roman" w:hAnsi="Times New Roman" w:eastAsia="宋体" w:cs="Times New Roman"/>
                <w:sz w:val="24"/>
                <w:szCs w:val="24"/>
                <w:lang w:val="en-US" w:eastAsia="zh-CN"/>
              </w:rPr>
              <w:t>；</w:t>
            </w:r>
          </w:p>
          <w:p w14:paraId="021CFAB7">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4"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pacing w:val="1"/>
                <w:sz w:val="24"/>
                <w:szCs w:val="24"/>
                <w:lang w:val="en-US" w:eastAsia="zh-CN"/>
              </w:rPr>
              <w:t>A</w:t>
            </w:r>
            <w:r>
              <w:rPr>
                <w:rFonts w:hint="default" w:ascii="Times New Roman" w:hAnsi="Times New Roman" w:eastAsia="宋体" w:cs="Times New Roman"/>
                <w:spacing w:val="1"/>
                <w:sz w:val="24"/>
                <w:szCs w:val="24"/>
                <w:vertAlign w:val="subscript"/>
                <w:lang w:val="en-US" w:eastAsia="zh-CN"/>
              </w:rPr>
              <w:t>misc</w:t>
            </w:r>
            <w:r>
              <w:rPr>
                <w:rFonts w:hint="default" w:ascii="Times New Roman" w:hAnsi="Times New Roman" w:eastAsia="宋体" w:cs="Times New Roman"/>
                <w:sz w:val="24"/>
                <w:szCs w:val="24"/>
                <w:lang w:val="en-US" w:eastAsia="zh-CN"/>
              </w:rPr>
              <w:t>——其他多方面效应引起的衰减，dB。</w:t>
            </w:r>
          </w:p>
          <w:p w14:paraId="1AC626F5">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b.预测点的A声级</w:t>
            </w:r>
            <w:r>
              <w:rPr>
                <w:rFonts w:hint="default" w:ascii="Times New Roman" w:hAnsi="Times New Roman" w:eastAsia="宋体" w:cs="Times New Roman"/>
                <w:i/>
                <w:iCs/>
                <w:sz w:val="24"/>
                <w:szCs w:val="24"/>
                <w:lang w:val="en-US" w:eastAsia="zh-CN"/>
              </w:rPr>
              <w:t>L</w:t>
            </w:r>
            <w:r>
              <w:rPr>
                <w:rFonts w:hint="default" w:ascii="Times New Roman" w:hAnsi="Times New Roman" w:eastAsia="宋体" w:cs="Times New Roman"/>
                <w:sz w:val="24"/>
                <w:szCs w:val="24"/>
                <w:vertAlign w:val="subscript"/>
                <w:lang w:val="en-US" w:eastAsia="zh-CN"/>
              </w:rPr>
              <w:t>A</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r</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可按式</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A.3</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计算，即将8个倍频带声压级合成，计算出预测点的A声级[</w:t>
            </w:r>
            <w:r>
              <w:rPr>
                <w:rFonts w:hint="default" w:ascii="Times New Roman" w:hAnsi="Times New Roman" w:eastAsia="宋体" w:cs="Times New Roman"/>
                <w:i/>
                <w:iCs/>
                <w:sz w:val="24"/>
                <w:szCs w:val="24"/>
                <w:lang w:val="en-US" w:eastAsia="zh-CN"/>
              </w:rPr>
              <w:t>L</w:t>
            </w:r>
            <w:r>
              <w:rPr>
                <w:rFonts w:hint="default" w:ascii="Times New Roman" w:hAnsi="Times New Roman" w:eastAsia="宋体" w:cs="Times New Roman"/>
                <w:sz w:val="24"/>
                <w:szCs w:val="24"/>
                <w:vertAlign w:val="subscript"/>
                <w:lang w:val="en-US" w:eastAsia="zh-CN"/>
              </w:rPr>
              <w:t>A</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r</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w:t>
            </w:r>
          </w:p>
          <w:p w14:paraId="757ECB9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20" w:firstLineChars="200"/>
              <w:jc w:val="right"/>
              <w:textAlignment w:val="auto"/>
              <w:rPr>
                <w:rFonts w:hint="default" w:ascii="Times New Roman" w:hAnsi="Times New Roman" w:eastAsia="宋体" w:cs="Times New Roman"/>
                <w:sz w:val="24"/>
                <w:szCs w:val="24"/>
                <w:lang w:val="en-US" w:eastAsia="zh-CN"/>
              </w:rPr>
            </w:pPr>
            <m:oMath>
              <m:sSub>
                <m:sSubPr/>
                <m:e>
                  <m:r>
                    <m:rPr/>
                    <m:t>L</m:t>
                  </m:r>
                </m:e>
                <m:sub>
                  <m:box>
                    <m:boxPr/>
                    <m:e>
                      <m:r>
                        <m:rPr/>
                        <m:t>A</m:t>
                      </m:r>
                    </m:e>
                  </m:box>
                </m:sub>
              </m:sSub>
              <m:box>
                <m:boxPr/>
                <m:e>
                  <m:d>
                    <m:dPr/>
                    <m:e>
                      <m:box>
                        <m:boxPr/>
                        <m:e>
                          <m:r>
                            <m:rPr/>
                            <m:t>r</m:t>
                          </m:r>
                        </m:e>
                      </m:box>
                    </m:e>
                  </m:d>
                </m:e>
              </m:box>
              <m:r>
                <m:rPr>
                  <m:sty m:val="p"/>
                </m:rPr>
                <m:t>=10lg</m:t>
              </m:r>
              <m:box>
                <m:boxPr/>
                <m:e>
                  <m:d>
                    <m:dPr>
                      <m:begChr m:val="{"/>
                      <m:endChr m:val="}"/>
                    </m:dPr>
                    <m:e>
                      <m:box>
                        <m:boxPr/>
                        <m:e>
                          <m:nary>
                            <m:naryPr>
                              <m:chr m:val="∑"/>
                              <m:limLoc m:val="undOvr"/>
                            </m:naryPr>
                            <m:sub>
                              <m:box>
                                <m:boxPr/>
                                <m:e>
                                  <m:r>
                                    <m:rPr/>
                                    <m:t>j</m:t>
                                  </m:r>
                                  <m:r>
                                    <m:rPr>
                                      <m:sty m:val="p"/>
                                    </m:rPr>
                                    <m:t>=1</m:t>
                                  </m:r>
                                </m:e>
                              </m:box>
                            </m:sub>
                            <m:sup>
                              <m:box>
                                <m:boxPr/>
                                <m:e>
                                  <m:r>
                                    <m:rPr>
                                      <m:sty m:val="p"/>
                                    </m:rPr>
                                    <m:t>8</m:t>
                                  </m:r>
                                </m:e>
                              </m:box>
                            </m:sup>
                            <m:e>
                              <m:sSup>
                                <m:sSupPr/>
                                <m:e>
                                  <m:r>
                                    <m:rPr>
                                      <m:sty m:val="p"/>
                                    </m:rPr>
                                    <m:t>10</m:t>
                                  </m:r>
                                </m:e>
                                <m:sup>
                                  <m:box>
                                    <m:boxPr/>
                                    <m:e>
                                      <m:r>
                                        <m:rPr>
                                          <m:sty m:val="p"/>
                                        </m:rPr>
                                        <m:t>0.1</m:t>
                                      </m:r>
                                      <m:box>
                                        <m:boxPr/>
                                        <m:e>
                                          <m:d>
                                            <m:dPr>
                                              <m:begChr m:val="["/>
                                              <m:endChr m:val="]"/>
                                            </m:dPr>
                                            <m:e>
                                              <m:box>
                                                <m:boxPr/>
                                                <m:e>
                                                  <m:sSub>
                                                    <m:sSubPr/>
                                                    <m:e>
                                                      <m:r>
                                                        <m:rPr/>
                                                        <m:t>L</m:t>
                                                      </m:r>
                                                    </m:e>
                                                    <m:sub>
                                                      <m:box>
                                                        <m:boxPr/>
                                                        <m:e>
                                                          <m:r>
                                                            <m:rPr/>
                                                            <m:t>pi</m:t>
                                                          </m:r>
                                                        </m:e>
                                                      </m:box>
                                                    </m:sub>
                                                  </m:sSub>
                                                  <m:box>
                                                    <m:boxPr/>
                                                    <m:e>
                                                      <m:d>
                                                        <m:dPr/>
                                                        <m:e>
                                                          <m:box>
                                                            <m:boxPr/>
                                                            <m:e>
                                                              <m:r>
                                                                <m:rPr/>
                                                                <m:t>r</m:t>
                                                              </m:r>
                                                            </m:e>
                                                          </m:box>
                                                        </m:e>
                                                      </m:d>
                                                    </m:e>
                                                  </m:box>
                                                  <m:r>
                                                    <m:rPr>
                                                      <m:sty m:val="p"/>
                                                    </m:rPr>
                                                    <m:t>−</m:t>
                                                  </m:r>
                                                  <m:r>
                                                    <m:rPr/>
                                                    <m:t>Δ</m:t>
                                                  </m:r>
                                                  <m:sSub>
                                                    <m:sSubPr/>
                                                    <m:e>
                                                      <m:r>
                                                        <m:rPr/>
                                                        <m:t>L</m:t>
                                                      </m:r>
                                                    </m:e>
                                                    <m:sub>
                                                      <m:box>
                                                        <m:boxPr/>
                                                        <m:e>
                                                          <m:r>
                                                            <m:rPr/>
                                                            <m:t>i</m:t>
                                                          </m:r>
                                                        </m:e>
                                                      </m:box>
                                                    </m:sub>
                                                  </m:sSub>
                                                </m:e>
                                              </m:box>
                                            </m:e>
                                          </m:d>
                                        </m:e>
                                      </m:box>
                                    </m:e>
                                  </m:box>
                                </m:sup>
                              </m:sSup>
                            </m:e>
                          </m:nary>
                        </m:e>
                      </m:box>
                    </m:e>
                  </m:d>
                </m:e>
              </m:box>
            </m:oMath>
            <w:r>
              <w:rPr>
                <w:rFonts w:hint="eastAsia" w:ascii="Times New Roman" w:hAnsi="Times New Roman" w:eastAsia="宋体" w:cs="Times New Roman"/>
                <w:sz w:val="24"/>
                <w:szCs w:val="24"/>
                <w:lang w:val="en-US" w:eastAsia="zh-CN"/>
              </w:rPr>
              <w:t xml:space="preserve">                       （A.3）</w:t>
            </w:r>
          </w:p>
          <w:p w14:paraId="0C1C3FEB">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z w:val="24"/>
                <w:szCs w:val="24"/>
                <w:lang w:val="en-US" w:eastAsia="zh-CN"/>
              </w:rPr>
              <w:t>L</w:t>
            </w:r>
            <w:r>
              <w:rPr>
                <w:rFonts w:hint="default" w:ascii="Times New Roman" w:hAnsi="Times New Roman" w:eastAsia="宋体" w:cs="Times New Roman"/>
                <w:sz w:val="24"/>
                <w:szCs w:val="24"/>
                <w:vertAlign w:val="subscript"/>
                <w:lang w:val="en-US" w:eastAsia="zh-CN"/>
              </w:rPr>
              <w:t>A</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r</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——距声源r处的A声级，dB</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A</w:t>
            </w:r>
            <w:r>
              <w:rPr>
                <w:rFonts w:hint="eastAsia" w:cs="Times New Roman"/>
                <w:sz w:val="24"/>
                <w:szCs w:val="24"/>
                <w:lang w:val="en-US" w:eastAsia="zh-CN"/>
              </w:rPr>
              <w:t>）</w:t>
            </w:r>
            <w:r>
              <w:rPr>
                <w:rFonts w:hint="eastAsia" w:ascii="Times New Roman" w:hAnsi="Times New Roman" w:eastAsia="宋体" w:cs="Times New Roman"/>
                <w:sz w:val="24"/>
                <w:szCs w:val="24"/>
                <w:lang w:val="en-US" w:eastAsia="zh-CN"/>
              </w:rPr>
              <w:t>；</w:t>
            </w:r>
          </w:p>
          <w:p w14:paraId="7885FE0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z w:val="24"/>
                <w:szCs w:val="24"/>
                <w:lang w:val="en-US" w:eastAsia="zh-CN"/>
              </w:rPr>
              <w:t>L</w:t>
            </w:r>
            <w:r>
              <w:rPr>
                <w:rFonts w:hint="default" w:ascii="Times New Roman" w:hAnsi="Times New Roman" w:eastAsia="宋体" w:cs="Times New Roman"/>
                <w:sz w:val="24"/>
                <w:szCs w:val="24"/>
                <w:vertAlign w:val="subscript"/>
                <w:lang w:val="en-US" w:eastAsia="zh-CN"/>
              </w:rPr>
              <w:t>pi</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r</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——预测点</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r</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处，第i倍频带声压级，dB</w:t>
            </w:r>
            <w:r>
              <w:rPr>
                <w:rFonts w:hint="eastAsia" w:ascii="Times New Roman" w:hAnsi="Times New Roman" w:eastAsia="宋体" w:cs="Times New Roman"/>
                <w:sz w:val="24"/>
                <w:szCs w:val="24"/>
                <w:lang w:val="en-US" w:eastAsia="zh-CN"/>
              </w:rPr>
              <w:t>；</w:t>
            </w:r>
          </w:p>
          <w:p w14:paraId="4F751929">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z w:val="24"/>
                <w:szCs w:val="24"/>
                <w:lang w:val="en-US" w:eastAsia="zh-CN"/>
              </w:rPr>
              <w:t>△L</w:t>
            </w:r>
            <w:r>
              <w:rPr>
                <w:rFonts w:hint="default" w:ascii="Times New Roman" w:hAnsi="Times New Roman" w:eastAsia="宋体" w:cs="Times New Roman"/>
                <w:sz w:val="24"/>
                <w:szCs w:val="24"/>
                <w:lang w:val="en-US" w:eastAsia="zh-CN"/>
              </w:rPr>
              <w:t>i——第i倍频带的A计权网络修正值，dB。</w:t>
            </w:r>
          </w:p>
          <w:p w14:paraId="3A47F89A">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②室内声源声源位于室内，室内声源可采用等效室外声源声功率级法进行计算。设靠近开口处</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或窗户</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室内、室外某倍频带的声压级或A声级分别为</w:t>
            </w:r>
            <w:r>
              <w:rPr>
                <w:rFonts w:hint="default" w:ascii="Times New Roman" w:hAnsi="Times New Roman" w:eastAsia="宋体" w:cs="Times New Roman"/>
                <w:i/>
                <w:iCs/>
                <w:sz w:val="24"/>
                <w:szCs w:val="24"/>
                <w:lang w:val="en-US" w:eastAsia="zh-CN"/>
              </w:rPr>
              <w:t>L</w:t>
            </w:r>
            <w:r>
              <w:rPr>
                <w:rFonts w:hint="default" w:ascii="Times New Roman" w:hAnsi="Times New Roman" w:eastAsia="宋体" w:cs="Times New Roman"/>
                <w:i/>
                <w:iCs/>
                <w:sz w:val="24"/>
                <w:szCs w:val="24"/>
                <w:vertAlign w:val="subscript"/>
                <w:lang w:val="en-US" w:eastAsia="zh-CN"/>
              </w:rPr>
              <w:t>p</w:t>
            </w:r>
            <w:r>
              <w:rPr>
                <w:rFonts w:hint="default" w:ascii="Times New Roman" w:hAnsi="Times New Roman" w:eastAsia="宋体" w:cs="Times New Roman"/>
                <w:sz w:val="24"/>
                <w:szCs w:val="24"/>
                <w:lang w:val="en-US" w:eastAsia="zh-CN"/>
              </w:rPr>
              <w:t>1和</w:t>
            </w:r>
            <w:r>
              <w:rPr>
                <w:rFonts w:hint="default" w:ascii="Times New Roman" w:hAnsi="Times New Roman" w:eastAsia="宋体" w:cs="Times New Roman"/>
                <w:i/>
                <w:iCs/>
                <w:sz w:val="24"/>
                <w:szCs w:val="24"/>
                <w:lang w:val="en-US" w:eastAsia="zh-CN"/>
              </w:rPr>
              <w:t>L</w:t>
            </w:r>
            <w:r>
              <w:rPr>
                <w:rFonts w:hint="default" w:ascii="Times New Roman" w:hAnsi="Times New Roman" w:eastAsia="宋体" w:cs="Times New Roman"/>
                <w:i/>
                <w:iCs/>
                <w:sz w:val="24"/>
                <w:szCs w:val="24"/>
                <w:vertAlign w:val="subscript"/>
                <w:lang w:val="en-US" w:eastAsia="zh-CN"/>
              </w:rPr>
              <w:t>p</w:t>
            </w:r>
            <w:r>
              <w:rPr>
                <w:rFonts w:hint="default" w:ascii="Times New Roman" w:hAnsi="Times New Roman" w:eastAsia="宋体" w:cs="Times New Roman"/>
                <w:sz w:val="24"/>
                <w:szCs w:val="24"/>
                <w:lang w:val="en-US" w:eastAsia="zh-CN"/>
              </w:rPr>
              <w:t>2。若声源所在室内声场为近似扩散声场，则室外的倍频带声压级可按式</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B.1</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近似求出：</w:t>
            </w:r>
          </w:p>
          <w:p w14:paraId="4FBF8065">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righ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drawing>
                <wp:inline distT="0" distB="0" distL="114300" distR="114300">
                  <wp:extent cx="1376045" cy="269240"/>
                  <wp:effectExtent l="0" t="0" r="14605" b="16510"/>
                  <wp:docPr id="96" name="图片 5" descr="1781691141495_64F5B23B-5773-4e17-BFD9-EC25094E29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5" descr="1781691141495_64F5B23B-5773-4e17-BFD9-EC25094E29D0"/>
                          <pic:cNvPicPr>
                            <a:picLocks noChangeAspect="1"/>
                          </pic:cNvPicPr>
                        </pic:nvPicPr>
                        <pic:blipFill>
                          <a:blip r:embed="rId19"/>
                          <a:srcRect l="3987" t="-5473"/>
                          <a:stretch>
                            <a:fillRect/>
                          </a:stretch>
                        </pic:blipFill>
                        <pic:spPr>
                          <a:xfrm>
                            <a:off x="0" y="0"/>
                            <a:ext cx="1376045" cy="269240"/>
                          </a:xfrm>
                          <a:prstGeom prst="rect">
                            <a:avLst/>
                          </a:prstGeom>
                          <a:noFill/>
                          <a:ln>
                            <a:noFill/>
                          </a:ln>
                        </pic:spPr>
                      </pic:pic>
                    </a:graphicData>
                  </a:graphic>
                </wp:inline>
              </w:drawing>
            </w:r>
            <w:r>
              <w:rPr>
                <w:rFonts w:hint="eastAsia" w:ascii="Times New Roman" w:hAnsi="Times New Roman" w:eastAsia="宋体" w:cs="Times New Roman"/>
                <w:sz w:val="24"/>
                <w:szCs w:val="24"/>
                <w:lang w:val="en-US" w:eastAsia="zh-CN"/>
              </w:rPr>
              <w:t xml:space="preserve">                          （B.1）</w:t>
            </w:r>
          </w:p>
          <w:p w14:paraId="34355444">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式中：</w:t>
            </w:r>
            <w:r>
              <w:rPr>
                <w:rFonts w:hint="default" w:ascii="Times New Roman" w:hAnsi="Times New Roman" w:eastAsia="宋体" w:cs="Times New Roman"/>
                <w:i/>
                <w:iCs/>
                <w:sz w:val="24"/>
                <w:szCs w:val="24"/>
                <w:lang w:val="en-US" w:eastAsia="zh-CN"/>
              </w:rPr>
              <w:t>Lp</w:t>
            </w:r>
            <w:r>
              <w:rPr>
                <w:rFonts w:hint="default" w:ascii="Times New Roman" w:hAnsi="Times New Roman" w:eastAsia="宋体" w:cs="Times New Roman"/>
                <w:sz w:val="24"/>
                <w:szCs w:val="24"/>
                <w:lang w:val="en-US" w:eastAsia="zh-CN"/>
              </w:rPr>
              <w:t>₁——靠近开口处（或窗户）室内某倍频带的声压级或A声级，dB</w:t>
            </w:r>
            <w:r>
              <w:rPr>
                <w:rFonts w:hint="eastAsia" w:ascii="Times New Roman" w:hAnsi="Times New Roman" w:eastAsia="宋体" w:cs="Times New Roman"/>
                <w:sz w:val="24"/>
                <w:szCs w:val="24"/>
                <w:lang w:val="en-US" w:eastAsia="zh-CN"/>
              </w:rPr>
              <w:t>；</w:t>
            </w:r>
          </w:p>
          <w:p w14:paraId="484D4C51">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z w:val="24"/>
                <w:szCs w:val="24"/>
                <w:lang w:val="en-US" w:eastAsia="zh-CN"/>
              </w:rPr>
              <w:t>Lp</w:t>
            </w:r>
            <w:r>
              <w:rPr>
                <w:rFonts w:hint="default" w:ascii="Times New Roman" w:hAnsi="Times New Roman" w:eastAsia="宋体" w:cs="Times New Roman"/>
                <w:sz w:val="24"/>
                <w:szCs w:val="24"/>
                <w:lang w:val="en-US" w:eastAsia="zh-CN"/>
              </w:rPr>
              <w:t>2——靠近开口处</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或窗户</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室外某倍频带的声压级或A声级，dB</w:t>
            </w:r>
            <w:r>
              <w:rPr>
                <w:rFonts w:hint="eastAsia" w:ascii="Times New Roman" w:hAnsi="Times New Roman" w:eastAsia="宋体" w:cs="Times New Roman"/>
                <w:sz w:val="24"/>
                <w:szCs w:val="24"/>
                <w:lang w:val="en-US" w:eastAsia="zh-CN"/>
              </w:rPr>
              <w:t>；</w:t>
            </w:r>
          </w:p>
          <w:p w14:paraId="213879C7">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z w:val="24"/>
                <w:szCs w:val="24"/>
                <w:lang w:val="en-US" w:eastAsia="zh-CN"/>
              </w:rPr>
              <w:t>TL</w:t>
            </w:r>
            <w:r>
              <w:rPr>
                <w:rFonts w:hint="default" w:ascii="Times New Roman" w:hAnsi="Times New Roman" w:eastAsia="宋体" w:cs="Times New Roman"/>
                <w:sz w:val="24"/>
                <w:szCs w:val="24"/>
                <w:lang w:val="en-US" w:eastAsia="zh-CN"/>
              </w:rPr>
              <w:t>——隔墙</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或窗户</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倍频带或A声级的隔声量，dB。</w:t>
            </w:r>
          </w:p>
          <w:p w14:paraId="284E610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③噪声叠加计算</w:t>
            </w:r>
          </w:p>
          <w:p w14:paraId="390D0FC1">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设第i个室外声源在预测点产生的A声级为</w:t>
            </w:r>
            <w:r>
              <w:rPr>
                <w:rFonts w:hint="default" w:ascii="Times New Roman" w:hAnsi="Times New Roman" w:eastAsia="宋体" w:cs="Times New Roman"/>
                <w:i/>
                <w:iCs/>
                <w:sz w:val="24"/>
                <w:szCs w:val="24"/>
                <w:lang w:val="en-US" w:eastAsia="zh-CN"/>
              </w:rPr>
              <w:t>L</w:t>
            </w:r>
            <w:r>
              <w:rPr>
                <w:rFonts w:hint="default" w:ascii="Times New Roman" w:hAnsi="Times New Roman" w:eastAsia="宋体" w:cs="Times New Roman"/>
                <w:sz w:val="24"/>
                <w:szCs w:val="24"/>
                <w:vertAlign w:val="subscript"/>
                <w:lang w:val="en-US" w:eastAsia="zh-CN"/>
              </w:rPr>
              <w:t>Ai</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在</w:t>
            </w:r>
            <w:r>
              <w:rPr>
                <w:rFonts w:hint="default" w:ascii="Times New Roman" w:hAnsi="Times New Roman" w:eastAsia="宋体" w:cs="Times New Roman"/>
                <w:i/>
                <w:iCs/>
                <w:sz w:val="24"/>
                <w:szCs w:val="24"/>
                <w:lang w:val="en-US" w:eastAsia="zh-CN"/>
              </w:rPr>
              <w:t>T</w:t>
            </w:r>
            <w:r>
              <w:rPr>
                <w:rFonts w:hint="default" w:ascii="Times New Roman" w:hAnsi="Times New Roman" w:eastAsia="宋体" w:cs="Times New Roman"/>
                <w:sz w:val="24"/>
                <w:szCs w:val="24"/>
                <w:lang w:val="en-US" w:eastAsia="zh-CN"/>
              </w:rPr>
              <w:t>时间内该声源工作时间为</w:t>
            </w:r>
            <w:r>
              <w:rPr>
                <w:rFonts w:hint="default" w:ascii="Times New Roman" w:hAnsi="Times New Roman" w:eastAsia="宋体" w:cs="Times New Roman"/>
                <w:i/>
                <w:iCs/>
                <w:sz w:val="24"/>
                <w:szCs w:val="24"/>
                <w:lang w:val="en-US" w:eastAsia="zh-CN"/>
              </w:rPr>
              <w:t>t</w:t>
            </w:r>
            <w:r>
              <w:rPr>
                <w:rFonts w:hint="eastAsia" w:ascii="Times New Roman" w:hAnsi="Times New Roman" w:eastAsia="宋体" w:cs="Times New Roman"/>
                <w:i/>
                <w:iCs/>
                <w:sz w:val="24"/>
                <w:szCs w:val="24"/>
                <w:vertAlign w:val="subscript"/>
                <w:lang w:val="en-US" w:eastAsia="zh-CN"/>
              </w:rPr>
              <w:t>i</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第</w:t>
            </w:r>
            <w:r>
              <w:rPr>
                <w:rFonts w:hint="eastAsia" w:ascii="Times New Roman" w:hAnsi="Times New Roman" w:eastAsia="宋体" w:cs="Times New Roman"/>
                <w:sz w:val="24"/>
                <w:szCs w:val="24"/>
                <w:lang w:val="en-US" w:eastAsia="zh-CN"/>
              </w:rPr>
              <w:t>j个</w:t>
            </w:r>
            <w:r>
              <w:rPr>
                <w:rFonts w:hint="default" w:ascii="Times New Roman" w:hAnsi="Times New Roman" w:eastAsia="宋体" w:cs="Times New Roman"/>
                <w:sz w:val="24"/>
                <w:szCs w:val="24"/>
                <w:lang w:val="en-US" w:eastAsia="zh-CN"/>
              </w:rPr>
              <w:t>等效室外声源在预测点产生的A声级为</w:t>
            </w:r>
            <w:r>
              <w:rPr>
                <w:rFonts w:hint="default" w:ascii="Times New Roman" w:hAnsi="Times New Roman" w:eastAsia="宋体" w:cs="Times New Roman"/>
                <w:i/>
                <w:iCs/>
                <w:sz w:val="24"/>
                <w:szCs w:val="24"/>
                <w:lang w:val="en-US" w:eastAsia="zh-CN"/>
              </w:rPr>
              <w:t>L</w:t>
            </w:r>
            <w:r>
              <w:rPr>
                <w:rFonts w:hint="default" w:ascii="Times New Roman" w:hAnsi="Times New Roman" w:eastAsia="宋体" w:cs="Times New Roman"/>
                <w:sz w:val="24"/>
                <w:szCs w:val="24"/>
                <w:vertAlign w:val="subscript"/>
                <w:lang w:val="en-US" w:eastAsia="zh-CN"/>
              </w:rPr>
              <w:t>A</w:t>
            </w:r>
            <w:r>
              <w:rPr>
                <w:rFonts w:hint="default" w:ascii="Times New Roman" w:hAnsi="Times New Roman" w:eastAsia="宋体" w:cs="Times New Roman"/>
                <w:i/>
                <w:iCs/>
                <w:sz w:val="24"/>
                <w:szCs w:val="24"/>
                <w:vertAlign w:val="subscript"/>
                <w:lang w:val="en-US" w:eastAsia="zh-CN"/>
              </w:rPr>
              <w:t>j</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在</w:t>
            </w:r>
            <w:r>
              <w:rPr>
                <w:rFonts w:hint="default" w:ascii="Times New Roman" w:hAnsi="Times New Roman" w:eastAsia="宋体" w:cs="Times New Roman"/>
                <w:i/>
                <w:iCs/>
                <w:sz w:val="24"/>
                <w:szCs w:val="24"/>
                <w:lang w:val="en-US" w:eastAsia="zh-CN"/>
              </w:rPr>
              <w:t>T</w:t>
            </w:r>
            <w:r>
              <w:rPr>
                <w:rFonts w:hint="default" w:ascii="Times New Roman" w:hAnsi="Times New Roman" w:eastAsia="宋体" w:cs="Times New Roman"/>
                <w:sz w:val="24"/>
                <w:szCs w:val="24"/>
                <w:lang w:val="en-US" w:eastAsia="zh-CN"/>
              </w:rPr>
              <w:t>时间内该声源工作时间为</w:t>
            </w:r>
            <w:r>
              <w:rPr>
                <w:rFonts w:hint="default" w:ascii="Times New Roman" w:hAnsi="Times New Roman" w:eastAsia="宋体" w:cs="Times New Roman"/>
                <w:i/>
                <w:iCs/>
                <w:sz w:val="24"/>
                <w:szCs w:val="24"/>
                <w:lang w:val="en-US" w:eastAsia="zh-CN"/>
              </w:rPr>
              <w:t>t</w:t>
            </w:r>
            <w:r>
              <w:rPr>
                <w:rFonts w:hint="eastAsia" w:ascii="Times New Roman" w:hAnsi="Times New Roman" w:eastAsia="宋体" w:cs="Times New Roman"/>
                <w:sz w:val="24"/>
                <w:szCs w:val="24"/>
                <w:vertAlign w:val="subscript"/>
                <w:lang w:val="en-US" w:eastAsia="zh-CN"/>
              </w:rPr>
              <w:t>j</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则拟建工程声源对预测点产生的贡献值</w:t>
            </w:r>
            <w:r>
              <w:rPr>
                <w:rFonts w:hint="eastAsia" w:cs="Times New Roman"/>
                <w:sz w:val="24"/>
                <w:szCs w:val="24"/>
                <w:lang w:val="en-US" w:eastAsia="zh-CN"/>
              </w:rPr>
              <w:t>（</w:t>
            </w:r>
            <w:r>
              <w:rPr>
                <w:rFonts w:hint="default" w:ascii="Times New Roman" w:hAnsi="Times New Roman" w:eastAsia="宋体" w:cs="Times New Roman"/>
                <w:i/>
                <w:iCs/>
                <w:sz w:val="24"/>
                <w:szCs w:val="24"/>
                <w:lang w:val="en-US" w:eastAsia="zh-CN"/>
              </w:rPr>
              <w:t>L</w:t>
            </w:r>
            <w:r>
              <w:rPr>
                <w:rFonts w:hint="default" w:ascii="Times New Roman" w:hAnsi="Times New Roman" w:eastAsia="宋体" w:cs="Times New Roman"/>
                <w:sz w:val="24"/>
                <w:szCs w:val="24"/>
                <w:vertAlign w:val="subscript"/>
                <w:lang w:val="en-US" w:eastAsia="zh-CN"/>
              </w:rPr>
              <w:t>eqg</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为：</w:t>
            </w:r>
          </w:p>
          <w:p w14:paraId="31B559F8">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0" w:firstLineChars="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object>
                <v:shape id="_x0000_i1025" o:spt="75" type="#_x0000_t75" style="height:55.5pt;width:318pt;" o:ole="t" filled="f" o:preferrelative="t" stroked="f" coordsize="21600,21600">
                  <v:path/>
                  <v:fill on="f" focussize="0,0"/>
                  <v:stroke on="f"/>
                  <v:imagedata r:id="rId21" o:title=""/>
                  <o:lock v:ext="edit" aspectratio="t"/>
                  <w10:wrap type="none"/>
                  <w10:anchorlock/>
                </v:shape>
                <o:OLEObject Type="Embed" ProgID="Word.Document.12" ShapeID="_x0000_i1025" DrawAspect="Content" ObjectID="_1468075725" r:id="rId20">
                  <o:LockedField>false</o:LockedField>
                </o:OLEObject>
              </w:object>
            </w:r>
          </w:p>
          <w:p w14:paraId="128DDAB0">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式中：</w:t>
            </w:r>
            <w:r>
              <w:rPr>
                <w:rFonts w:hint="default" w:ascii="Times New Roman" w:hAnsi="Times New Roman" w:eastAsia="宋体" w:cs="Times New Roman"/>
                <w:i/>
                <w:iCs/>
                <w:sz w:val="24"/>
                <w:szCs w:val="24"/>
                <w:lang w:val="en-US" w:eastAsia="zh-CN"/>
              </w:rPr>
              <w:t>L</w:t>
            </w:r>
            <w:r>
              <w:rPr>
                <w:rFonts w:hint="default" w:ascii="Times New Roman" w:hAnsi="Times New Roman" w:eastAsia="宋体" w:cs="Times New Roman"/>
                <w:sz w:val="24"/>
                <w:szCs w:val="24"/>
                <w:vertAlign w:val="subscript"/>
                <w:lang w:val="en-US" w:eastAsia="zh-CN"/>
              </w:rPr>
              <w:t>eqg</w:t>
            </w:r>
            <w:r>
              <w:rPr>
                <w:rFonts w:hint="default" w:ascii="Times New Roman" w:hAnsi="Times New Roman" w:eastAsia="宋体" w:cs="Times New Roman"/>
                <w:sz w:val="24"/>
                <w:szCs w:val="24"/>
                <w:lang w:val="en-US" w:eastAsia="zh-CN"/>
              </w:rPr>
              <w:t>—建设项目声源在预测点产生的噪声贡献值，dB</w:t>
            </w:r>
            <w:r>
              <w:rPr>
                <w:rFonts w:hint="eastAsia" w:ascii="Times New Roman" w:hAnsi="Times New Roman" w:eastAsia="宋体" w:cs="Times New Roman"/>
                <w:sz w:val="24"/>
                <w:szCs w:val="24"/>
                <w:lang w:val="en-US" w:eastAsia="zh-CN"/>
              </w:rPr>
              <w:t>；</w:t>
            </w:r>
          </w:p>
          <w:p w14:paraId="44769231">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z w:val="24"/>
                <w:szCs w:val="24"/>
                <w:lang w:val="en-US" w:eastAsia="zh-CN"/>
              </w:rPr>
              <w:t>T</w:t>
            </w:r>
            <w:r>
              <w:rPr>
                <w:rFonts w:hint="default" w:ascii="Times New Roman" w:hAnsi="Times New Roman" w:eastAsia="宋体" w:cs="Times New Roman"/>
                <w:sz w:val="24"/>
                <w:szCs w:val="24"/>
                <w:lang w:val="en-US" w:eastAsia="zh-CN"/>
              </w:rPr>
              <w:t>——用于计算等效声级的时间，</w:t>
            </w:r>
            <w:r>
              <w:rPr>
                <w:rFonts w:hint="eastAsia" w:ascii="Times New Roman" w:hAnsi="Times New Roman" w:eastAsia="宋体" w:cs="Times New Roman"/>
                <w:sz w:val="24"/>
                <w:szCs w:val="24"/>
                <w:lang w:val="en-US" w:eastAsia="zh-CN"/>
              </w:rPr>
              <w:t>s；</w:t>
            </w:r>
          </w:p>
          <w:p w14:paraId="4C94E87B">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z w:val="24"/>
                <w:szCs w:val="24"/>
                <w:lang w:val="en-US" w:eastAsia="zh-CN"/>
              </w:rPr>
              <w:t>N</w:t>
            </w:r>
            <w:r>
              <w:rPr>
                <w:rFonts w:hint="default" w:ascii="Times New Roman" w:hAnsi="Times New Roman" w:eastAsia="宋体" w:cs="Times New Roman"/>
                <w:sz w:val="24"/>
                <w:szCs w:val="24"/>
                <w:lang w:val="en-US" w:eastAsia="zh-CN"/>
              </w:rPr>
              <w:t>——室外声源个数；</w:t>
            </w:r>
          </w:p>
          <w:p w14:paraId="2C04E33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z w:val="24"/>
                <w:szCs w:val="24"/>
                <w:lang w:val="en-US" w:eastAsia="zh-CN"/>
              </w:rPr>
              <w:t>t</w:t>
            </w:r>
            <w:r>
              <w:rPr>
                <w:rFonts w:hint="default" w:ascii="Times New Roman" w:hAnsi="Times New Roman" w:eastAsia="宋体" w:cs="Times New Roman"/>
                <w:i/>
                <w:iCs/>
                <w:sz w:val="24"/>
                <w:szCs w:val="24"/>
                <w:vertAlign w:val="subscript"/>
                <w:lang w:val="en-US" w:eastAsia="zh-CN"/>
              </w:rPr>
              <w:t>i</w:t>
            </w:r>
            <w:r>
              <w:rPr>
                <w:rFonts w:hint="default" w:ascii="Times New Roman" w:hAnsi="Times New Roman" w:eastAsia="宋体" w:cs="Times New Roman"/>
                <w:sz w:val="24"/>
                <w:szCs w:val="24"/>
                <w:lang w:val="en-US" w:eastAsia="zh-CN"/>
              </w:rPr>
              <w:t>——在</w:t>
            </w:r>
            <w:r>
              <w:rPr>
                <w:rFonts w:hint="default" w:ascii="Times New Roman" w:hAnsi="Times New Roman" w:eastAsia="宋体" w:cs="Times New Roman"/>
                <w:i/>
                <w:iCs/>
                <w:sz w:val="24"/>
                <w:szCs w:val="24"/>
                <w:lang w:val="en-US" w:eastAsia="zh-CN"/>
              </w:rPr>
              <w:t>T</w:t>
            </w:r>
            <w:r>
              <w:rPr>
                <w:rFonts w:hint="default" w:ascii="Times New Roman" w:hAnsi="Times New Roman" w:eastAsia="宋体" w:cs="Times New Roman"/>
                <w:sz w:val="24"/>
                <w:szCs w:val="24"/>
                <w:lang w:val="en-US" w:eastAsia="zh-CN"/>
              </w:rPr>
              <w:t>时间内</w:t>
            </w:r>
            <w:r>
              <w:rPr>
                <w:rFonts w:hint="default" w:ascii="Times New Roman" w:hAnsi="Times New Roman" w:eastAsia="宋体" w:cs="Times New Roman"/>
                <w:i/>
                <w:iCs/>
                <w:sz w:val="24"/>
                <w:szCs w:val="24"/>
                <w:lang w:val="en-US" w:eastAsia="zh-CN"/>
              </w:rPr>
              <w:t>i</w:t>
            </w:r>
            <w:r>
              <w:rPr>
                <w:rFonts w:hint="default" w:ascii="Times New Roman" w:hAnsi="Times New Roman" w:eastAsia="宋体" w:cs="Times New Roman"/>
                <w:sz w:val="24"/>
                <w:szCs w:val="24"/>
                <w:lang w:val="en-US" w:eastAsia="zh-CN"/>
              </w:rPr>
              <w:t>声源工作时间，s；</w:t>
            </w:r>
          </w:p>
          <w:p w14:paraId="2D12B0E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right="0"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i/>
                <w:iCs/>
                <w:sz w:val="24"/>
                <w:szCs w:val="24"/>
                <w:lang w:val="en-US" w:eastAsia="zh-CN"/>
              </w:rPr>
              <w:t>M</w:t>
            </w:r>
            <w:r>
              <w:rPr>
                <w:rFonts w:hint="default" w:ascii="Times New Roman" w:hAnsi="Times New Roman" w:eastAsia="宋体" w:cs="Times New Roman"/>
                <w:sz w:val="24"/>
                <w:szCs w:val="24"/>
                <w:lang w:val="en-US" w:eastAsia="zh-CN"/>
              </w:rPr>
              <w:t>——等效室外声源个数；</w:t>
            </w:r>
          </w:p>
          <w:p w14:paraId="536FC9E0">
            <w:pPr>
              <w:pStyle w:val="7"/>
              <w:bidi w:val="0"/>
              <w:rPr>
                <w:rFonts w:hint="eastAsia"/>
              </w:rPr>
            </w:pPr>
            <w:r>
              <w:rPr>
                <w:rFonts w:hint="default" w:ascii="Times New Roman" w:hAnsi="Times New Roman" w:eastAsia="宋体" w:cs="Times New Roman"/>
                <w:i/>
                <w:iCs/>
                <w:sz w:val="24"/>
                <w:szCs w:val="24"/>
                <w:lang w:val="en-US" w:eastAsia="zh-CN"/>
              </w:rPr>
              <w:t>t</w:t>
            </w:r>
            <w:r>
              <w:rPr>
                <w:rFonts w:hint="eastAsia" w:ascii="Times New Roman" w:hAnsi="Times New Roman" w:eastAsia="宋体" w:cs="Times New Roman"/>
                <w:sz w:val="24"/>
                <w:szCs w:val="24"/>
                <w:vertAlign w:val="subscript"/>
                <w:lang w:val="en-US" w:eastAsia="zh-CN"/>
              </w:rPr>
              <w:t>j</w:t>
            </w:r>
            <w:r>
              <w:rPr>
                <w:rFonts w:hint="default" w:ascii="Times New Roman" w:hAnsi="Times New Roman" w:eastAsia="宋体" w:cs="Times New Roman"/>
                <w:sz w:val="24"/>
                <w:szCs w:val="24"/>
                <w:lang w:val="en-US" w:eastAsia="zh-CN"/>
              </w:rPr>
              <w:t>——在</w:t>
            </w:r>
            <w:r>
              <w:rPr>
                <w:rFonts w:hint="default" w:ascii="Times New Roman" w:hAnsi="Times New Roman" w:eastAsia="宋体" w:cs="Times New Roman"/>
                <w:i/>
                <w:iCs/>
                <w:sz w:val="24"/>
                <w:szCs w:val="24"/>
                <w:lang w:val="en-US" w:eastAsia="zh-CN"/>
              </w:rPr>
              <w:t>T</w:t>
            </w:r>
            <w:r>
              <w:rPr>
                <w:rFonts w:hint="default" w:ascii="Times New Roman" w:hAnsi="Times New Roman" w:eastAsia="宋体" w:cs="Times New Roman"/>
                <w:sz w:val="24"/>
                <w:szCs w:val="24"/>
                <w:lang w:val="en-US" w:eastAsia="zh-CN"/>
              </w:rPr>
              <w:t>时间内</w:t>
            </w:r>
            <w:r>
              <w:rPr>
                <w:rFonts w:hint="default" w:ascii="Times New Roman" w:hAnsi="Times New Roman" w:eastAsia="宋体" w:cs="Times New Roman"/>
                <w:i/>
                <w:iCs/>
                <w:sz w:val="24"/>
                <w:szCs w:val="24"/>
                <w:lang w:val="en-US" w:eastAsia="zh-CN"/>
              </w:rPr>
              <w:t>j</w:t>
            </w:r>
            <w:r>
              <w:rPr>
                <w:rFonts w:hint="default" w:ascii="Times New Roman" w:hAnsi="Times New Roman" w:eastAsia="宋体" w:cs="Times New Roman"/>
                <w:sz w:val="24"/>
                <w:szCs w:val="24"/>
                <w:lang w:val="en-US" w:eastAsia="zh-CN"/>
              </w:rPr>
              <w:t>声源工作时间，s。</w:t>
            </w:r>
          </w:p>
          <w:p w14:paraId="431C0BF4">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2.</w:t>
            </w:r>
            <w:r>
              <w:rPr>
                <w:rFonts w:hint="eastAsia"/>
                <w:sz w:val="24"/>
                <w:szCs w:val="24"/>
              </w:rPr>
              <w:t>3.3厂界达标预测</w:t>
            </w:r>
          </w:p>
          <w:p w14:paraId="6AD3D5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sz w:val="24"/>
                <w:szCs w:val="24"/>
              </w:rPr>
              <w:t>根据《环境影响评价技术导则 声环境》（HJ2.4-2021）中推荐的预测方法，在采取上述降噪措施后，本项目各厂界噪声贡献值如下：</w:t>
            </w:r>
          </w:p>
          <w:p w14:paraId="04FE20B3">
            <w:pPr>
              <w:pStyle w:val="23"/>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表4-20 项目噪声预测结果一览表 单位：dB（A）</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5"/>
              <w:gridCol w:w="1382"/>
              <w:gridCol w:w="3107"/>
              <w:gridCol w:w="1726"/>
            </w:tblGrid>
            <w:tr w14:paraId="738D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68DE5C4C">
                  <w:pPr>
                    <w:jc w:val="center"/>
                    <w:rPr>
                      <w:b w:val="0"/>
                      <w:color w:val="000000"/>
                    </w:rPr>
                  </w:pPr>
                  <w:r>
                    <w:rPr>
                      <w:b w:val="0"/>
                      <w:color w:val="000000"/>
                    </w:rPr>
                    <w:t>预测点</w:t>
                  </w:r>
                </w:p>
              </w:tc>
              <w:tc>
                <w:tcPr>
                  <w:tcW w:w="8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63A498">
                  <w:pPr>
                    <w:jc w:val="center"/>
                    <w:rPr>
                      <w:b w:val="0"/>
                      <w:color w:val="000000"/>
                    </w:rPr>
                  </w:pPr>
                  <w:r>
                    <w:rPr>
                      <w:b w:val="0"/>
                      <w:color w:val="000000"/>
                    </w:rPr>
                    <w:t>贡献值</w:t>
                  </w:r>
                </w:p>
              </w:tc>
              <w:tc>
                <w:tcPr>
                  <w:tcW w:w="19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459182">
                  <w:pPr>
                    <w:jc w:val="center"/>
                    <w:rPr>
                      <w:b w:val="0"/>
                      <w:color w:val="000000"/>
                    </w:rPr>
                  </w:pPr>
                  <w:r>
                    <w:rPr>
                      <w:b w:val="0"/>
                      <w:color w:val="000000"/>
                    </w:rPr>
                    <w:t>标准值</w:t>
                  </w: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9DC8E">
                  <w:pPr>
                    <w:jc w:val="center"/>
                    <w:rPr>
                      <w:b w:val="0"/>
                      <w:color w:val="000000"/>
                    </w:rPr>
                  </w:pPr>
                  <w:r>
                    <w:rPr>
                      <w:b w:val="0"/>
                      <w:color w:val="000000"/>
                    </w:rPr>
                    <w:t>达标情况</w:t>
                  </w:r>
                </w:p>
              </w:tc>
            </w:tr>
            <w:tr w14:paraId="4D900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F4DECD">
                  <w:pPr>
                    <w:jc w:val="center"/>
                    <w:rPr>
                      <w:b w:val="0"/>
                      <w:color w:val="000000"/>
                    </w:rPr>
                  </w:pPr>
                  <w:r>
                    <w:rPr>
                      <w:b w:val="0"/>
                      <w:color w:val="000000"/>
                    </w:rPr>
                    <w:t>厂界东侧</w:t>
                  </w:r>
                </w:p>
              </w:tc>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8E4ED">
                  <w:pPr>
                    <w:jc w:val="center"/>
                    <w:rPr>
                      <w:b w:val="0"/>
                      <w:color w:val="000000"/>
                      <w:highlight w:val="yellow"/>
                    </w:rPr>
                  </w:pPr>
                  <w:r>
                    <w:rPr>
                      <w:rFonts w:hint="eastAsia"/>
                      <w:b w:val="0"/>
                      <w:color w:val="000000"/>
                      <w:lang w:val="en-US" w:eastAsia="zh-CN"/>
                    </w:rPr>
                    <w:t>52.6</w:t>
                  </w:r>
                </w:p>
              </w:tc>
              <w:tc>
                <w:tcPr>
                  <w:tcW w:w="19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AC46E">
                  <w:pPr>
                    <w:jc w:val="center"/>
                    <w:rPr>
                      <w:b w:val="0"/>
                      <w:color w:val="000000"/>
                    </w:rPr>
                  </w:pPr>
                  <w:r>
                    <w:rPr>
                      <w:b w:val="0"/>
                      <w:color w:val="000000"/>
                    </w:rPr>
                    <w:t>昼间≤65，夜间≤55</w:t>
                  </w: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E68DA1">
                  <w:pPr>
                    <w:jc w:val="center"/>
                    <w:rPr>
                      <w:b w:val="0"/>
                      <w:color w:val="000000"/>
                    </w:rPr>
                  </w:pPr>
                  <w:r>
                    <w:rPr>
                      <w:b w:val="0"/>
                      <w:color w:val="000000"/>
                    </w:rPr>
                    <w:t>达标</w:t>
                  </w:r>
                </w:p>
              </w:tc>
            </w:tr>
            <w:tr w14:paraId="7D8A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1F7705">
                  <w:pPr>
                    <w:jc w:val="center"/>
                    <w:rPr>
                      <w:b w:val="0"/>
                      <w:color w:val="000000"/>
                    </w:rPr>
                  </w:pPr>
                  <w:r>
                    <w:rPr>
                      <w:b w:val="0"/>
                      <w:color w:val="000000"/>
                    </w:rPr>
                    <w:t>厂界南侧</w:t>
                  </w:r>
                </w:p>
              </w:tc>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999DD">
                  <w:pPr>
                    <w:jc w:val="center"/>
                    <w:rPr>
                      <w:b w:val="0"/>
                      <w:color w:val="000000"/>
                      <w:highlight w:val="yellow"/>
                    </w:rPr>
                  </w:pPr>
                  <w:r>
                    <w:rPr>
                      <w:rFonts w:hint="eastAsia"/>
                      <w:b w:val="0"/>
                      <w:color w:val="000000"/>
                      <w:lang w:val="en-US" w:eastAsia="zh-CN"/>
                    </w:rPr>
                    <w:t>48.3</w:t>
                  </w:r>
                </w:p>
              </w:tc>
              <w:tc>
                <w:tcPr>
                  <w:tcW w:w="19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0B3775">
                  <w:pPr>
                    <w:jc w:val="center"/>
                    <w:rPr>
                      <w:b w:val="0"/>
                      <w:color w:val="000000"/>
                    </w:rPr>
                  </w:pPr>
                  <w:r>
                    <w:rPr>
                      <w:b w:val="0"/>
                      <w:color w:val="000000"/>
                    </w:rPr>
                    <w:t>昼间≤65，夜间≤55</w:t>
                  </w: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10410">
                  <w:pPr>
                    <w:jc w:val="center"/>
                    <w:rPr>
                      <w:b w:val="0"/>
                      <w:color w:val="000000"/>
                    </w:rPr>
                  </w:pPr>
                  <w:r>
                    <w:rPr>
                      <w:b w:val="0"/>
                      <w:color w:val="000000"/>
                    </w:rPr>
                    <w:t>达标</w:t>
                  </w:r>
                </w:p>
              </w:tc>
            </w:tr>
            <w:tr w14:paraId="0D540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E71E55">
                  <w:pPr>
                    <w:jc w:val="center"/>
                    <w:rPr>
                      <w:b w:val="0"/>
                      <w:color w:val="000000"/>
                    </w:rPr>
                  </w:pPr>
                  <w:r>
                    <w:rPr>
                      <w:b w:val="0"/>
                      <w:color w:val="000000"/>
                    </w:rPr>
                    <w:t>厂界西侧</w:t>
                  </w:r>
                </w:p>
              </w:tc>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0BEB0">
                  <w:pPr>
                    <w:jc w:val="center"/>
                    <w:rPr>
                      <w:b w:val="0"/>
                      <w:color w:val="000000"/>
                      <w:highlight w:val="yellow"/>
                    </w:rPr>
                  </w:pPr>
                  <w:r>
                    <w:rPr>
                      <w:rFonts w:hint="eastAsia"/>
                      <w:b w:val="0"/>
                      <w:color w:val="000000"/>
                      <w:lang w:val="en-US" w:eastAsia="zh-CN"/>
                    </w:rPr>
                    <w:t>53.1</w:t>
                  </w:r>
                </w:p>
              </w:tc>
              <w:tc>
                <w:tcPr>
                  <w:tcW w:w="19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3C41F9">
                  <w:pPr>
                    <w:jc w:val="center"/>
                    <w:rPr>
                      <w:b w:val="0"/>
                      <w:color w:val="000000"/>
                    </w:rPr>
                  </w:pPr>
                  <w:r>
                    <w:rPr>
                      <w:b w:val="0"/>
                      <w:color w:val="000000"/>
                    </w:rPr>
                    <w:t>昼间≤65，夜间≤55</w:t>
                  </w: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999BDD">
                  <w:pPr>
                    <w:jc w:val="center"/>
                    <w:rPr>
                      <w:b w:val="0"/>
                      <w:color w:val="000000"/>
                    </w:rPr>
                  </w:pPr>
                  <w:r>
                    <w:rPr>
                      <w:b w:val="0"/>
                      <w:color w:val="000000"/>
                    </w:rPr>
                    <w:t>达标</w:t>
                  </w:r>
                </w:p>
              </w:tc>
            </w:tr>
            <w:tr w14:paraId="3CC4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F2CE90">
                  <w:pPr>
                    <w:jc w:val="center"/>
                    <w:rPr>
                      <w:b w:val="0"/>
                      <w:color w:val="000000"/>
                    </w:rPr>
                  </w:pPr>
                  <w:r>
                    <w:rPr>
                      <w:b w:val="0"/>
                      <w:color w:val="000000"/>
                    </w:rPr>
                    <w:t>厂界北侧</w:t>
                  </w:r>
                </w:p>
              </w:tc>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F1F41">
                  <w:pPr>
                    <w:jc w:val="center"/>
                    <w:rPr>
                      <w:b w:val="0"/>
                      <w:color w:val="000000"/>
                      <w:highlight w:val="yellow"/>
                    </w:rPr>
                  </w:pPr>
                  <w:r>
                    <w:rPr>
                      <w:rFonts w:hint="eastAsia"/>
                      <w:b w:val="0"/>
                      <w:color w:val="000000"/>
                      <w:lang w:val="en-US" w:eastAsia="zh-CN"/>
                    </w:rPr>
                    <w:t>45.7</w:t>
                  </w:r>
                </w:p>
              </w:tc>
              <w:tc>
                <w:tcPr>
                  <w:tcW w:w="19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0112E9">
                  <w:pPr>
                    <w:jc w:val="center"/>
                    <w:rPr>
                      <w:b w:val="0"/>
                      <w:color w:val="000000"/>
                    </w:rPr>
                  </w:pPr>
                  <w:r>
                    <w:rPr>
                      <w:b w:val="0"/>
                      <w:color w:val="000000"/>
                    </w:rPr>
                    <w:t>昼间≤65，夜间≤55</w:t>
                  </w:r>
                </w:p>
              </w:tc>
              <w:tc>
                <w:tcPr>
                  <w:tcW w:w="10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C0DAF">
                  <w:pPr>
                    <w:jc w:val="center"/>
                    <w:rPr>
                      <w:b w:val="0"/>
                      <w:color w:val="000000"/>
                    </w:rPr>
                  </w:pPr>
                  <w:r>
                    <w:rPr>
                      <w:b w:val="0"/>
                      <w:color w:val="000000"/>
                    </w:rPr>
                    <w:t>达标</w:t>
                  </w:r>
                </w:p>
              </w:tc>
            </w:tr>
          </w:tbl>
          <w:p w14:paraId="5F41C7EA">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2.</w:t>
            </w:r>
            <w:r>
              <w:rPr>
                <w:rFonts w:hint="eastAsia"/>
                <w:sz w:val="24"/>
                <w:szCs w:val="24"/>
              </w:rPr>
              <w:t>3.4监测要求</w:t>
            </w:r>
          </w:p>
          <w:p w14:paraId="3FF47D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Arial" w:hAnsi="Arial" w:eastAsia="黑体" w:cs="Times New Roman"/>
                <w:kern w:val="2"/>
                <w:sz w:val="20"/>
                <w:szCs w:val="24"/>
                <w:lang w:val="en-US" w:eastAsia="zh-CN" w:bidi="ar-SA"/>
              </w:rPr>
            </w:pPr>
            <w:r>
              <w:rPr>
                <w:rFonts w:hint="eastAsia"/>
                <w:sz w:val="24"/>
                <w:szCs w:val="24"/>
              </w:rPr>
              <w:t>根据《排污单位自行监测技术指南 水处理》（HJ1083-2020），运营期噪声监测计划如下：</w:t>
            </w:r>
          </w:p>
          <w:p w14:paraId="2D0510FA">
            <w:pPr>
              <w:pStyle w:val="23"/>
              <w:bidi w:val="0"/>
              <w:rPr>
                <w:rFonts w:hint="eastAsia" w:ascii="Arial" w:hAnsi="Arial" w:eastAsia="黑体" w:cs="Times New Roman"/>
                <w:kern w:val="2"/>
                <w:szCs w:val="24"/>
                <w:lang w:val="en-US" w:eastAsia="zh-CN" w:bidi="ar-SA"/>
              </w:rPr>
            </w:pPr>
            <w:r>
              <w:rPr>
                <w:rFonts w:hint="eastAsia"/>
                <w:lang w:val="en-US" w:eastAsia="zh-CN"/>
              </w:rPr>
              <w:t>表4-21 项目运营期噪声监测计划</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6"/>
              <w:gridCol w:w="1457"/>
              <w:gridCol w:w="1266"/>
              <w:gridCol w:w="3291"/>
            </w:tblGrid>
            <w:tr w14:paraId="4951F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2"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15006946">
                  <w:pPr>
                    <w:jc w:val="center"/>
                    <w:rPr>
                      <w:rFonts w:hint="eastAsia"/>
                      <w:b w:val="0"/>
                      <w:color w:val="000000"/>
                    </w:rPr>
                  </w:pPr>
                  <w:r>
                    <w:rPr>
                      <w:rFonts w:hint="eastAsia"/>
                      <w:b w:val="0"/>
                      <w:color w:val="000000"/>
                    </w:rPr>
                    <w:t>监测点位</w:t>
                  </w:r>
                </w:p>
              </w:tc>
              <w:tc>
                <w:tcPr>
                  <w:tcW w:w="9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0299C">
                  <w:pPr>
                    <w:jc w:val="center"/>
                    <w:rPr>
                      <w:rFonts w:hint="eastAsia"/>
                      <w:b w:val="0"/>
                      <w:color w:val="000000"/>
                    </w:rPr>
                  </w:pPr>
                  <w:r>
                    <w:rPr>
                      <w:rFonts w:hint="eastAsia"/>
                      <w:b w:val="0"/>
                      <w:color w:val="000000"/>
                    </w:rPr>
                    <w:t>监测指标</w:t>
                  </w:r>
                </w:p>
              </w:tc>
              <w:tc>
                <w:tcPr>
                  <w:tcW w:w="7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823301">
                  <w:pPr>
                    <w:jc w:val="center"/>
                    <w:rPr>
                      <w:rFonts w:hint="eastAsia"/>
                      <w:b w:val="0"/>
                      <w:color w:val="000000"/>
                    </w:rPr>
                  </w:pPr>
                  <w:r>
                    <w:rPr>
                      <w:rFonts w:hint="eastAsia"/>
                      <w:b w:val="0"/>
                      <w:color w:val="000000"/>
                    </w:rPr>
                    <w:t>监测频次</w:t>
                  </w:r>
                </w:p>
              </w:tc>
              <w:tc>
                <w:tcPr>
                  <w:tcW w:w="20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FC4A5D">
                  <w:pPr>
                    <w:jc w:val="center"/>
                    <w:rPr>
                      <w:rFonts w:hint="eastAsia"/>
                      <w:b w:val="0"/>
                      <w:color w:val="000000"/>
                    </w:rPr>
                  </w:pPr>
                  <w:r>
                    <w:rPr>
                      <w:rFonts w:hint="eastAsia"/>
                      <w:b w:val="0"/>
                      <w:color w:val="000000"/>
                    </w:rPr>
                    <w:t>执行标准</w:t>
                  </w:r>
                </w:p>
              </w:tc>
            </w:tr>
            <w:tr w14:paraId="70F9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78F1DD">
                  <w:pPr>
                    <w:jc w:val="center"/>
                    <w:rPr>
                      <w:rFonts w:hint="eastAsia" w:eastAsia="宋体"/>
                      <w:b w:val="0"/>
                      <w:color w:val="000000"/>
                      <w:lang w:eastAsia="zh-CN"/>
                    </w:rPr>
                  </w:pPr>
                  <w:r>
                    <w:rPr>
                      <w:rFonts w:hint="eastAsia"/>
                      <w:b w:val="0"/>
                      <w:color w:val="000000"/>
                    </w:rPr>
                    <w:t>厂界四周</w:t>
                  </w:r>
                  <w:r>
                    <w:rPr>
                      <w:rFonts w:hint="eastAsia"/>
                      <w:b w:val="0"/>
                      <w:color w:val="000000"/>
                      <w:lang w:eastAsia="zh-CN"/>
                    </w:rPr>
                    <w:t>（</w:t>
                  </w:r>
                  <w:r>
                    <w:rPr>
                      <w:rFonts w:hint="eastAsia"/>
                      <w:b w:val="0"/>
                      <w:color w:val="000000"/>
                    </w:rPr>
                    <w:t>东、南、西、北各设1个点</w:t>
                  </w:r>
                  <w:r>
                    <w:rPr>
                      <w:rFonts w:hint="eastAsia"/>
                      <w:b w:val="0"/>
                      <w:color w:val="000000"/>
                      <w:lang w:eastAsia="zh-CN"/>
                    </w:rPr>
                    <w:t>）</w:t>
                  </w:r>
                </w:p>
              </w:tc>
              <w:tc>
                <w:tcPr>
                  <w:tcW w:w="9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29430B">
                  <w:pPr>
                    <w:jc w:val="center"/>
                    <w:rPr>
                      <w:rFonts w:hint="eastAsia" w:eastAsia="宋体"/>
                      <w:b w:val="0"/>
                      <w:color w:val="000000"/>
                      <w:lang w:eastAsia="zh-CN"/>
                    </w:rPr>
                  </w:pPr>
                  <w:r>
                    <w:rPr>
                      <w:rFonts w:hint="eastAsia"/>
                      <w:b w:val="0"/>
                      <w:color w:val="000000"/>
                    </w:rPr>
                    <w:t>等效连续A声级</w:t>
                  </w:r>
                  <w:r>
                    <w:rPr>
                      <w:rFonts w:hint="eastAsia"/>
                      <w:b w:val="0"/>
                      <w:color w:val="000000"/>
                      <w:lang w:eastAsia="zh-CN"/>
                    </w:rPr>
                    <w:t>（</w:t>
                  </w:r>
                  <w:r>
                    <w:rPr>
                      <w:rFonts w:hint="eastAsia"/>
                      <w:b w:val="0"/>
                      <w:color w:val="000000"/>
                    </w:rPr>
                    <w:t>Leq</w:t>
                  </w:r>
                  <w:r>
                    <w:rPr>
                      <w:rFonts w:hint="eastAsia"/>
                      <w:b w:val="0"/>
                      <w:color w:val="000000"/>
                      <w:lang w:eastAsia="zh-CN"/>
                    </w:rPr>
                    <w:t>）</w:t>
                  </w:r>
                </w:p>
              </w:tc>
              <w:tc>
                <w:tcPr>
                  <w:tcW w:w="7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5054A5">
                  <w:pPr>
                    <w:jc w:val="center"/>
                    <w:rPr>
                      <w:rFonts w:hint="eastAsia"/>
                      <w:b w:val="0"/>
                      <w:color w:val="000000"/>
                    </w:rPr>
                  </w:pPr>
                  <w:r>
                    <w:rPr>
                      <w:rFonts w:hint="eastAsia"/>
                      <w:b w:val="0"/>
                      <w:color w:val="000000"/>
                    </w:rPr>
                    <w:t>1次/季度</w:t>
                  </w:r>
                </w:p>
              </w:tc>
              <w:tc>
                <w:tcPr>
                  <w:tcW w:w="20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7BB940">
                  <w:pPr>
                    <w:jc w:val="center"/>
                    <w:rPr>
                      <w:rFonts w:hint="eastAsia"/>
                      <w:b w:val="0"/>
                      <w:color w:val="000000"/>
                    </w:rPr>
                  </w:pPr>
                  <w:r>
                    <w:rPr>
                      <w:rFonts w:hint="eastAsia"/>
                      <w:b w:val="0"/>
                      <w:color w:val="000000"/>
                      <w:spacing w:val="-6"/>
                      <w:sz w:val="21"/>
                    </w:rPr>
                    <w:t>《工业企业厂界环境噪声排放标准》</w:t>
                  </w:r>
                  <w:r>
                    <w:rPr>
                      <w:rFonts w:hint="eastAsia"/>
                      <w:b w:val="0"/>
                      <w:color w:val="000000"/>
                      <w:spacing w:val="-6"/>
                      <w:sz w:val="21"/>
                      <w:lang w:eastAsia="zh-CN"/>
                    </w:rPr>
                    <w:t>（</w:t>
                  </w:r>
                  <w:r>
                    <w:rPr>
                      <w:rFonts w:hint="eastAsia"/>
                      <w:b w:val="0"/>
                      <w:color w:val="000000"/>
                      <w:spacing w:val="-6"/>
                      <w:sz w:val="21"/>
                    </w:rPr>
                    <w:t>GB12348-2008</w:t>
                  </w:r>
                  <w:r>
                    <w:rPr>
                      <w:rFonts w:hint="eastAsia"/>
                      <w:b w:val="0"/>
                      <w:color w:val="000000"/>
                      <w:spacing w:val="-6"/>
                      <w:sz w:val="21"/>
                      <w:lang w:eastAsia="zh-CN"/>
                    </w:rPr>
                    <w:t>）</w:t>
                  </w:r>
                  <w:r>
                    <w:rPr>
                      <w:rFonts w:hint="eastAsia"/>
                      <w:b w:val="0"/>
                      <w:color w:val="000000"/>
                      <w:spacing w:val="-6"/>
                      <w:sz w:val="21"/>
                    </w:rPr>
                    <w:t>3类标准</w:t>
                  </w:r>
                </w:p>
              </w:tc>
            </w:tr>
          </w:tbl>
          <w:p w14:paraId="72768B3B">
            <w:pPr>
              <w:keepNext w:val="0"/>
              <w:keepLines w:val="0"/>
              <w:pageBreakBefore w:val="0"/>
              <w:widowControl/>
              <w:suppressLineNumbers w:val="0"/>
              <w:kinsoku/>
              <w:wordWrap/>
              <w:overflowPunct/>
              <w:topLinePunct w:val="0"/>
              <w:autoSpaceDE/>
              <w:autoSpaceDN/>
              <w:bidi w:val="0"/>
              <w:adjustRightInd/>
              <w:snapToGrid/>
              <w:spacing w:before="157" w:beforeLines="50" w:line="360" w:lineRule="auto"/>
              <w:jc w:val="left"/>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4.</w:t>
            </w:r>
            <w:r>
              <w:rPr>
                <w:rFonts w:hint="eastAsia" w:ascii="Times New Roman" w:hAnsi="Times New Roman" w:eastAsia="宋体" w:cs="Times New Roman"/>
                <w:b/>
                <w:bCs/>
                <w:color w:val="000000"/>
                <w:kern w:val="0"/>
                <w:sz w:val="24"/>
                <w:szCs w:val="24"/>
                <w:lang w:val="en-US" w:eastAsia="zh-CN" w:bidi="ar"/>
              </w:rPr>
              <w:t xml:space="preserve">2.4 </w:t>
            </w:r>
            <w:r>
              <w:rPr>
                <w:rFonts w:hint="default" w:ascii="Times New Roman" w:hAnsi="Times New Roman" w:eastAsia="宋体" w:cs="Times New Roman"/>
                <w:b/>
                <w:bCs/>
                <w:color w:val="000000"/>
                <w:sz w:val="24"/>
              </w:rPr>
              <w:t>运营期</w:t>
            </w:r>
            <w:r>
              <w:rPr>
                <w:rFonts w:hint="eastAsia" w:ascii="Times New Roman" w:hAnsi="Times New Roman" w:eastAsia="宋体" w:cs="Times New Roman"/>
                <w:b/>
                <w:bCs/>
                <w:color w:val="000000"/>
                <w:sz w:val="24"/>
                <w:lang w:val="en-US" w:eastAsia="zh-CN"/>
              </w:rPr>
              <w:t>固体废物</w:t>
            </w:r>
            <w:r>
              <w:rPr>
                <w:rFonts w:hint="default" w:ascii="Times New Roman" w:hAnsi="Times New Roman" w:eastAsia="宋体" w:cs="Times New Roman"/>
                <w:b/>
                <w:bCs/>
                <w:color w:val="000000"/>
                <w:sz w:val="24"/>
              </w:rPr>
              <w:t>影响分析及防治措施</w:t>
            </w:r>
          </w:p>
          <w:p w14:paraId="404DF8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sz w:val="24"/>
                <w:szCs w:val="24"/>
              </w:rPr>
              <w:t>4.</w:t>
            </w:r>
            <w:r>
              <w:rPr>
                <w:rFonts w:hint="eastAsia"/>
                <w:sz w:val="24"/>
                <w:szCs w:val="24"/>
                <w:lang w:val="en-US" w:eastAsia="zh-CN"/>
              </w:rPr>
              <w:t>2.</w:t>
            </w:r>
            <w:r>
              <w:rPr>
                <w:rFonts w:hint="eastAsia"/>
                <w:sz w:val="24"/>
                <w:szCs w:val="24"/>
              </w:rPr>
              <w:t>4.1产生情况及处置去向</w:t>
            </w:r>
          </w:p>
          <w:p w14:paraId="3EF3A1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本项目运营期产生的固体废物主要包括栅渣、沉砂、脱水污泥、废包装袋、化验废液及废样品、废机油、含油废抹布及生活垃圾等。各类固废产生环节、属性、产生量核算、贮存方式及处置去向分述如下。</w:t>
            </w:r>
          </w:p>
          <w:p w14:paraId="7683C910">
            <w:pPr>
              <w:pStyle w:val="5"/>
              <w:keepNext/>
              <w:keepLines/>
              <w:pageBreakBefore w:val="0"/>
              <w:widowControl w:val="0"/>
              <w:numPr>
                <w:ilvl w:val="0"/>
                <w:numId w:val="0"/>
              </w:numPr>
              <w:kinsoku/>
              <w:wordWrap/>
              <w:overflowPunct/>
              <w:topLinePunct w:val="0"/>
              <w:autoSpaceDE/>
              <w:autoSpaceDN/>
              <w:bidi w:val="0"/>
              <w:adjustRightInd/>
              <w:snapToGrid/>
              <w:spacing w:before="0" w:beforeLines="0"/>
              <w:ind w:left="425" w:leftChars="0" w:firstLine="0" w:firstLineChars="0"/>
              <w:textAlignment w:val="auto"/>
              <w:rPr>
                <w:rFonts w:hint="eastAsia"/>
                <w:b w:val="0"/>
                <w:bCs/>
              </w:rPr>
            </w:pPr>
            <w:r>
              <w:rPr>
                <w:rFonts w:hint="eastAsia" w:cs="Times New Roman"/>
                <w:b w:val="0"/>
                <w:bCs/>
                <w:kern w:val="2"/>
                <w:sz w:val="24"/>
                <w:szCs w:val="24"/>
                <w:lang w:val="en-US" w:eastAsia="zh-CN" w:bidi="ar-SA"/>
              </w:rPr>
              <w:t>1、</w:t>
            </w:r>
            <w:r>
              <w:rPr>
                <w:rFonts w:hint="eastAsia"/>
                <w:b w:val="0"/>
                <w:bCs/>
              </w:rPr>
              <w:t>栅渣</w:t>
            </w:r>
          </w:p>
          <w:p w14:paraId="4E6EA1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产生环节：栅渣产生于污水预处理阶段的粗格栅和细格栅。粗格栅（栅条间隙20mm）拦截污水中直径大于20mm的较大漂浮物、枝状物、软性物质和塑料等；细格栅（栅条间隙3mm）进一步拦截直径大于3mm的细小颗粒物及悬浮物。</w:t>
            </w:r>
          </w:p>
          <w:p w14:paraId="129974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属性判定：栅渣属于一般工业固体废物，废物代码为900-099-S59（其他工业生产过程中产生的固体废物）。</w:t>
            </w:r>
          </w:p>
          <w:p w14:paraId="3883B5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产生量核算：根据《污水处理厂工艺设计手册》（高俊发、王社平编，2003年），栅渣发生量一般为0.05～0.1m</w:t>
            </w:r>
            <w:r>
              <w:rPr>
                <w:rFonts w:hint="eastAsia"/>
                <w:sz w:val="24"/>
                <w:szCs w:val="24"/>
                <w:vertAlign w:val="superscript"/>
                <w:lang w:val="en-US" w:eastAsia="zh-CN"/>
              </w:rPr>
              <w:t>3</w:t>
            </w:r>
            <w:r>
              <w:rPr>
                <w:rFonts w:hint="eastAsia"/>
                <w:sz w:val="24"/>
                <w:szCs w:val="24"/>
              </w:rPr>
              <w:t>/1000m</w:t>
            </w:r>
            <w:r>
              <w:rPr>
                <w:rFonts w:hint="eastAsia"/>
                <w:sz w:val="24"/>
                <w:szCs w:val="24"/>
                <w:vertAlign w:val="superscript"/>
                <w:lang w:val="en-US" w:eastAsia="zh-CN"/>
              </w:rPr>
              <w:t>3</w:t>
            </w:r>
            <w:r>
              <w:rPr>
                <w:rFonts w:hint="eastAsia"/>
                <w:sz w:val="24"/>
                <w:szCs w:val="24"/>
              </w:rPr>
              <w:t>污水。本项目设计处理规模</w:t>
            </w:r>
            <w:r>
              <w:rPr>
                <w:rFonts w:hint="eastAsia"/>
                <w:sz w:val="24"/>
                <w:szCs w:val="24"/>
                <w:lang w:val="en-US" w:eastAsia="zh-CN"/>
              </w:rPr>
              <w:t>30</w:t>
            </w:r>
            <w:r>
              <w:rPr>
                <w:rFonts w:hint="eastAsia"/>
                <w:sz w:val="24"/>
                <w:szCs w:val="24"/>
              </w:rPr>
              <w:t>00m</w:t>
            </w:r>
            <w:r>
              <w:rPr>
                <w:rFonts w:hint="eastAsia"/>
                <w:sz w:val="24"/>
                <w:szCs w:val="24"/>
                <w:vertAlign w:val="superscript"/>
                <w:lang w:val="en-US" w:eastAsia="zh-CN"/>
              </w:rPr>
              <w:t>3</w:t>
            </w:r>
            <w:r>
              <w:rPr>
                <w:rFonts w:hint="eastAsia"/>
                <w:sz w:val="24"/>
                <w:szCs w:val="24"/>
              </w:rPr>
              <w:t>/d，栅渣产生量按0.07m</w:t>
            </w:r>
            <w:r>
              <w:rPr>
                <w:rFonts w:hint="eastAsia"/>
                <w:sz w:val="24"/>
                <w:szCs w:val="24"/>
                <w:vertAlign w:val="superscript"/>
                <w:lang w:val="en-US" w:eastAsia="zh-CN"/>
              </w:rPr>
              <w:t>3</w:t>
            </w:r>
            <w:r>
              <w:rPr>
                <w:rFonts w:hint="eastAsia"/>
                <w:sz w:val="24"/>
                <w:szCs w:val="24"/>
              </w:rPr>
              <w:t>/1000m</w:t>
            </w:r>
            <w:r>
              <w:rPr>
                <w:rFonts w:hint="eastAsia"/>
                <w:sz w:val="24"/>
                <w:szCs w:val="24"/>
                <w:vertAlign w:val="superscript"/>
                <w:lang w:val="en-US" w:eastAsia="zh-CN"/>
              </w:rPr>
              <w:t>3</w:t>
            </w:r>
            <w:r>
              <w:rPr>
                <w:rFonts w:hint="eastAsia"/>
                <w:sz w:val="24"/>
                <w:szCs w:val="24"/>
              </w:rPr>
              <w:t>污水计，栅渣密度按960kg/m</w:t>
            </w:r>
            <w:r>
              <w:rPr>
                <w:rFonts w:hint="eastAsia"/>
                <w:sz w:val="24"/>
                <w:szCs w:val="24"/>
                <w:vertAlign w:val="superscript"/>
                <w:lang w:val="en-US" w:eastAsia="zh-CN"/>
              </w:rPr>
              <w:t>3</w:t>
            </w:r>
            <w:r>
              <w:rPr>
                <w:rFonts w:hint="eastAsia"/>
                <w:sz w:val="24"/>
                <w:szCs w:val="24"/>
              </w:rPr>
              <w:t>计，则栅渣产生量为：</w:t>
            </w:r>
          </w:p>
          <w:p w14:paraId="20A46E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0.07m</w:t>
            </w:r>
            <w:r>
              <w:rPr>
                <w:rFonts w:hint="eastAsia"/>
                <w:sz w:val="24"/>
                <w:szCs w:val="24"/>
                <w:vertAlign w:val="superscript"/>
                <w:lang w:val="en-US" w:eastAsia="zh-CN"/>
              </w:rPr>
              <w:t>3</w:t>
            </w:r>
            <w:r>
              <w:rPr>
                <w:rFonts w:hint="eastAsia"/>
                <w:sz w:val="24"/>
                <w:szCs w:val="24"/>
              </w:rPr>
              <w:t>/1000m</w:t>
            </w:r>
            <w:r>
              <w:rPr>
                <w:rFonts w:hint="eastAsia"/>
                <w:sz w:val="24"/>
                <w:szCs w:val="24"/>
                <w:vertAlign w:val="superscript"/>
                <w:lang w:val="en-US" w:eastAsia="zh-CN"/>
              </w:rPr>
              <w:t>3</w:t>
            </w:r>
            <w:r>
              <w:rPr>
                <w:rFonts w:hint="eastAsia"/>
                <w:sz w:val="24"/>
                <w:szCs w:val="24"/>
              </w:rPr>
              <w:t>×</w:t>
            </w:r>
            <w:r>
              <w:rPr>
                <w:rFonts w:hint="eastAsia"/>
                <w:sz w:val="24"/>
                <w:szCs w:val="24"/>
                <w:lang w:val="en-US" w:eastAsia="zh-CN"/>
              </w:rPr>
              <w:t>3</w:t>
            </w:r>
            <w:r>
              <w:rPr>
                <w:rFonts w:hint="eastAsia"/>
                <w:sz w:val="24"/>
                <w:szCs w:val="24"/>
              </w:rPr>
              <w:t>500m</w:t>
            </w:r>
            <w:r>
              <w:rPr>
                <w:rFonts w:hint="eastAsia"/>
                <w:sz w:val="24"/>
                <w:szCs w:val="24"/>
                <w:vertAlign w:val="superscript"/>
                <w:lang w:val="en-US" w:eastAsia="zh-CN"/>
              </w:rPr>
              <w:t>3</w:t>
            </w:r>
            <w:r>
              <w:rPr>
                <w:rFonts w:hint="eastAsia"/>
                <w:sz w:val="24"/>
                <w:szCs w:val="24"/>
              </w:rPr>
              <w:t>/d×960kg/m</w:t>
            </w:r>
            <w:r>
              <w:rPr>
                <w:rFonts w:hint="eastAsia"/>
                <w:sz w:val="24"/>
                <w:szCs w:val="24"/>
                <w:vertAlign w:val="superscript"/>
                <w:lang w:val="en-US" w:eastAsia="zh-CN"/>
              </w:rPr>
              <w:t>3</w:t>
            </w:r>
            <w:r>
              <w:rPr>
                <w:rFonts w:hint="eastAsia"/>
                <w:sz w:val="24"/>
                <w:szCs w:val="24"/>
              </w:rPr>
              <w:t>=</w:t>
            </w:r>
            <w:r>
              <w:rPr>
                <w:rFonts w:hint="eastAsia"/>
                <w:sz w:val="24"/>
                <w:szCs w:val="24"/>
                <w:lang w:val="en-US" w:eastAsia="zh-CN"/>
              </w:rPr>
              <w:t>0.2016</w:t>
            </w:r>
            <w:r>
              <w:rPr>
                <w:rFonts w:hint="eastAsia"/>
                <w:sz w:val="24"/>
                <w:szCs w:val="24"/>
              </w:rPr>
              <w:t>t/d，年产生量约</w:t>
            </w:r>
            <w:r>
              <w:rPr>
                <w:rFonts w:hint="eastAsia"/>
                <w:sz w:val="24"/>
                <w:szCs w:val="24"/>
                <w:lang w:eastAsia="zh-CN"/>
              </w:rPr>
              <w:t>73.58</w:t>
            </w:r>
            <w:r>
              <w:rPr>
                <w:rFonts w:hint="eastAsia"/>
                <w:sz w:val="24"/>
                <w:szCs w:val="24"/>
              </w:rPr>
              <w:t>t/a（按365天计）。</w:t>
            </w:r>
          </w:p>
          <w:p w14:paraId="5CF293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贮存方式：栅渣由螺旋输送机直接输送至栅渣车内，不设长期贮存设施。</w:t>
            </w:r>
          </w:p>
          <w:p w14:paraId="305943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处置去向：定期交由环卫部门统一清运至当地垃圾填埋场处置。</w:t>
            </w:r>
          </w:p>
          <w:p w14:paraId="4D153037">
            <w:pPr>
              <w:pStyle w:val="5"/>
              <w:keepNext/>
              <w:keepLines/>
              <w:pageBreakBefore w:val="0"/>
              <w:widowControl w:val="0"/>
              <w:numPr>
                <w:ilvl w:val="0"/>
                <w:numId w:val="0"/>
              </w:numPr>
              <w:kinsoku/>
              <w:wordWrap/>
              <w:overflowPunct/>
              <w:topLinePunct w:val="0"/>
              <w:autoSpaceDE/>
              <w:autoSpaceDN/>
              <w:bidi w:val="0"/>
              <w:adjustRightInd/>
              <w:snapToGrid/>
              <w:spacing w:before="0" w:beforeLines="0"/>
              <w:ind w:left="425" w:leftChars="0" w:firstLine="0" w:firstLineChars="0"/>
              <w:textAlignment w:val="auto"/>
              <w:rPr>
                <w:rFonts w:hint="eastAsia" w:cs="Times New Roman"/>
                <w:b w:val="0"/>
                <w:bCs/>
                <w:kern w:val="2"/>
                <w:sz w:val="24"/>
                <w:szCs w:val="24"/>
                <w:lang w:val="en-US" w:eastAsia="zh-CN" w:bidi="ar-SA"/>
              </w:rPr>
            </w:pPr>
          </w:p>
          <w:p w14:paraId="59364A53">
            <w:pPr>
              <w:pStyle w:val="5"/>
              <w:keepNext/>
              <w:keepLines/>
              <w:pageBreakBefore w:val="0"/>
              <w:widowControl w:val="0"/>
              <w:numPr>
                <w:ilvl w:val="0"/>
                <w:numId w:val="0"/>
              </w:numPr>
              <w:kinsoku/>
              <w:wordWrap/>
              <w:overflowPunct/>
              <w:topLinePunct w:val="0"/>
              <w:autoSpaceDE/>
              <w:autoSpaceDN/>
              <w:bidi w:val="0"/>
              <w:adjustRightInd/>
              <w:snapToGrid/>
              <w:spacing w:before="157" w:beforeLines="50"/>
              <w:ind w:left="425" w:leftChars="0" w:firstLine="0" w:firstLineChars="0"/>
              <w:textAlignment w:val="auto"/>
              <w:rPr>
                <w:rFonts w:hint="eastAsia" w:ascii="Times New Roman" w:hAnsi="Times New Roman" w:eastAsia="宋体" w:cs="Times New Roman"/>
                <w:b w:val="0"/>
                <w:bCs/>
              </w:rPr>
            </w:pPr>
            <w:r>
              <w:rPr>
                <w:rFonts w:hint="eastAsia" w:cs="Times New Roman"/>
                <w:b w:val="0"/>
                <w:bCs/>
                <w:kern w:val="2"/>
                <w:sz w:val="24"/>
                <w:szCs w:val="24"/>
                <w:lang w:val="en-US" w:eastAsia="zh-CN" w:bidi="ar-SA"/>
              </w:rPr>
              <w:t>2、</w:t>
            </w:r>
            <w:r>
              <w:rPr>
                <w:rFonts w:hint="eastAsia" w:ascii="Times New Roman" w:hAnsi="Times New Roman" w:eastAsia="宋体" w:cs="Times New Roman"/>
                <w:b w:val="0"/>
                <w:bCs/>
              </w:rPr>
              <w:t>沉砂</w:t>
            </w:r>
          </w:p>
          <w:p w14:paraId="28C38E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产生环节：沉砂产生于旋流沉砂器，主要去除污水中比重大于2.65、粒径大于0.2mm的无机砂粒，以保护管道、阀门等设施免受磨损和堵塞。</w:t>
            </w:r>
          </w:p>
          <w:p w14:paraId="2BD34A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属性判定：沉砂属于一般工业固体废物，废物代码为900-099-S59。</w:t>
            </w:r>
          </w:p>
          <w:p w14:paraId="07FD9A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产生量核算：根据《室外排水设计标准》（GB 50014-2021），污水的沉砂量可按0.03L/m</w:t>
            </w:r>
            <w:r>
              <w:rPr>
                <w:rFonts w:hint="eastAsia"/>
                <w:sz w:val="24"/>
                <w:szCs w:val="24"/>
                <w:vertAlign w:val="superscript"/>
                <w:lang w:val="en-US" w:eastAsia="zh-CN"/>
              </w:rPr>
              <w:t>3</w:t>
            </w:r>
            <w:r>
              <w:rPr>
                <w:rFonts w:hint="eastAsia"/>
                <w:sz w:val="24"/>
                <w:szCs w:val="24"/>
              </w:rPr>
              <w:t>计算。本项目</w:t>
            </w:r>
            <w:r>
              <w:rPr>
                <w:rFonts w:hint="eastAsia"/>
                <w:sz w:val="24"/>
                <w:szCs w:val="24"/>
                <w:lang w:val="en-US" w:eastAsia="zh-CN"/>
              </w:rPr>
              <w:t>合计</w:t>
            </w:r>
            <w:r>
              <w:rPr>
                <w:rFonts w:hint="eastAsia"/>
                <w:sz w:val="24"/>
                <w:szCs w:val="24"/>
              </w:rPr>
              <w:t>处理规模</w:t>
            </w:r>
            <w:r>
              <w:rPr>
                <w:rFonts w:hint="eastAsia"/>
                <w:sz w:val="24"/>
                <w:szCs w:val="24"/>
                <w:lang w:val="en-US" w:eastAsia="zh-CN"/>
              </w:rPr>
              <w:t>30</w:t>
            </w:r>
            <w:r>
              <w:rPr>
                <w:rFonts w:hint="eastAsia"/>
                <w:sz w:val="24"/>
                <w:szCs w:val="24"/>
              </w:rPr>
              <w:t>00m</w:t>
            </w:r>
            <w:r>
              <w:rPr>
                <w:rFonts w:hint="eastAsia"/>
                <w:sz w:val="24"/>
                <w:szCs w:val="24"/>
                <w:vertAlign w:val="superscript"/>
                <w:lang w:val="en-US" w:eastAsia="zh-CN"/>
              </w:rPr>
              <w:t>3</w:t>
            </w:r>
            <w:r>
              <w:rPr>
                <w:rFonts w:hint="eastAsia"/>
                <w:sz w:val="24"/>
                <w:szCs w:val="24"/>
              </w:rPr>
              <w:t>/d，则沉砂产生量为：</w:t>
            </w:r>
          </w:p>
          <w:p w14:paraId="04B09E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0.03L/m</w:t>
            </w:r>
            <w:r>
              <w:rPr>
                <w:rFonts w:hint="eastAsia"/>
                <w:sz w:val="24"/>
                <w:szCs w:val="24"/>
                <w:vertAlign w:val="superscript"/>
                <w:lang w:val="en-US" w:eastAsia="zh-CN"/>
              </w:rPr>
              <w:t>3</w:t>
            </w:r>
            <w:r>
              <w:rPr>
                <w:rFonts w:hint="eastAsia"/>
                <w:sz w:val="24"/>
                <w:szCs w:val="24"/>
              </w:rPr>
              <w:t>×</w:t>
            </w:r>
            <w:r>
              <w:rPr>
                <w:rFonts w:hint="eastAsia"/>
                <w:sz w:val="24"/>
                <w:szCs w:val="24"/>
                <w:lang w:val="en-US" w:eastAsia="zh-CN"/>
              </w:rPr>
              <w:t>30</w:t>
            </w:r>
            <w:r>
              <w:rPr>
                <w:rFonts w:hint="eastAsia"/>
                <w:sz w:val="24"/>
                <w:szCs w:val="24"/>
              </w:rPr>
              <w:t>00m</w:t>
            </w:r>
            <w:r>
              <w:rPr>
                <w:rFonts w:hint="eastAsia"/>
                <w:sz w:val="24"/>
                <w:szCs w:val="24"/>
                <w:vertAlign w:val="superscript"/>
                <w:lang w:val="en-US" w:eastAsia="zh-CN"/>
              </w:rPr>
              <w:t>3</w:t>
            </w:r>
            <w:r>
              <w:rPr>
                <w:rFonts w:hint="eastAsia"/>
                <w:sz w:val="24"/>
                <w:szCs w:val="24"/>
              </w:rPr>
              <w:t>/d =</w:t>
            </w:r>
            <w:r>
              <w:rPr>
                <w:rFonts w:hint="eastAsia"/>
                <w:sz w:val="24"/>
                <w:szCs w:val="24"/>
                <w:lang w:val="en-US" w:eastAsia="zh-CN"/>
              </w:rPr>
              <w:t>90</w:t>
            </w:r>
            <w:r>
              <w:rPr>
                <w:rFonts w:hint="eastAsia"/>
                <w:sz w:val="24"/>
                <w:szCs w:val="24"/>
              </w:rPr>
              <w:t>L/d</w:t>
            </w:r>
          </w:p>
          <w:p w14:paraId="698D76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沉砂密度按1.5t/m</w:t>
            </w:r>
            <w:r>
              <w:rPr>
                <w:rFonts w:hint="eastAsia"/>
                <w:sz w:val="24"/>
                <w:szCs w:val="24"/>
                <w:vertAlign w:val="superscript"/>
                <w:lang w:val="en-US" w:eastAsia="zh-CN"/>
              </w:rPr>
              <w:t>3</w:t>
            </w:r>
            <w:r>
              <w:rPr>
                <w:rFonts w:hint="eastAsia"/>
                <w:sz w:val="24"/>
                <w:szCs w:val="24"/>
              </w:rPr>
              <w:t>计，则沉砂产生量为0.0</w:t>
            </w:r>
            <w:r>
              <w:rPr>
                <w:rFonts w:hint="eastAsia"/>
                <w:sz w:val="24"/>
                <w:szCs w:val="24"/>
                <w:lang w:val="en-US" w:eastAsia="zh-CN"/>
              </w:rPr>
              <w:t>90</w:t>
            </w:r>
            <w:r>
              <w:rPr>
                <w:rFonts w:hint="eastAsia"/>
                <w:sz w:val="24"/>
                <w:szCs w:val="24"/>
              </w:rPr>
              <w:t>m</w:t>
            </w:r>
            <w:r>
              <w:rPr>
                <w:rFonts w:hint="eastAsia"/>
                <w:sz w:val="24"/>
                <w:szCs w:val="24"/>
                <w:vertAlign w:val="superscript"/>
                <w:lang w:val="en-US" w:eastAsia="zh-CN"/>
              </w:rPr>
              <w:t>3</w:t>
            </w:r>
            <w:r>
              <w:rPr>
                <w:rFonts w:hint="eastAsia"/>
                <w:sz w:val="24"/>
                <w:szCs w:val="24"/>
              </w:rPr>
              <w:t>/d×1.5t/m</w:t>
            </w:r>
            <w:r>
              <w:rPr>
                <w:rFonts w:hint="eastAsia"/>
                <w:sz w:val="24"/>
                <w:szCs w:val="24"/>
                <w:vertAlign w:val="superscript"/>
                <w:lang w:val="en-US" w:eastAsia="zh-CN"/>
              </w:rPr>
              <w:t>3</w:t>
            </w:r>
            <w:r>
              <w:rPr>
                <w:rFonts w:hint="eastAsia"/>
                <w:sz w:val="24"/>
                <w:szCs w:val="24"/>
              </w:rPr>
              <w:t>=0.1</w:t>
            </w:r>
            <w:r>
              <w:rPr>
                <w:rFonts w:hint="eastAsia"/>
                <w:sz w:val="24"/>
                <w:szCs w:val="24"/>
                <w:lang w:val="en-US" w:eastAsia="zh-CN"/>
              </w:rPr>
              <w:t>35</w:t>
            </w:r>
            <w:r>
              <w:rPr>
                <w:rFonts w:hint="eastAsia"/>
                <w:sz w:val="24"/>
                <w:szCs w:val="24"/>
              </w:rPr>
              <w:t>t/d，年产生量约</w:t>
            </w:r>
            <w:r>
              <w:rPr>
                <w:rFonts w:hint="eastAsia"/>
                <w:sz w:val="24"/>
                <w:szCs w:val="24"/>
                <w:lang w:val="en-US" w:eastAsia="zh-CN"/>
              </w:rPr>
              <w:t>49.28</w:t>
            </w:r>
            <w:r>
              <w:rPr>
                <w:rFonts w:hint="eastAsia"/>
                <w:sz w:val="24"/>
                <w:szCs w:val="24"/>
              </w:rPr>
              <w:t>t/a。</w:t>
            </w:r>
          </w:p>
          <w:p w14:paraId="5A06CA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贮存方式：沉砂经砂水分离后暂存于沉砂箱内。</w:t>
            </w:r>
          </w:p>
          <w:p w14:paraId="264D20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处置去向：定期交由环卫部门统一清运。</w:t>
            </w:r>
          </w:p>
          <w:p w14:paraId="68BD82FA">
            <w:pPr>
              <w:pStyle w:val="5"/>
              <w:keepNext/>
              <w:keepLines/>
              <w:pageBreakBefore w:val="0"/>
              <w:widowControl w:val="0"/>
              <w:numPr>
                <w:ilvl w:val="0"/>
                <w:numId w:val="0"/>
              </w:numPr>
              <w:kinsoku/>
              <w:wordWrap/>
              <w:overflowPunct/>
              <w:topLinePunct w:val="0"/>
              <w:autoSpaceDE/>
              <w:autoSpaceDN/>
              <w:bidi w:val="0"/>
              <w:adjustRightInd/>
              <w:snapToGrid/>
              <w:spacing w:before="0" w:beforeLines="0"/>
              <w:ind w:left="425" w:leftChars="0" w:firstLine="0" w:firstLineChars="0"/>
              <w:textAlignment w:val="auto"/>
              <w:rPr>
                <w:rFonts w:hint="eastAsia" w:ascii="Times New Roman" w:hAnsi="Times New Roman" w:eastAsia="宋体" w:cs="Times New Roman"/>
                <w:b w:val="0"/>
                <w:bCs/>
              </w:rPr>
            </w:pPr>
            <w:r>
              <w:rPr>
                <w:rFonts w:hint="eastAsia" w:cs="Times New Roman"/>
                <w:b w:val="0"/>
                <w:bCs/>
                <w:kern w:val="2"/>
                <w:sz w:val="24"/>
                <w:szCs w:val="24"/>
                <w:lang w:val="en-US" w:eastAsia="zh-CN" w:bidi="ar-SA"/>
              </w:rPr>
              <w:t>3、</w:t>
            </w:r>
            <w:r>
              <w:rPr>
                <w:rFonts w:hint="eastAsia" w:ascii="Times New Roman" w:hAnsi="Times New Roman" w:eastAsia="宋体" w:cs="Times New Roman"/>
                <w:b w:val="0"/>
                <w:bCs/>
              </w:rPr>
              <w:t>污泥</w:t>
            </w:r>
          </w:p>
          <w:p w14:paraId="3CB7C1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污泥产生量采用《城镇污水处理厂污泥处理处置污染防治最佳可行技术指南（试行）》（HJBAT-002）附录A.3不带预处理系统的活性污泥法及其变形工艺剩余污泥产生量公式进行计算：</w:t>
            </w:r>
          </w:p>
          <w:p w14:paraId="079AEF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式中：△X3—剩余活性污泥量，kg/d；</w:t>
            </w:r>
          </w:p>
          <w:p w14:paraId="4CBA2C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Y—污泥产率系数，kgVSS/kgBOD</w:t>
            </w:r>
            <w:r>
              <w:rPr>
                <w:rFonts w:hint="eastAsia"/>
                <w:sz w:val="24"/>
                <w:szCs w:val="24"/>
                <w:vertAlign w:val="subscript"/>
              </w:rPr>
              <w:t>5</w:t>
            </w:r>
            <w:r>
              <w:rPr>
                <w:rFonts w:hint="eastAsia"/>
                <w:sz w:val="24"/>
                <w:szCs w:val="24"/>
              </w:rPr>
              <w:t>，20℃时为0.3～0.6，本次取0.6；</w:t>
            </w:r>
          </w:p>
          <w:p w14:paraId="233860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Q—设计平均日污水流量，m</w:t>
            </w:r>
            <w:r>
              <w:rPr>
                <w:rFonts w:hint="eastAsia"/>
                <w:sz w:val="24"/>
                <w:szCs w:val="24"/>
                <w:vertAlign w:val="superscript"/>
                <w:lang w:val="en-US" w:eastAsia="zh-CN"/>
              </w:rPr>
              <w:t>3</w:t>
            </w:r>
            <w:r>
              <w:rPr>
                <w:rFonts w:hint="eastAsia"/>
                <w:sz w:val="24"/>
                <w:szCs w:val="24"/>
              </w:rPr>
              <w:t>/d；</w:t>
            </w:r>
          </w:p>
          <w:p w14:paraId="7B15AC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So—生物反应池内进水五日生化需氧量，kg/m</w:t>
            </w:r>
            <w:r>
              <w:rPr>
                <w:rFonts w:hint="eastAsia"/>
                <w:sz w:val="24"/>
                <w:szCs w:val="24"/>
                <w:vertAlign w:val="superscript"/>
                <w:lang w:val="en-US" w:eastAsia="zh-CN"/>
              </w:rPr>
              <w:t>3</w:t>
            </w:r>
            <w:r>
              <w:rPr>
                <w:rFonts w:hint="eastAsia"/>
                <w:sz w:val="24"/>
                <w:szCs w:val="24"/>
              </w:rPr>
              <w:t>；</w:t>
            </w:r>
          </w:p>
          <w:p w14:paraId="3F1978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Se—生物反应池内出水五日生化需氧量，kg/m</w:t>
            </w:r>
            <w:r>
              <w:rPr>
                <w:rFonts w:hint="eastAsia"/>
                <w:sz w:val="24"/>
                <w:szCs w:val="24"/>
                <w:vertAlign w:val="superscript"/>
                <w:lang w:val="en-US" w:eastAsia="zh-CN"/>
              </w:rPr>
              <w:t>3</w:t>
            </w:r>
            <w:r>
              <w:rPr>
                <w:rFonts w:hint="eastAsia"/>
                <w:sz w:val="24"/>
                <w:szCs w:val="24"/>
              </w:rPr>
              <w:t>；</w:t>
            </w:r>
          </w:p>
          <w:p w14:paraId="1BC021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Kd—衰减系数，d-1，通常可取0.05～0.1，本次取0.1；</w:t>
            </w:r>
          </w:p>
          <w:p w14:paraId="0A2D23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V—生物反应池容积，m</w:t>
            </w:r>
            <w:r>
              <w:rPr>
                <w:rFonts w:hint="eastAsia"/>
                <w:sz w:val="24"/>
                <w:szCs w:val="24"/>
                <w:vertAlign w:val="superscript"/>
                <w:lang w:val="en-US" w:eastAsia="zh-CN"/>
              </w:rPr>
              <w:t>3</w:t>
            </w:r>
            <w:r>
              <w:rPr>
                <w:rFonts w:hint="eastAsia"/>
                <w:sz w:val="24"/>
                <w:szCs w:val="24"/>
              </w:rPr>
              <w:t>；</w:t>
            </w:r>
          </w:p>
          <w:p w14:paraId="4D5962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Xv—生物反应池内混合液挥发性悬浮固体（MLVSS）平均浓度，g/L，本次取经验值0.75；</w:t>
            </w:r>
          </w:p>
          <w:p w14:paraId="5C0532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f—MLVSS/MLSS之比值，对于生活污水，通常为0.5～0.75，本次取0.75；</w:t>
            </w:r>
          </w:p>
          <w:p w14:paraId="01A758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f1—悬浮物（SS）的污泥转化率，宜根据试验资料确定，无试验资料时可取0.5～0.7gMLSS/gSS；带预处理系统的取下限，不带预处理系统的取上限。本次取0.7；</w:t>
            </w:r>
          </w:p>
          <w:p w14:paraId="3375D8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SSo—生物反应池内进水悬浮物浓度，kg/m</w:t>
            </w:r>
            <w:r>
              <w:rPr>
                <w:rFonts w:hint="eastAsia"/>
                <w:sz w:val="24"/>
                <w:szCs w:val="24"/>
                <w:vertAlign w:val="superscript"/>
                <w:lang w:val="en-US" w:eastAsia="zh-CN"/>
              </w:rPr>
              <w:t>3</w:t>
            </w:r>
            <w:r>
              <w:rPr>
                <w:rFonts w:hint="eastAsia"/>
                <w:sz w:val="24"/>
                <w:szCs w:val="24"/>
              </w:rPr>
              <w:t>；</w:t>
            </w:r>
          </w:p>
          <w:p w14:paraId="73C3D3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SSe—生物反应池内出水悬浮物浓度，kg/m</w:t>
            </w:r>
            <w:r>
              <w:rPr>
                <w:rFonts w:hint="eastAsia"/>
                <w:sz w:val="24"/>
                <w:szCs w:val="24"/>
                <w:vertAlign w:val="superscript"/>
                <w:lang w:val="en-US" w:eastAsia="zh-CN"/>
              </w:rPr>
              <w:t>3</w:t>
            </w:r>
            <w:r>
              <w:rPr>
                <w:rFonts w:hint="eastAsia"/>
                <w:sz w:val="24"/>
                <w:szCs w:val="24"/>
              </w:rPr>
              <w:t>。</w:t>
            </w:r>
          </w:p>
          <w:p w14:paraId="5552D7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通过计算可知，剩余活性污泥产生量为</w:t>
            </w:r>
            <w:r>
              <w:rPr>
                <w:rFonts w:hint="eastAsia"/>
                <w:sz w:val="24"/>
                <w:szCs w:val="24"/>
                <w:lang w:val="en-US" w:eastAsia="zh-CN"/>
              </w:rPr>
              <w:t>0.949</w:t>
            </w:r>
            <w:r>
              <w:rPr>
                <w:rFonts w:hint="eastAsia"/>
                <w:sz w:val="24"/>
                <w:szCs w:val="24"/>
              </w:rPr>
              <w:t>t/d，年产生量为</w:t>
            </w:r>
            <w:r>
              <w:rPr>
                <w:rFonts w:hint="eastAsia"/>
                <w:sz w:val="24"/>
                <w:szCs w:val="24"/>
                <w:lang w:val="en-US" w:eastAsia="zh-CN"/>
              </w:rPr>
              <w:t>0.949</w:t>
            </w:r>
            <w:r>
              <w:rPr>
                <w:rFonts w:hint="eastAsia"/>
                <w:sz w:val="24"/>
                <w:szCs w:val="24"/>
              </w:rPr>
              <w:t>×365=</w:t>
            </w:r>
            <w:r>
              <w:rPr>
                <w:rFonts w:hint="eastAsia"/>
                <w:sz w:val="24"/>
                <w:szCs w:val="24"/>
                <w:lang w:val="en-US" w:eastAsia="zh-CN"/>
              </w:rPr>
              <w:t>346.415</w:t>
            </w:r>
            <w:r>
              <w:rPr>
                <w:rFonts w:hint="eastAsia"/>
                <w:sz w:val="24"/>
                <w:szCs w:val="24"/>
              </w:rPr>
              <w:t>t/a（干重），即含水率60%污泥产生量为</w:t>
            </w:r>
            <w:r>
              <w:rPr>
                <w:rFonts w:hint="eastAsia"/>
                <w:sz w:val="24"/>
                <w:szCs w:val="24"/>
                <w:lang w:val="en-US" w:eastAsia="zh-CN"/>
              </w:rPr>
              <w:t>346.415</w:t>
            </w:r>
            <w:r>
              <w:rPr>
                <w:rFonts w:hint="eastAsia"/>
                <w:sz w:val="24"/>
                <w:szCs w:val="24"/>
              </w:rPr>
              <w:t>/</w:t>
            </w:r>
            <w:r>
              <w:rPr>
                <w:rFonts w:hint="eastAsia"/>
                <w:sz w:val="24"/>
                <w:szCs w:val="24"/>
                <w:lang w:eastAsia="zh-CN"/>
              </w:rPr>
              <w:t>（</w:t>
            </w:r>
            <w:r>
              <w:rPr>
                <w:rFonts w:hint="eastAsia"/>
                <w:sz w:val="24"/>
                <w:szCs w:val="24"/>
              </w:rPr>
              <w:t>1-60%</w:t>
            </w:r>
            <w:r>
              <w:rPr>
                <w:rFonts w:hint="eastAsia"/>
                <w:sz w:val="24"/>
                <w:szCs w:val="24"/>
                <w:lang w:eastAsia="zh-CN"/>
              </w:rPr>
              <w:t>）</w:t>
            </w:r>
            <w:r>
              <w:rPr>
                <w:rFonts w:hint="eastAsia"/>
                <w:sz w:val="24"/>
                <w:szCs w:val="24"/>
              </w:rPr>
              <w:t>=</w:t>
            </w:r>
            <w:r>
              <w:rPr>
                <w:rFonts w:hint="eastAsia"/>
                <w:sz w:val="24"/>
                <w:szCs w:val="24"/>
                <w:lang w:val="en-US" w:eastAsia="zh-CN"/>
              </w:rPr>
              <w:t>866.04</w:t>
            </w:r>
            <w:r>
              <w:rPr>
                <w:rFonts w:hint="eastAsia"/>
                <w:sz w:val="24"/>
                <w:szCs w:val="24"/>
              </w:rPr>
              <w:t>t/a。</w:t>
            </w:r>
          </w:p>
          <w:p w14:paraId="3F09FA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属性判定：</w:t>
            </w:r>
            <w:r>
              <w:rPr>
                <w:rFonts w:hint="eastAsia"/>
                <w:sz w:val="24"/>
                <w:szCs w:val="24"/>
                <w:lang w:val="en-US" w:eastAsia="zh-CN"/>
              </w:rPr>
              <w:t>污泥</w:t>
            </w:r>
            <w:r>
              <w:rPr>
                <w:rFonts w:hint="eastAsia"/>
                <w:sz w:val="24"/>
                <w:szCs w:val="24"/>
              </w:rPr>
              <w:t>属于一般工业固体废物，</w:t>
            </w:r>
            <w:r>
              <w:rPr>
                <w:rFonts w:hint="eastAsia"/>
                <w:sz w:val="24"/>
                <w:szCs w:val="24"/>
                <w:lang w:val="en-US" w:eastAsia="zh-CN"/>
              </w:rPr>
              <w:t>为</w:t>
            </w:r>
            <w:r>
              <w:rPr>
                <w:rFonts w:hint="eastAsia"/>
                <w:sz w:val="24"/>
                <w:szCs w:val="24"/>
              </w:rPr>
              <w:t>未接纳工业废水的城镇污水处理厂产生的污泥。废物代码为462-001-S90。</w:t>
            </w:r>
          </w:p>
          <w:p w14:paraId="5481DD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要求污泥及时清运，不在厂区短期暂存；污泥经机械脱水，含水率降至60%以下后，送至垃圾填埋场填埋。</w:t>
            </w:r>
          </w:p>
          <w:p w14:paraId="7B51C095">
            <w:pPr>
              <w:pStyle w:val="5"/>
              <w:keepNext/>
              <w:keepLines/>
              <w:pageBreakBefore w:val="0"/>
              <w:widowControl w:val="0"/>
              <w:numPr>
                <w:ilvl w:val="0"/>
                <w:numId w:val="0"/>
              </w:numPr>
              <w:kinsoku/>
              <w:wordWrap/>
              <w:overflowPunct/>
              <w:topLinePunct w:val="0"/>
              <w:autoSpaceDE/>
              <w:autoSpaceDN/>
              <w:bidi w:val="0"/>
              <w:adjustRightInd/>
              <w:snapToGrid/>
              <w:spacing w:before="0" w:beforeLines="0"/>
              <w:ind w:left="425" w:leftChars="0" w:firstLine="0" w:firstLineChars="0"/>
              <w:textAlignment w:val="auto"/>
              <w:rPr>
                <w:rFonts w:hint="eastAsia" w:ascii="Times New Roman" w:hAnsi="Times New Roman" w:eastAsia="宋体" w:cs="Times New Roman"/>
                <w:b w:val="0"/>
                <w:bCs/>
              </w:rPr>
            </w:pPr>
            <w:r>
              <w:rPr>
                <w:rFonts w:hint="eastAsia" w:cs="Times New Roman"/>
                <w:b w:val="0"/>
                <w:bCs/>
                <w:kern w:val="2"/>
                <w:sz w:val="24"/>
                <w:szCs w:val="24"/>
                <w:lang w:val="en-US" w:eastAsia="zh-CN" w:bidi="ar-SA"/>
              </w:rPr>
              <w:t>4、</w:t>
            </w:r>
            <w:r>
              <w:rPr>
                <w:rFonts w:hint="eastAsia" w:ascii="Times New Roman" w:hAnsi="Times New Roman" w:eastAsia="宋体" w:cs="Times New Roman"/>
                <w:b w:val="0"/>
                <w:bCs/>
              </w:rPr>
              <w:t>废包装袋</w:t>
            </w:r>
          </w:p>
          <w:p w14:paraId="6454CE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产生环节：废包装袋产生于加药系统，主要为PAC（聚合氯化铝）、PAM（聚丙烯酰胺）等药剂的包装袋拆包过程。</w:t>
            </w:r>
          </w:p>
          <w:p w14:paraId="37E73B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属性判定：废包装袋属于一般工业固体废物，废物代码为900-099-S17（可再生类废物）。</w:t>
            </w:r>
          </w:p>
          <w:p w14:paraId="432D4C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产生量核算：根据原辅材料消耗情况，本项目PAC年用量</w:t>
            </w:r>
            <w:r>
              <w:rPr>
                <w:rFonts w:hint="eastAsia"/>
                <w:sz w:val="24"/>
                <w:szCs w:val="24"/>
                <w:lang w:val="en-US" w:eastAsia="zh-CN"/>
              </w:rPr>
              <w:t>11</w:t>
            </w:r>
            <w:r>
              <w:rPr>
                <w:rFonts w:hint="eastAsia"/>
                <w:sz w:val="24"/>
                <w:szCs w:val="24"/>
              </w:rPr>
              <w:t>t/a（25kg/袋，约</w:t>
            </w:r>
            <w:r>
              <w:rPr>
                <w:rFonts w:hint="eastAsia"/>
                <w:sz w:val="24"/>
                <w:szCs w:val="24"/>
                <w:lang w:val="en-US" w:eastAsia="zh-CN"/>
              </w:rPr>
              <w:t>440</w:t>
            </w:r>
            <w:r>
              <w:rPr>
                <w:rFonts w:hint="eastAsia"/>
                <w:sz w:val="24"/>
                <w:szCs w:val="24"/>
              </w:rPr>
              <w:t>袋/a）、PAM年用量</w:t>
            </w:r>
            <w:r>
              <w:rPr>
                <w:rFonts w:hint="eastAsia"/>
                <w:sz w:val="24"/>
                <w:szCs w:val="24"/>
                <w:lang w:val="en-US" w:eastAsia="zh-CN"/>
              </w:rPr>
              <w:t>1</w:t>
            </w:r>
            <w:r>
              <w:rPr>
                <w:rFonts w:hint="eastAsia"/>
                <w:sz w:val="24"/>
                <w:szCs w:val="24"/>
              </w:rPr>
              <w:t>t/a（25kg/袋，约</w:t>
            </w:r>
            <w:r>
              <w:rPr>
                <w:rFonts w:hint="eastAsia"/>
                <w:sz w:val="24"/>
                <w:szCs w:val="24"/>
                <w:lang w:val="en-US" w:eastAsia="zh-CN"/>
              </w:rPr>
              <w:t>4</w:t>
            </w:r>
            <w:r>
              <w:rPr>
                <w:rFonts w:hint="eastAsia"/>
                <w:sz w:val="24"/>
                <w:szCs w:val="24"/>
              </w:rPr>
              <w:t>0袋/a），合计约</w:t>
            </w:r>
            <w:r>
              <w:rPr>
                <w:rFonts w:hint="eastAsia"/>
                <w:sz w:val="24"/>
                <w:szCs w:val="24"/>
                <w:lang w:val="en-US" w:eastAsia="zh-CN"/>
              </w:rPr>
              <w:t>48</w:t>
            </w:r>
            <w:r>
              <w:rPr>
                <w:rFonts w:hint="eastAsia"/>
                <w:sz w:val="24"/>
                <w:szCs w:val="24"/>
              </w:rPr>
              <w:t>0个包装袋/a。每个包装袋按0.1kg计，废包装袋产生量约为0.</w:t>
            </w:r>
            <w:r>
              <w:rPr>
                <w:rFonts w:hint="eastAsia"/>
                <w:sz w:val="24"/>
                <w:szCs w:val="24"/>
                <w:lang w:val="en-US" w:eastAsia="zh-CN"/>
              </w:rPr>
              <w:t>05</w:t>
            </w:r>
            <w:r>
              <w:rPr>
                <w:rFonts w:hint="eastAsia"/>
                <w:sz w:val="24"/>
                <w:szCs w:val="24"/>
              </w:rPr>
              <w:t>t/a。</w:t>
            </w:r>
          </w:p>
          <w:p w14:paraId="506CF1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贮存方式：暂存于加药间一般固废暂存区。</w:t>
            </w:r>
          </w:p>
          <w:p w14:paraId="755598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处置去向：环卫部门清运。</w:t>
            </w:r>
          </w:p>
          <w:p w14:paraId="579849BA">
            <w:pPr>
              <w:pStyle w:val="5"/>
              <w:keepNext/>
              <w:keepLines/>
              <w:pageBreakBefore w:val="0"/>
              <w:widowControl w:val="0"/>
              <w:numPr>
                <w:ilvl w:val="0"/>
                <w:numId w:val="0"/>
              </w:numPr>
              <w:kinsoku/>
              <w:wordWrap/>
              <w:overflowPunct/>
              <w:topLinePunct w:val="0"/>
              <w:autoSpaceDE/>
              <w:autoSpaceDN/>
              <w:bidi w:val="0"/>
              <w:adjustRightInd/>
              <w:snapToGrid/>
              <w:spacing w:before="0" w:beforeLines="0"/>
              <w:ind w:left="425" w:leftChars="0" w:firstLine="0" w:firstLineChars="0"/>
              <w:textAlignment w:val="auto"/>
              <w:rPr>
                <w:rFonts w:hint="eastAsia" w:ascii="Times New Roman" w:hAnsi="Times New Roman" w:eastAsia="宋体" w:cs="Times New Roman"/>
                <w:b w:val="0"/>
                <w:bCs/>
              </w:rPr>
            </w:pPr>
            <w:r>
              <w:rPr>
                <w:rFonts w:hint="eastAsia" w:cs="Times New Roman"/>
                <w:b w:val="0"/>
                <w:bCs/>
                <w:kern w:val="2"/>
                <w:sz w:val="24"/>
                <w:szCs w:val="24"/>
                <w:lang w:val="en-US" w:eastAsia="zh-CN" w:bidi="ar-SA"/>
              </w:rPr>
              <w:t>5、</w:t>
            </w:r>
            <w:r>
              <w:rPr>
                <w:rFonts w:hint="eastAsia" w:ascii="Times New Roman" w:hAnsi="Times New Roman" w:eastAsia="宋体" w:cs="Times New Roman"/>
                <w:b w:val="0"/>
                <w:bCs/>
              </w:rPr>
              <w:t>化验废液及废样品</w:t>
            </w:r>
          </w:p>
          <w:p w14:paraId="450057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产生环节：产生于进出水在线监测间及化验室，包括水质化验分析过程中产生的废酸液、废碱液、含重金属废液及废弃水样等。</w:t>
            </w:r>
          </w:p>
          <w:p w14:paraId="3D9AC9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属性判定：化验废液及废样品属于危险废物，废物代码为900-047-49。</w:t>
            </w:r>
          </w:p>
          <w:p w14:paraId="20B0FD0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产生量核算：类比同类污水处理厂运行经验，本项目化验废液及废样品产生量约1.5t/a。</w:t>
            </w:r>
          </w:p>
          <w:p w14:paraId="29D1A0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贮存方式：采用专用耐腐蚀容器桶装收集，暂存于危废贮存点。</w:t>
            </w:r>
          </w:p>
          <w:p w14:paraId="7E251B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处置去向：定期交有资质的危险废物处置单位处置。</w:t>
            </w:r>
          </w:p>
          <w:p w14:paraId="27DFBD2E">
            <w:pPr>
              <w:pStyle w:val="5"/>
              <w:keepNext/>
              <w:keepLines/>
              <w:pageBreakBefore w:val="0"/>
              <w:widowControl w:val="0"/>
              <w:numPr>
                <w:ilvl w:val="0"/>
                <w:numId w:val="0"/>
              </w:numPr>
              <w:kinsoku/>
              <w:wordWrap/>
              <w:overflowPunct/>
              <w:topLinePunct w:val="0"/>
              <w:autoSpaceDE/>
              <w:autoSpaceDN/>
              <w:bidi w:val="0"/>
              <w:adjustRightInd/>
              <w:snapToGrid/>
              <w:spacing w:before="0" w:beforeLines="0"/>
              <w:ind w:left="425" w:leftChars="0" w:firstLine="0" w:firstLineChars="0"/>
              <w:textAlignment w:val="auto"/>
              <w:rPr>
                <w:rFonts w:hint="eastAsia" w:ascii="Times New Roman" w:hAnsi="Times New Roman" w:eastAsia="宋体" w:cs="Times New Roman"/>
                <w:b w:val="0"/>
                <w:bCs/>
              </w:rPr>
            </w:pPr>
            <w:r>
              <w:rPr>
                <w:rFonts w:hint="eastAsia" w:cs="Times New Roman"/>
                <w:b w:val="0"/>
                <w:bCs/>
                <w:kern w:val="2"/>
                <w:sz w:val="24"/>
                <w:szCs w:val="24"/>
                <w:lang w:val="en-US" w:eastAsia="zh-CN" w:bidi="ar-SA"/>
              </w:rPr>
              <w:t>6、</w:t>
            </w:r>
            <w:r>
              <w:rPr>
                <w:rFonts w:hint="eastAsia" w:ascii="Times New Roman" w:hAnsi="Times New Roman" w:eastAsia="宋体" w:cs="Times New Roman"/>
                <w:b w:val="0"/>
                <w:bCs/>
              </w:rPr>
              <w:t>废机油</w:t>
            </w:r>
          </w:p>
          <w:p w14:paraId="3C2547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产生环节：废机油产生于设备维修保养过程，主要包括风机、水泵、压滤机等机械设备润滑油更换产生的废矿物油。</w:t>
            </w:r>
          </w:p>
          <w:p w14:paraId="2C0258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属性判定：废机油属于危险废物，废物代码为</w:t>
            </w:r>
            <w:r>
              <w:rPr>
                <w:rFonts w:hint="eastAsia"/>
                <w:sz w:val="24"/>
                <w:szCs w:val="24"/>
                <w:lang w:eastAsia="zh-CN"/>
              </w:rPr>
              <w:t>900-217-08</w:t>
            </w:r>
            <w:r>
              <w:rPr>
                <w:rFonts w:hint="eastAsia"/>
                <w:sz w:val="24"/>
                <w:szCs w:val="24"/>
              </w:rPr>
              <w:t>。</w:t>
            </w:r>
          </w:p>
          <w:p w14:paraId="2BB04F0C">
            <w:pPr>
              <w:keepNext w:val="0"/>
              <w:keepLines w:val="0"/>
              <w:pageBreakBefore w:val="0"/>
              <w:widowControl w:val="0"/>
              <w:kinsoku/>
              <w:wordWrap/>
              <w:overflowPunct/>
              <w:topLinePunct w:val="0"/>
              <w:autoSpaceDE/>
              <w:autoSpaceDN/>
              <w:bidi w:val="0"/>
              <w:adjustRightInd/>
              <w:snapToGrid/>
              <w:spacing w:line="360" w:lineRule="auto"/>
              <w:ind w:firstLine="456" w:firstLineChars="200"/>
              <w:textAlignment w:val="auto"/>
              <w:rPr>
                <w:rFonts w:hint="eastAsia"/>
                <w:spacing w:val="-6"/>
                <w:sz w:val="24"/>
                <w:szCs w:val="24"/>
              </w:rPr>
            </w:pPr>
            <w:r>
              <w:rPr>
                <w:rFonts w:hint="eastAsia"/>
                <w:spacing w:val="-6"/>
                <w:sz w:val="24"/>
                <w:szCs w:val="24"/>
              </w:rPr>
              <w:t>产生量核算：类比同类污水处理厂运行经验，本项目废机油产生量约0.2t/a。</w:t>
            </w:r>
          </w:p>
          <w:p w14:paraId="15ADFB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贮存方式：采用专用密封容器桶装收集，暂存于危废贮存点。</w:t>
            </w:r>
          </w:p>
          <w:p w14:paraId="7BEA8C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b w:val="0"/>
                <w:bCs/>
                <w:kern w:val="2"/>
                <w:sz w:val="24"/>
                <w:szCs w:val="24"/>
                <w:lang w:val="en-US" w:eastAsia="zh-CN" w:bidi="ar-SA"/>
              </w:rPr>
            </w:pPr>
            <w:r>
              <w:rPr>
                <w:rFonts w:hint="eastAsia"/>
                <w:sz w:val="24"/>
                <w:szCs w:val="24"/>
              </w:rPr>
              <w:t>处置去向：定期交有资质的危险废物处置单位处置。</w:t>
            </w:r>
          </w:p>
          <w:p w14:paraId="19DDD7D6">
            <w:pPr>
              <w:pStyle w:val="5"/>
              <w:keepNext/>
              <w:keepLines/>
              <w:pageBreakBefore w:val="0"/>
              <w:widowControl w:val="0"/>
              <w:numPr>
                <w:ilvl w:val="0"/>
                <w:numId w:val="0"/>
              </w:numPr>
              <w:kinsoku/>
              <w:wordWrap/>
              <w:overflowPunct/>
              <w:topLinePunct w:val="0"/>
              <w:autoSpaceDE/>
              <w:autoSpaceDN/>
              <w:bidi w:val="0"/>
              <w:adjustRightInd/>
              <w:snapToGrid/>
              <w:spacing w:before="0" w:beforeLines="0"/>
              <w:ind w:left="425" w:leftChars="0" w:firstLine="0" w:firstLineChars="0"/>
              <w:textAlignment w:val="auto"/>
              <w:rPr>
                <w:rFonts w:hint="eastAsia" w:ascii="Times New Roman" w:hAnsi="Times New Roman" w:eastAsia="宋体" w:cs="Times New Roman"/>
                <w:b w:val="0"/>
                <w:bCs/>
              </w:rPr>
            </w:pPr>
            <w:r>
              <w:rPr>
                <w:rFonts w:hint="eastAsia" w:cs="Times New Roman"/>
                <w:b w:val="0"/>
                <w:bCs/>
                <w:kern w:val="2"/>
                <w:sz w:val="24"/>
                <w:szCs w:val="24"/>
                <w:lang w:val="en-US" w:eastAsia="zh-CN" w:bidi="ar-SA"/>
              </w:rPr>
              <w:t>7、</w:t>
            </w:r>
            <w:r>
              <w:rPr>
                <w:rFonts w:hint="eastAsia" w:ascii="Times New Roman" w:hAnsi="Times New Roman" w:eastAsia="宋体" w:cs="Times New Roman"/>
                <w:b w:val="0"/>
                <w:bCs/>
              </w:rPr>
              <w:t>含油废抹布</w:t>
            </w:r>
          </w:p>
          <w:p w14:paraId="62072F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产生环节：含油废抹布产生于设备维修保养过程中擦拭油污的抹布、手套等。</w:t>
            </w:r>
          </w:p>
          <w:p w14:paraId="4D2769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属性判定：含油废抹布属于危险废物，废物代码为</w:t>
            </w:r>
            <w:r>
              <w:rPr>
                <w:rFonts w:hint="eastAsia"/>
                <w:sz w:val="24"/>
                <w:szCs w:val="24"/>
                <w:lang w:eastAsia="zh-CN"/>
              </w:rPr>
              <w:t>900-</w:t>
            </w:r>
            <w:r>
              <w:rPr>
                <w:rFonts w:hint="eastAsia"/>
                <w:sz w:val="24"/>
                <w:szCs w:val="24"/>
                <w:lang w:val="en-US" w:eastAsia="zh-CN"/>
              </w:rPr>
              <w:t>214</w:t>
            </w:r>
            <w:r>
              <w:rPr>
                <w:rFonts w:hint="eastAsia"/>
                <w:sz w:val="24"/>
                <w:szCs w:val="24"/>
                <w:lang w:eastAsia="zh-CN"/>
              </w:rPr>
              <w:t>-</w:t>
            </w:r>
            <w:r>
              <w:rPr>
                <w:rFonts w:hint="eastAsia"/>
                <w:sz w:val="24"/>
                <w:szCs w:val="24"/>
                <w:lang w:val="en-US" w:eastAsia="zh-CN"/>
              </w:rPr>
              <w:t>08</w:t>
            </w:r>
            <w:r>
              <w:rPr>
                <w:rFonts w:hint="eastAsia"/>
                <w:sz w:val="24"/>
                <w:szCs w:val="24"/>
              </w:rPr>
              <w:t>。</w:t>
            </w:r>
          </w:p>
          <w:p w14:paraId="0F49DF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产生量核算：类比同类污水处理厂运行经验，本项目含油废抹布产生量约0.05t/a。</w:t>
            </w:r>
          </w:p>
          <w:p w14:paraId="6D6C6C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贮存方式：采用专用容器收集，暂存于危废贮存点。</w:t>
            </w:r>
          </w:p>
          <w:p w14:paraId="1B243D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处置去向：定期交有资质的危险废物处置单位处置。</w:t>
            </w:r>
          </w:p>
          <w:p w14:paraId="0AA5DF3F">
            <w:pPr>
              <w:pStyle w:val="5"/>
              <w:keepNext/>
              <w:keepLines/>
              <w:pageBreakBefore w:val="0"/>
              <w:widowControl w:val="0"/>
              <w:numPr>
                <w:ilvl w:val="0"/>
                <w:numId w:val="0"/>
              </w:numPr>
              <w:kinsoku/>
              <w:wordWrap/>
              <w:overflowPunct/>
              <w:topLinePunct w:val="0"/>
              <w:autoSpaceDE/>
              <w:autoSpaceDN/>
              <w:bidi w:val="0"/>
              <w:adjustRightInd/>
              <w:snapToGrid/>
              <w:spacing w:before="0" w:beforeLines="0"/>
              <w:ind w:left="425" w:leftChars="0" w:firstLine="0" w:firstLineChars="0"/>
              <w:textAlignment w:val="auto"/>
              <w:rPr>
                <w:rFonts w:hint="eastAsia" w:ascii="Times New Roman" w:hAnsi="Times New Roman" w:eastAsia="宋体" w:cs="Times New Roman"/>
                <w:b w:val="0"/>
                <w:bCs/>
              </w:rPr>
            </w:pPr>
            <w:r>
              <w:rPr>
                <w:rFonts w:hint="eastAsia" w:cs="Times New Roman"/>
                <w:b w:val="0"/>
                <w:bCs/>
                <w:kern w:val="2"/>
                <w:sz w:val="24"/>
                <w:szCs w:val="24"/>
                <w:lang w:val="en-US" w:eastAsia="zh-CN" w:bidi="ar-SA"/>
              </w:rPr>
              <w:t>8、</w:t>
            </w:r>
            <w:r>
              <w:rPr>
                <w:rFonts w:hint="eastAsia" w:ascii="Times New Roman" w:hAnsi="Times New Roman" w:eastAsia="宋体" w:cs="Times New Roman"/>
                <w:b w:val="0"/>
                <w:bCs/>
              </w:rPr>
              <w:t>生活垃圾</w:t>
            </w:r>
          </w:p>
          <w:p w14:paraId="76A43E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产生环节：产生于职工办公、生活过程。</w:t>
            </w:r>
          </w:p>
          <w:p w14:paraId="128BAE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属性判定：生活垃圾属于生活垃圾（SW64）。</w:t>
            </w:r>
          </w:p>
          <w:p w14:paraId="7C4440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产生量核算：本项目劳动定员15人，生活垃圾产生量按0.5kg/人</w:t>
            </w:r>
            <w:r>
              <w:rPr>
                <w:rFonts w:hint="eastAsia"/>
                <w:sz w:val="24"/>
                <w:szCs w:val="24"/>
                <w:lang w:val="en-US" w:eastAsia="zh-CN"/>
              </w:rPr>
              <w:t>·</w:t>
            </w:r>
            <w:r>
              <w:rPr>
                <w:rFonts w:hint="eastAsia"/>
                <w:sz w:val="24"/>
                <w:szCs w:val="24"/>
              </w:rPr>
              <w:t>d计，则生活垃圾产生量为7.5kg/d，年产生量约2.74t/a。</w:t>
            </w:r>
          </w:p>
          <w:p w14:paraId="486DB7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贮存方式：厂区设置垃圾桶集中收集。</w:t>
            </w:r>
          </w:p>
          <w:p w14:paraId="16A7B4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处置去向：定期交由环卫部门统一清运。</w:t>
            </w:r>
          </w:p>
          <w:p w14:paraId="36518E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固体废物产生及处置情况见下表：</w:t>
            </w:r>
          </w:p>
          <w:p w14:paraId="1A5B80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sz w:val="24"/>
                <w:szCs w:val="24"/>
              </w:rPr>
              <w:t>运营期固体废物产生及处置情况见下表：</w:t>
            </w:r>
          </w:p>
          <w:p w14:paraId="58BEF7AB">
            <w:pPr>
              <w:pStyle w:val="23"/>
              <w:bidi w:val="0"/>
              <w:rPr>
                <w:rFonts w:hint="eastAsia"/>
                <w:lang w:val="en-US" w:eastAsia="zh-CN"/>
              </w:rPr>
            </w:pPr>
          </w:p>
          <w:p w14:paraId="48F01798">
            <w:pPr>
              <w:pStyle w:val="23"/>
              <w:bidi w:val="0"/>
              <w:rPr>
                <w:rFonts w:hint="eastAsia"/>
                <w:lang w:val="en-US" w:eastAsia="zh-CN"/>
              </w:rPr>
            </w:pPr>
          </w:p>
          <w:p w14:paraId="2C803BB1">
            <w:pPr>
              <w:pStyle w:val="23"/>
              <w:bidi w:val="0"/>
              <w:rPr>
                <w:rFonts w:hint="eastAsia"/>
                <w:lang w:val="en-US" w:eastAsia="zh-CN"/>
              </w:rPr>
            </w:pPr>
          </w:p>
          <w:p w14:paraId="5B3D61E4">
            <w:pPr>
              <w:pStyle w:val="23"/>
              <w:bidi w:val="0"/>
              <w:rPr>
                <w:rFonts w:hint="eastAsia"/>
                <w:lang w:val="en-US" w:eastAsia="zh-CN"/>
              </w:rPr>
            </w:pPr>
          </w:p>
          <w:p w14:paraId="55BB7C33">
            <w:pPr>
              <w:pStyle w:val="23"/>
              <w:bidi w:val="0"/>
              <w:rPr>
                <w:rFonts w:hint="eastAsia"/>
                <w:lang w:val="en-US" w:eastAsia="zh-CN"/>
              </w:rPr>
            </w:pPr>
          </w:p>
          <w:p w14:paraId="1D0C3C00">
            <w:pPr>
              <w:pStyle w:val="23"/>
              <w:bidi w:val="0"/>
              <w:rPr>
                <w:rFonts w:hint="eastAsia"/>
                <w:lang w:val="en-US" w:eastAsia="zh-CN"/>
              </w:rPr>
            </w:pPr>
            <w:r>
              <w:rPr>
                <w:rFonts w:hint="eastAsia"/>
                <w:lang w:val="en-US" w:eastAsia="zh-CN"/>
              </w:rPr>
              <w:t>表4-22 固体废物处置一览表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764"/>
              <w:gridCol w:w="500"/>
              <w:gridCol w:w="1382"/>
              <w:gridCol w:w="849"/>
              <w:gridCol w:w="530"/>
              <w:gridCol w:w="870"/>
              <w:gridCol w:w="794"/>
              <w:gridCol w:w="1561"/>
            </w:tblGrid>
            <w:tr w14:paraId="171B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6654BC29">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产生环节</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136692">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固废名称</w:t>
                  </w:r>
                </w:p>
              </w:tc>
              <w:tc>
                <w:tcPr>
                  <w:tcW w:w="3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BBD02B">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属性</w:t>
                  </w:r>
                </w:p>
              </w:tc>
              <w:tc>
                <w:tcPr>
                  <w:tcW w:w="8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D615AE">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废物代码</w:t>
                  </w:r>
                </w:p>
              </w:tc>
              <w:tc>
                <w:tcPr>
                  <w:tcW w:w="5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29FD05">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主要有毒有害物质</w:t>
                  </w:r>
                </w:p>
              </w:tc>
              <w:tc>
                <w:tcPr>
                  <w:tcW w:w="3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1E825E">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物理性状</w:t>
                  </w:r>
                </w:p>
              </w:tc>
              <w:tc>
                <w:tcPr>
                  <w:tcW w:w="5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7D6AA1">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环境危险特性</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FFFE2C">
                  <w:pPr>
                    <w:jc w:val="center"/>
                    <w:rPr>
                      <w:rFonts w:hint="default" w:ascii="Times New Roman" w:hAnsi="Times New Roman" w:eastAsia="宋体" w:cs="Times New Roman"/>
                      <w:b w:val="0"/>
                      <w:color w:val="000000"/>
                      <w:sz w:val="21"/>
                      <w:szCs w:val="21"/>
                      <w:lang w:eastAsia="zh-CN"/>
                    </w:rPr>
                  </w:pPr>
                  <w:r>
                    <w:rPr>
                      <w:rFonts w:hint="default" w:ascii="Times New Roman" w:hAnsi="Times New Roman" w:cs="Times New Roman"/>
                      <w:b w:val="0"/>
                      <w:color w:val="000000"/>
                      <w:spacing w:val="-11"/>
                      <w:sz w:val="21"/>
                      <w:szCs w:val="21"/>
                    </w:rPr>
                    <w:t>产生量</w:t>
                  </w:r>
                  <w:r>
                    <w:rPr>
                      <w:rFonts w:hint="default" w:ascii="Times New Roman" w:hAnsi="Times New Roman" w:cs="Times New Roman"/>
                      <w:b w:val="0"/>
                      <w:color w:val="000000"/>
                      <w:spacing w:val="-11"/>
                      <w:sz w:val="21"/>
                      <w:szCs w:val="21"/>
                      <w:lang w:eastAsia="zh-CN"/>
                    </w:rPr>
                    <w:t>（</w:t>
                  </w:r>
                  <w:r>
                    <w:rPr>
                      <w:rFonts w:hint="default" w:ascii="Times New Roman" w:hAnsi="Times New Roman" w:cs="Times New Roman"/>
                      <w:b w:val="0"/>
                      <w:color w:val="000000"/>
                      <w:spacing w:val="-11"/>
                      <w:sz w:val="21"/>
                      <w:szCs w:val="21"/>
                    </w:rPr>
                    <w:t>t/a</w:t>
                  </w:r>
                  <w:r>
                    <w:rPr>
                      <w:rFonts w:hint="default" w:ascii="Times New Roman" w:hAnsi="Times New Roman" w:cs="Times New Roman"/>
                      <w:b w:val="0"/>
                      <w:color w:val="000000"/>
                      <w:spacing w:val="-11"/>
                      <w:sz w:val="21"/>
                      <w:szCs w:val="21"/>
                      <w:lang w:eastAsia="zh-CN"/>
                    </w:rPr>
                    <w:t>）</w:t>
                  </w:r>
                </w:p>
              </w:tc>
              <w:tc>
                <w:tcPr>
                  <w:tcW w:w="9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98BED9">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处置方式/去向</w:t>
                  </w:r>
                </w:p>
              </w:tc>
            </w:tr>
            <w:tr w14:paraId="7A5F8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72E0E3">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格栅</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F9CF6C">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栅渣</w:t>
                  </w:r>
                </w:p>
              </w:tc>
              <w:tc>
                <w:tcPr>
                  <w:tcW w:w="317" w:type="pct"/>
                  <w:vMerge w:val="restart"/>
                  <w:tcBorders>
                    <w:top w:val="single" w:color="000000" w:sz="4" w:space="0"/>
                    <w:left w:val="single" w:color="000000" w:sz="4" w:space="0"/>
                    <w:right w:val="single" w:color="000000" w:sz="4" w:space="0"/>
                  </w:tcBorders>
                  <w:shd w:val="clear" w:color="auto" w:fill="FFFFFF"/>
                  <w:vAlign w:val="center"/>
                </w:tcPr>
                <w:p w14:paraId="34484227">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一般工业固废</w:t>
                  </w:r>
                </w:p>
              </w:tc>
              <w:tc>
                <w:tcPr>
                  <w:tcW w:w="8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7C4DB5">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900-099-S59</w:t>
                  </w:r>
                </w:p>
              </w:tc>
              <w:tc>
                <w:tcPr>
                  <w:tcW w:w="5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326680">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w:t>
                  </w:r>
                </w:p>
              </w:tc>
              <w:tc>
                <w:tcPr>
                  <w:tcW w:w="3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F5A59D">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固态</w:t>
                  </w:r>
                </w:p>
              </w:tc>
              <w:tc>
                <w:tcPr>
                  <w:tcW w:w="5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DF9761">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4F5276">
                  <w:pPr>
                    <w:jc w:val="center"/>
                    <w:rPr>
                      <w:rFonts w:hint="eastAsia" w:ascii="Times New Roman" w:hAnsi="Times New Roman" w:eastAsia="宋体" w:cs="Times New Roman"/>
                      <w:b w:val="0"/>
                      <w:color w:val="000000"/>
                      <w:sz w:val="21"/>
                      <w:szCs w:val="21"/>
                      <w:lang w:eastAsia="zh-CN"/>
                    </w:rPr>
                  </w:pPr>
                  <w:r>
                    <w:rPr>
                      <w:rFonts w:hint="eastAsia" w:cs="Times New Roman"/>
                      <w:b w:val="0"/>
                      <w:color w:val="000000"/>
                      <w:sz w:val="21"/>
                      <w:szCs w:val="21"/>
                      <w:lang w:eastAsia="zh-CN"/>
                    </w:rPr>
                    <w:t>73.58</w:t>
                  </w:r>
                </w:p>
              </w:tc>
              <w:tc>
                <w:tcPr>
                  <w:tcW w:w="984" w:type="pct"/>
                  <w:vMerge w:val="restart"/>
                  <w:tcBorders>
                    <w:top w:val="single" w:color="000000" w:sz="4" w:space="0"/>
                    <w:left w:val="single" w:color="000000" w:sz="4" w:space="0"/>
                    <w:right w:val="single" w:color="000000" w:sz="4" w:space="0"/>
                  </w:tcBorders>
                  <w:shd w:val="clear" w:color="auto" w:fill="FFFFFF"/>
                  <w:vAlign w:val="center"/>
                </w:tcPr>
                <w:p w14:paraId="6F7CAF22">
                  <w:pPr>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sz w:val="21"/>
                      <w:szCs w:val="21"/>
                    </w:rPr>
                    <w:t>一般固废暂存区</w:t>
                  </w:r>
                  <w:r>
                    <w:rPr>
                      <w:rFonts w:hint="default" w:ascii="Times New Roman" w:hAnsi="Times New Roman" w:eastAsia="宋体" w:cs="Times New Roman"/>
                      <w:b w:val="0"/>
                      <w:color w:val="000000"/>
                      <w:sz w:val="21"/>
                      <w:szCs w:val="21"/>
                      <w:lang w:val="en-US" w:eastAsia="zh-CN"/>
                    </w:rPr>
                    <w:t>暂存</w:t>
                  </w:r>
                  <w:r>
                    <w:rPr>
                      <w:rFonts w:hint="default" w:ascii="Times New Roman" w:hAnsi="Times New Roman" w:eastAsia="宋体" w:cs="Times New Roman"/>
                      <w:b w:val="0"/>
                      <w:color w:val="000000"/>
                      <w:sz w:val="21"/>
                      <w:szCs w:val="21"/>
                      <w:lang w:eastAsia="zh-CN"/>
                    </w:rPr>
                    <w:t>，</w:t>
                  </w:r>
                  <w:r>
                    <w:rPr>
                      <w:rFonts w:hint="default" w:ascii="Times New Roman" w:hAnsi="Times New Roman" w:eastAsia="宋体" w:cs="Times New Roman"/>
                      <w:b w:val="0"/>
                      <w:color w:val="000000"/>
                      <w:sz w:val="21"/>
                      <w:szCs w:val="21"/>
                      <w:lang w:val="en-US" w:eastAsia="zh-CN"/>
                    </w:rPr>
                    <w:t>定期</w:t>
                  </w:r>
                  <w:r>
                    <w:rPr>
                      <w:rFonts w:hint="default" w:ascii="Times New Roman" w:hAnsi="Times New Roman" w:eastAsia="宋体" w:cs="Times New Roman"/>
                      <w:b w:val="0"/>
                      <w:color w:val="000000"/>
                      <w:sz w:val="21"/>
                      <w:szCs w:val="21"/>
                    </w:rPr>
                    <w:t>环卫部门清运</w:t>
                  </w:r>
                </w:p>
              </w:tc>
            </w:tr>
            <w:tr w14:paraId="28BC0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E5519B">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pacing w:val="-23"/>
                      <w:sz w:val="21"/>
                      <w:szCs w:val="21"/>
                    </w:rPr>
                    <w:t>沉砂池</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A7355">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沉砂</w:t>
                  </w:r>
                </w:p>
              </w:tc>
              <w:tc>
                <w:tcPr>
                  <w:tcW w:w="317" w:type="pct"/>
                  <w:vMerge w:val="continue"/>
                  <w:tcBorders>
                    <w:left w:val="single" w:color="000000" w:sz="4" w:space="0"/>
                    <w:right w:val="single" w:color="000000" w:sz="4" w:space="0"/>
                  </w:tcBorders>
                  <w:shd w:val="clear" w:color="auto" w:fill="FFFFFF"/>
                  <w:vAlign w:val="center"/>
                </w:tcPr>
                <w:p w14:paraId="7A4426D9">
                  <w:pPr>
                    <w:jc w:val="center"/>
                    <w:rPr>
                      <w:rFonts w:hint="default" w:ascii="Times New Roman" w:hAnsi="Times New Roman" w:cs="Times New Roman"/>
                      <w:b w:val="0"/>
                      <w:color w:val="000000"/>
                      <w:sz w:val="21"/>
                      <w:szCs w:val="21"/>
                    </w:rPr>
                  </w:pPr>
                </w:p>
              </w:tc>
              <w:tc>
                <w:tcPr>
                  <w:tcW w:w="8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DF6DE">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900-099-S59</w:t>
                  </w:r>
                </w:p>
              </w:tc>
              <w:tc>
                <w:tcPr>
                  <w:tcW w:w="5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3E49F3">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w:t>
                  </w:r>
                </w:p>
              </w:tc>
              <w:tc>
                <w:tcPr>
                  <w:tcW w:w="3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DC33DC">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固态</w:t>
                  </w:r>
                </w:p>
              </w:tc>
              <w:tc>
                <w:tcPr>
                  <w:tcW w:w="5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D482B">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39B42A">
                  <w:pPr>
                    <w:jc w:val="center"/>
                    <w:rPr>
                      <w:rFonts w:hint="eastAsia" w:ascii="Times New Roman" w:hAnsi="Times New Roman" w:eastAsia="宋体" w:cs="Times New Roman"/>
                      <w:b w:val="0"/>
                      <w:color w:val="000000"/>
                      <w:sz w:val="21"/>
                      <w:szCs w:val="21"/>
                      <w:lang w:eastAsia="zh-CN"/>
                    </w:rPr>
                  </w:pPr>
                  <w:r>
                    <w:rPr>
                      <w:rFonts w:hint="eastAsia" w:cs="Times New Roman"/>
                      <w:b w:val="0"/>
                      <w:color w:val="000000"/>
                      <w:sz w:val="21"/>
                      <w:szCs w:val="21"/>
                      <w:lang w:eastAsia="zh-CN"/>
                    </w:rPr>
                    <w:t>48.28</w:t>
                  </w:r>
                </w:p>
              </w:tc>
              <w:tc>
                <w:tcPr>
                  <w:tcW w:w="984" w:type="pct"/>
                  <w:vMerge w:val="continue"/>
                  <w:tcBorders>
                    <w:left w:val="single" w:color="000000" w:sz="4" w:space="0"/>
                    <w:bottom w:val="single" w:color="000000" w:sz="4" w:space="0"/>
                    <w:right w:val="single" w:color="000000" w:sz="4" w:space="0"/>
                  </w:tcBorders>
                  <w:shd w:val="clear" w:color="auto" w:fill="FFFFFF"/>
                  <w:vAlign w:val="center"/>
                </w:tcPr>
                <w:p w14:paraId="4CE6EC6C">
                  <w:pPr>
                    <w:jc w:val="center"/>
                    <w:rPr>
                      <w:rFonts w:hint="default" w:ascii="Times New Roman" w:hAnsi="Times New Roman" w:cs="Times New Roman"/>
                      <w:b w:val="0"/>
                      <w:color w:val="000000"/>
                      <w:sz w:val="21"/>
                      <w:szCs w:val="21"/>
                    </w:rPr>
                  </w:pPr>
                </w:p>
              </w:tc>
            </w:tr>
            <w:tr w14:paraId="69449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4F40B">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污泥脱水</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C0F70A">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脱水污泥</w:t>
                  </w:r>
                </w:p>
              </w:tc>
              <w:tc>
                <w:tcPr>
                  <w:tcW w:w="317" w:type="pct"/>
                  <w:vMerge w:val="continue"/>
                  <w:tcBorders>
                    <w:left w:val="single" w:color="000000" w:sz="4" w:space="0"/>
                    <w:right w:val="single" w:color="000000" w:sz="4" w:space="0"/>
                  </w:tcBorders>
                  <w:shd w:val="clear" w:color="auto" w:fill="FFFFFF"/>
                  <w:vAlign w:val="center"/>
                </w:tcPr>
                <w:p w14:paraId="6AFC8ACA">
                  <w:pPr>
                    <w:jc w:val="center"/>
                    <w:rPr>
                      <w:rFonts w:hint="default" w:ascii="Times New Roman" w:hAnsi="Times New Roman" w:cs="Times New Roman"/>
                      <w:b w:val="0"/>
                      <w:color w:val="000000"/>
                      <w:sz w:val="21"/>
                      <w:szCs w:val="21"/>
                    </w:rPr>
                  </w:pPr>
                </w:p>
              </w:tc>
              <w:tc>
                <w:tcPr>
                  <w:tcW w:w="8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0EF572">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462-001-S90</w:t>
                  </w:r>
                </w:p>
              </w:tc>
              <w:tc>
                <w:tcPr>
                  <w:tcW w:w="5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945081">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w:t>
                  </w:r>
                </w:p>
              </w:tc>
              <w:tc>
                <w:tcPr>
                  <w:tcW w:w="3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68D916">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固态</w:t>
                  </w:r>
                </w:p>
              </w:tc>
              <w:tc>
                <w:tcPr>
                  <w:tcW w:w="5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27D8B0">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77D0B">
                  <w:pPr>
                    <w:jc w:val="center"/>
                    <w:rPr>
                      <w:rFonts w:hint="eastAsia" w:ascii="Times New Roman" w:hAnsi="Times New Roman" w:eastAsia="宋体" w:cs="Times New Roman"/>
                      <w:b w:val="0"/>
                      <w:color w:val="000000"/>
                      <w:sz w:val="21"/>
                      <w:szCs w:val="21"/>
                      <w:lang w:eastAsia="zh-CN"/>
                    </w:rPr>
                  </w:pPr>
                  <w:r>
                    <w:rPr>
                      <w:rFonts w:hint="eastAsia" w:cs="Times New Roman"/>
                      <w:b w:val="0"/>
                      <w:color w:val="000000"/>
                      <w:sz w:val="21"/>
                      <w:szCs w:val="21"/>
                      <w:lang w:eastAsia="zh-CN"/>
                    </w:rPr>
                    <w:t>866.04</w:t>
                  </w:r>
                </w:p>
              </w:tc>
              <w:tc>
                <w:tcPr>
                  <w:tcW w:w="9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62331E">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送至</w:t>
                  </w:r>
                  <w:r>
                    <w:rPr>
                      <w:rFonts w:hint="eastAsia" w:ascii="Times New Roman" w:hAnsi="Times New Roman" w:cs="Times New Roman"/>
                      <w:b w:val="0"/>
                      <w:color w:val="000000"/>
                      <w:sz w:val="21"/>
                      <w:szCs w:val="21"/>
                      <w:lang w:val="en-US" w:eastAsia="zh-CN"/>
                    </w:rPr>
                    <w:t>当地</w:t>
                  </w:r>
                  <w:r>
                    <w:rPr>
                      <w:rFonts w:hint="default" w:ascii="Times New Roman" w:hAnsi="Times New Roman" w:cs="Times New Roman"/>
                      <w:b w:val="0"/>
                      <w:color w:val="000000"/>
                      <w:sz w:val="21"/>
                      <w:szCs w:val="21"/>
                    </w:rPr>
                    <w:t>垃圾填埋场填埋（含水率≤60%）</w:t>
                  </w:r>
                </w:p>
              </w:tc>
            </w:tr>
            <w:tr w14:paraId="320F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E1543B">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加药系统</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5AF29">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废包装袋</w:t>
                  </w:r>
                </w:p>
              </w:tc>
              <w:tc>
                <w:tcPr>
                  <w:tcW w:w="317" w:type="pct"/>
                  <w:vMerge w:val="continue"/>
                  <w:tcBorders>
                    <w:left w:val="single" w:color="000000" w:sz="4" w:space="0"/>
                    <w:bottom w:val="single" w:color="000000" w:sz="4" w:space="0"/>
                    <w:right w:val="single" w:color="000000" w:sz="4" w:space="0"/>
                  </w:tcBorders>
                  <w:shd w:val="clear" w:color="auto" w:fill="FFFFFF"/>
                  <w:vAlign w:val="center"/>
                </w:tcPr>
                <w:p w14:paraId="50187C68">
                  <w:pPr>
                    <w:jc w:val="center"/>
                    <w:rPr>
                      <w:rFonts w:hint="default" w:ascii="Times New Roman" w:hAnsi="Times New Roman" w:cs="Times New Roman"/>
                      <w:b w:val="0"/>
                      <w:color w:val="000000"/>
                      <w:sz w:val="21"/>
                      <w:szCs w:val="21"/>
                    </w:rPr>
                  </w:pPr>
                </w:p>
              </w:tc>
              <w:tc>
                <w:tcPr>
                  <w:tcW w:w="8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4BD14">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900-099-S17</w:t>
                  </w:r>
                </w:p>
              </w:tc>
              <w:tc>
                <w:tcPr>
                  <w:tcW w:w="5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5E2B34">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w:t>
                  </w:r>
                </w:p>
              </w:tc>
              <w:tc>
                <w:tcPr>
                  <w:tcW w:w="3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A537AE">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固态</w:t>
                  </w:r>
                </w:p>
              </w:tc>
              <w:tc>
                <w:tcPr>
                  <w:tcW w:w="5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9D18F">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C0895A">
                  <w:pPr>
                    <w:jc w:val="center"/>
                    <w:rPr>
                      <w:rFonts w:hint="eastAsia" w:ascii="Times New Roman" w:hAnsi="Times New Roman" w:eastAsia="宋体" w:cs="Times New Roman"/>
                      <w:b w:val="0"/>
                      <w:color w:val="000000"/>
                      <w:sz w:val="21"/>
                      <w:szCs w:val="21"/>
                      <w:lang w:eastAsia="zh-CN"/>
                    </w:rPr>
                  </w:pPr>
                  <w:r>
                    <w:rPr>
                      <w:rFonts w:hint="eastAsia" w:cs="Times New Roman"/>
                      <w:b w:val="0"/>
                      <w:color w:val="000000"/>
                      <w:sz w:val="21"/>
                      <w:szCs w:val="21"/>
                      <w:lang w:eastAsia="zh-CN"/>
                    </w:rPr>
                    <w:t>0.05</w:t>
                  </w:r>
                </w:p>
              </w:tc>
              <w:tc>
                <w:tcPr>
                  <w:tcW w:w="9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D694B5">
                  <w:pPr>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sz w:val="21"/>
                      <w:szCs w:val="21"/>
                    </w:rPr>
                    <w:t>一般固废暂存区</w:t>
                  </w:r>
                  <w:r>
                    <w:rPr>
                      <w:rFonts w:hint="default" w:ascii="Times New Roman" w:hAnsi="Times New Roman" w:eastAsia="宋体" w:cs="Times New Roman"/>
                      <w:b w:val="0"/>
                      <w:color w:val="000000"/>
                      <w:sz w:val="21"/>
                      <w:szCs w:val="21"/>
                      <w:lang w:val="en-US" w:eastAsia="zh-CN"/>
                    </w:rPr>
                    <w:t>暂存</w:t>
                  </w:r>
                  <w:r>
                    <w:rPr>
                      <w:rFonts w:hint="default" w:ascii="Times New Roman" w:hAnsi="Times New Roman" w:eastAsia="宋体" w:cs="Times New Roman"/>
                      <w:b w:val="0"/>
                      <w:color w:val="000000"/>
                      <w:sz w:val="21"/>
                      <w:szCs w:val="21"/>
                      <w:lang w:eastAsia="zh-CN"/>
                    </w:rPr>
                    <w:t>，</w:t>
                  </w:r>
                  <w:r>
                    <w:rPr>
                      <w:rFonts w:hint="default" w:ascii="Times New Roman" w:hAnsi="Times New Roman" w:eastAsia="宋体" w:cs="Times New Roman"/>
                      <w:b w:val="0"/>
                      <w:color w:val="000000"/>
                      <w:sz w:val="21"/>
                      <w:szCs w:val="21"/>
                      <w:lang w:val="en-US" w:eastAsia="zh-CN"/>
                    </w:rPr>
                    <w:t>定期</w:t>
                  </w:r>
                  <w:r>
                    <w:rPr>
                      <w:rFonts w:hint="default" w:ascii="Times New Roman" w:hAnsi="Times New Roman" w:eastAsia="宋体" w:cs="Times New Roman"/>
                      <w:b w:val="0"/>
                      <w:color w:val="000000"/>
                      <w:sz w:val="21"/>
                      <w:szCs w:val="21"/>
                    </w:rPr>
                    <w:t>环卫部门清运</w:t>
                  </w:r>
                </w:p>
              </w:tc>
            </w:tr>
            <w:tr w14:paraId="48528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7E65CB">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pacing w:val="-23"/>
                      <w:sz w:val="21"/>
                      <w:szCs w:val="21"/>
                    </w:rPr>
                    <w:t>检测间</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3418A">
                  <w:pPr>
                    <w:jc w:val="center"/>
                    <w:rPr>
                      <w:rFonts w:hint="default" w:ascii="Times New Roman" w:hAnsi="Times New Roman" w:cs="Times New Roman"/>
                      <w:b w:val="0"/>
                      <w:color w:val="000000"/>
                      <w:sz w:val="21"/>
                      <w:szCs w:val="21"/>
                      <w:lang w:eastAsia="zh-CN"/>
                    </w:rPr>
                  </w:pPr>
                  <w:r>
                    <w:rPr>
                      <w:rFonts w:hint="default" w:ascii="Times New Roman" w:hAnsi="Times New Roman" w:cs="Times New Roman"/>
                      <w:b w:val="0"/>
                      <w:color w:val="000000"/>
                      <w:sz w:val="21"/>
                      <w:szCs w:val="21"/>
                    </w:rPr>
                    <w:t>化验废液</w:t>
                  </w:r>
                </w:p>
              </w:tc>
              <w:tc>
                <w:tcPr>
                  <w:tcW w:w="317" w:type="pct"/>
                  <w:vMerge w:val="restart"/>
                  <w:tcBorders>
                    <w:top w:val="single" w:color="000000" w:sz="4" w:space="0"/>
                    <w:left w:val="single" w:color="000000" w:sz="4" w:space="0"/>
                    <w:right w:val="single" w:color="000000" w:sz="4" w:space="0"/>
                  </w:tcBorders>
                  <w:shd w:val="clear" w:color="auto" w:fill="FFFFFF"/>
                  <w:vAlign w:val="center"/>
                </w:tcPr>
                <w:p w14:paraId="3E2DC1BB">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危险废物</w:t>
                  </w:r>
                </w:p>
              </w:tc>
              <w:tc>
                <w:tcPr>
                  <w:tcW w:w="8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D3D4BB">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900-047-49</w:t>
                  </w:r>
                </w:p>
              </w:tc>
              <w:tc>
                <w:tcPr>
                  <w:tcW w:w="5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00CE10">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酸、碱、有机物</w:t>
                  </w:r>
                </w:p>
              </w:tc>
              <w:tc>
                <w:tcPr>
                  <w:tcW w:w="3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B8A32">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液态</w:t>
                  </w:r>
                </w:p>
              </w:tc>
              <w:tc>
                <w:tcPr>
                  <w:tcW w:w="5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DA6B1">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T/C/I/R</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10D529">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1.5</w:t>
                  </w:r>
                </w:p>
              </w:tc>
              <w:tc>
                <w:tcPr>
                  <w:tcW w:w="9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884EB">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分类收集，暂存于危废贮存点，定期交有资质单位处置</w:t>
                  </w:r>
                </w:p>
              </w:tc>
            </w:tr>
            <w:tr w14:paraId="34D08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8A65F9">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设备维修</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043E8C">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pacing w:val="-11"/>
                      <w:sz w:val="21"/>
                      <w:szCs w:val="21"/>
                    </w:rPr>
                    <w:t>废机油</w:t>
                  </w:r>
                </w:p>
              </w:tc>
              <w:tc>
                <w:tcPr>
                  <w:tcW w:w="317" w:type="pct"/>
                  <w:vMerge w:val="continue"/>
                  <w:tcBorders>
                    <w:left w:val="single" w:color="000000" w:sz="4" w:space="0"/>
                    <w:right w:val="single" w:color="000000" w:sz="4" w:space="0"/>
                  </w:tcBorders>
                  <w:shd w:val="clear" w:color="auto" w:fill="FFFFFF"/>
                  <w:vAlign w:val="center"/>
                </w:tcPr>
                <w:p w14:paraId="46FB84B4">
                  <w:pPr>
                    <w:jc w:val="center"/>
                    <w:rPr>
                      <w:rFonts w:hint="default" w:ascii="Times New Roman" w:hAnsi="Times New Roman" w:cs="Times New Roman"/>
                      <w:b w:val="0"/>
                      <w:color w:val="000000"/>
                      <w:sz w:val="21"/>
                      <w:szCs w:val="21"/>
                    </w:rPr>
                  </w:pPr>
                </w:p>
              </w:tc>
              <w:tc>
                <w:tcPr>
                  <w:tcW w:w="8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591FF">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900-214-08</w:t>
                  </w:r>
                </w:p>
              </w:tc>
              <w:tc>
                <w:tcPr>
                  <w:tcW w:w="5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F44FD">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矿物油</w:t>
                  </w:r>
                </w:p>
              </w:tc>
              <w:tc>
                <w:tcPr>
                  <w:tcW w:w="3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602AE">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液态</w:t>
                  </w:r>
                </w:p>
              </w:tc>
              <w:tc>
                <w:tcPr>
                  <w:tcW w:w="5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504B9">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T，I</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851A7">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0.2</w:t>
                  </w:r>
                </w:p>
              </w:tc>
              <w:tc>
                <w:tcPr>
                  <w:tcW w:w="9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848740">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暂存于危废贮存点，定期交有资质单位处置</w:t>
                  </w:r>
                </w:p>
              </w:tc>
            </w:tr>
            <w:tr w14:paraId="12E62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9D9165">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设备维修</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754EFD">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pacing w:val="-11"/>
                      <w:sz w:val="21"/>
                      <w:szCs w:val="21"/>
                    </w:rPr>
                    <w:t>含油废抹布</w:t>
                  </w:r>
                </w:p>
              </w:tc>
              <w:tc>
                <w:tcPr>
                  <w:tcW w:w="317" w:type="pct"/>
                  <w:vMerge w:val="continue"/>
                  <w:tcBorders>
                    <w:left w:val="single" w:color="000000" w:sz="4" w:space="0"/>
                    <w:bottom w:val="single" w:color="000000" w:sz="4" w:space="0"/>
                    <w:right w:val="single" w:color="000000" w:sz="4" w:space="0"/>
                  </w:tcBorders>
                  <w:shd w:val="clear" w:color="auto" w:fill="FFFFFF"/>
                  <w:vAlign w:val="center"/>
                </w:tcPr>
                <w:p w14:paraId="7A584A1B">
                  <w:pPr>
                    <w:jc w:val="center"/>
                    <w:rPr>
                      <w:rFonts w:hint="default" w:ascii="Times New Roman" w:hAnsi="Times New Roman" w:cs="Times New Roman"/>
                      <w:b w:val="0"/>
                      <w:color w:val="000000"/>
                      <w:sz w:val="21"/>
                      <w:szCs w:val="21"/>
                    </w:rPr>
                  </w:pPr>
                </w:p>
              </w:tc>
              <w:tc>
                <w:tcPr>
                  <w:tcW w:w="8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1C246">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900-214-08</w:t>
                  </w:r>
                </w:p>
              </w:tc>
              <w:tc>
                <w:tcPr>
                  <w:tcW w:w="5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3E8B5">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矿物油</w:t>
                  </w:r>
                </w:p>
              </w:tc>
              <w:tc>
                <w:tcPr>
                  <w:tcW w:w="3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EDD68">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固态</w:t>
                  </w:r>
                </w:p>
              </w:tc>
              <w:tc>
                <w:tcPr>
                  <w:tcW w:w="5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5C928E">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T/In</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14725">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0.05</w:t>
                  </w:r>
                </w:p>
              </w:tc>
              <w:tc>
                <w:tcPr>
                  <w:tcW w:w="9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B3629">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暂存于危废贮存点，定期交有资质单位处置</w:t>
                  </w:r>
                </w:p>
              </w:tc>
            </w:tr>
            <w:tr w14:paraId="23F7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197162">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办公活动</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137E00">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生活垃圾</w:t>
                  </w:r>
                </w:p>
              </w:tc>
              <w:tc>
                <w:tcPr>
                  <w:tcW w:w="3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C1811F">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生活垃圾</w:t>
                  </w:r>
                </w:p>
              </w:tc>
              <w:tc>
                <w:tcPr>
                  <w:tcW w:w="8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C510E">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w:t>
                  </w:r>
                </w:p>
              </w:tc>
              <w:tc>
                <w:tcPr>
                  <w:tcW w:w="5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B72873">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w:t>
                  </w:r>
                </w:p>
              </w:tc>
              <w:tc>
                <w:tcPr>
                  <w:tcW w:w="3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C7906">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固态</w:t>
                  </w:r>
                </w:p>
              </w:tc>
              <w:tc>
                <w:tcPr>
                  <w:tcW w:w="5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5C8E3">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2CDF7A">
                  <w:pPr>
                    <w:jc w:val="center"/>
                    <w:rPr>
                      <w:rFonts w:hint="eastAsia" w:ascii="Times New Roman" w:hAnsi="Times New Roman" w:eastAsia="宋体" w:cs="Times New Roman"/>
                      <w:b w:val="0"/>
                      <w:color w:val="000000"/>
                      <w:sz w:val="21"/>
                      <w:szCs w:val="21"/>
                      <w:lang w:eastAsia="zh-CN"/>
                    </w:rPr>
                  </w:pPr>
                  <w:r>
                    <w:rPr>
                      <w:rFonts w:hint="eastAsia" w:cs="Times New Roman"/>
                      <w:b w:val="0"/>
                      <w:color w:val="000000"/>
                      <w:sz w:val="21"/>
                      <w:szCs w:val="21"/>
                      <w:lang w:eastAsia="zh-CN"/>
                    </w:rPr>
                    <w:t>2.74</w:t>
                  </w:r>
                </w:p>
              </w:tc>
              <w:tc>
                <w:tcPr>
                  <w:tcW w:w="9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02E7CE">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环卫部门清运</w:t>
                  </w:r>
                </w:p>
              </w:tc>
            </w:tr>
          </w:tbl>
          <w:p w14:paraId="6143FC20">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2.</w:t>
            </w:r>
            <w:r>
              <w:rPr>
                <w:rFonts w:hint="eastAsia"/>
                <w:sz w:val="24"/>
                <w:szCs w:val="24"/>
              </w:rPr>
              <w:t>4.2污泥处理处置可行性分析</w:t>
            </w:r>
          </w:p>
          <w:p w14:paraId="68473C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根据《排污许可证申请与核发技术规范 水处理（试行）》（HJ 978-2018）表6，本项目污泥处理采用</w:t>
            </w:r>
            <w:r>
              <w:rPr>
                <w:rFonts w:hint="eastAsia"/>
                <w:sz w:val="24"/>
                <w:szCs w:val="24"/>
                <w:lang w:eastAsia="zh-CN"/>
              </w:rPr>
              <w:t>“</w:t>
            </w:r>
            <w:r>
              <w:rPr>
                <w:rFonts w:hint="eastAsia"/>
                <w:sz w:val="24"/>
                <w:szCs w:val="24"/>
              </w:rPr>
              <w:t>重力浓缩+板框压滤</w:t>
            </w:r>
            <w:r>
              <w:rPr>
                <w:rFonts w:hint="eastAsia"/>
                <w:sz w:val="24"/>
                <w:szCs w:val="24"/>
                <w:lang w:eastAsia="zh-CN"/>
              </w:rPr>
              <w:t>”</w:t>
            </w:r>
            <w:r>
              <w:rPr>
                <w:rFonts w:hint="eastAsia"/>
                <w:sz w:val="24"/>
                <w:szCs w:val="24"/>
              </w:rPr>
              <w:t>工艺，属于可行技术。脱水后的污泥含水率≤60%，满足《城镇污水处理厂污染物排放标准》（GB 18918-2002）表5中污泥控制标准要求，外运至</w:t>
            </w:r>
            <w:r>
              <w:rPr>
                <w:rFonts w:hint="eastAsia"/>
                <w:sz w:val="24"/>
                <w:szCs w:val="24"/>
                <w:lang w:val="en-US" w:eastAsia="zh-CN"/>
              </w:rPr>
              <w:t>当地</w:t>
            </w:r>
            <w:r>
              <w:rPr>
                <w:rFonts w:hint="eastAsia"/>
                <w:sz w:val="24"/>
                <w:szCs w:val="24"/>
              </w:rPr>
              <w:t>垃圾填埋场填埋。</w:t>
            </w:r>
          </w:p>
          <w:p w14:paraId="1E55F7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sz w:val="24"/>
                <w:szCs w:val="24"/>
              </w:rPr>
            </w:pPr>
            <w:r>
              <w:rPr>
                <w:rFonts w:hint="eastAsia"/>
                <w:sz w:val="24"/>
                <w:szCs w:val="24"/>
              </w:rPr>
              <w:t>4.</w:t>
            </w:r>
            <w:r>
              <w:rPr>
                <w:rFonts w:hint="eastAsia"/>
                <w:sz w:val="24"/>
                <w:szCs w:val="24"/>
                <w:lang w:val="en-US" w:eastAsia="zh-CN"/>
              </w:rPr>
              <w:t>2.</w:t>
            </w:r>
            <w:r>
              <w:rPr>
                <w:rFonts w:hint="eastAsia"/>
                <w:sz w:val="24"/>
                <w:szCs w:val="24"/>
              </w:rPr>
              <w:t>4.3</w:t>
            </w:r>
            <w:r>
              <w:rPr>
                <w:rFonts w:hint="eastAsia" w:ascii="Times New Roman" w:hAnsi="Times New Roman" w:cs="Times New Roman"/>
                <w:sz w:val="24"/>
                <w:szCs w:val="24"/>
              </w:rPr>
              <w:t>固废暂存设施建设要求</w:t>
            </w:r>
          </w:p>
          <w:p w14:paraId="4514E5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highlight w:val="none"/>
              </w:rPr>
            </w:pPr>
            <w:r>
              <w:rPr>
                <w:rFonts w:hint="eastAsia"/>
                <w:sz w:val="24"/>
                <w:szCs w:val="24"/>
                <w:highlight w:val="none"/>
                <w:lang w:val="en-US" w:eastAsia="zh-CN"/>
              </w:rPr>
              <w:t>1、</w:t>
            </w:r>
            <w:r>
              <w:rPr>
                <w:rFonts w:hint="eastAsia"/>
                <w:sz w:val="24"/>
                <w:szCs w:val="24"/>
                <w:highlight w:val="none"/>
              </w:rPr>
              <w:t>一般固废暂存区：</w:t>
            </w:r>
          </w:p>
          <w:p w14:paraId="2B6AF0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highlight w:val="none"/>
              </w:rPr>
              <w:t>位于脱水机房北侧</w:t>
            </w:r>
            <w:r>
              <w:rPr>
                <w:rFonts w:hint="eastAsia"/>
                <w:sz w:val="24"/>
                <w:szCs w:val="24"/>
                <w:highlight w:val="none"/>
                <w:lang w:val="en-US" w:eastAsia="zh-CN"/>
              </w:rPr>
              <w:t>室外</w:t>
            </w:r>
            <w:r>
              <w:rPr>
                <w:rFonts w:hint="eastAsia"/>
                <w:sz w:val="24"/>
                <w:szCs w:val="24"/>
                <w:highlight w:val="none"/>
              </w:rPr>
              <w:t>，面积约</w:t>
            </w:r>
            <w:r>
              <w:rPr>
                <w:rFonts w:hint="eastAsia"/>
                <w:sz w:val="24"/>
                <w:szCs w:val="24"/>
                <w:highlight w:val="none"/>
                <w:lang w:val="en-US" w:eastAsia="zh-CN"/>
              </w:rPr>
              <w:t>30</w:t>
            </w:r>
            <w:r>
              <w:rPr>
                <w:rFonts w:hint="eastAsia"/>
                <w:sz w:val="24"/>
                <w:szCs w:val="24"/>
                <w:highlight w:val="none"/>
              </w:rPr>
              <w:t>m</w:t>
            </w:r>
            <w:r>
              <w:rPr>
                <w:rFonts w:hint="eastAsia"/>
                <w:sz w:val="24"/>
                <w:szCs w:val="24"/>
                <w:highlight w:val="none"/>
                <w:vertAlign w:val="superscript"/>
                <w:lang w:val="en-US" w:eastAsia="zh-CN"/>
              </w:rPr>
              <w:t>2</w:t>
            </w:r>
            <w:r>
              <w:rPr>
                <w:rFonts w:hint="eastAsia"/>
                <w:sz w:val="24"/>
                <w:szCs w:val="24"/>
              </w:rPr>
              <w:t>，地面硬化处理，满足《一般工业固体废物贮存和填埋污染控制标准》（GB18599-2020）要求；</w:t>
            </w:r>
          </w:p>
          <w:p w14:paraId="72A5C642">
            <w:pPr>
              <w:pStyle w:val="8"/>
              <w:jc w:val="center"/>
              <w:rPr>
                <w:rFonts w:hint="eastAsia"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kern w:val="2"/>
                <w:sz w:val="21"/>
                <w:szCs w:val="21"/>
                <w:lang w:val="en-US" w:eastAsia="zh-CN" w:bidi="ar-SA"/>
              </w:rPr>
              <w:t>表 4-23暂存量核算表</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0"/>
              <w:gridCol w:w="1074"/>
              <w:gridCol w:w="1462"/>
              <w:gridCol w:w="825"/>
              <w:gridCol w:w="3509"/>
            </w:tblGrid>
            <w:tr w14:paraId="08BB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3741D831">
                  <w:pPr>
                    <w:pStyle w:val="25"/>
                    <w:bidi w:val="0"/>
                    <w:rPr>
                      <w:rFonts w:hint="default" w:ascii="Times New Roman" w:hAnsi="Times New Roman" w:cs="Times New Roman"/>
                    </w:rPr>
                  </w:pPr>
                  <w:r>
                    <w:rPr>
                      <w:rFonts w:hint="default" w:ascii="Times New Roman" w:hAnsi="Times New Roman" w:cs="Times New Roman"/>
                    </w:rPr>
                    <w:t>固废名称</w:t>
                  </w:r>
                </w:p>
              </w:tc>
              <w:tc>
                <w:tcPr>
                  <w:tcW w:w="6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855356">
                  <w:pPr>
                    <w:pStyle w:val="25"/>
                    <w:bidi w:val="0"/>
                    <w:rPr>
                      <w:rFonts w:hint="default" w:ascii="Times New Roman" w:hAnsi="Times New Roman" w:cs="Times New Roman"/>
                    </w:rPr>
                  </w:pPr>
                  <w:r>
                    <w:rPr>
                      <w:rFonts w:hint="default" w:ascii="Times New Roman" w:hAnsi="Times New Roman" w:cs="Times New Roman"/>
                    </w:rPr>
                    <w:t>日产生量（t/d）</w:t>
                  </w:r>
                </w:p>
              </w:tc>
              <w:tc>
                <w:tcPr>
                  <w:tcW w:w="9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1BFE68">
                  <w:pPr>
                    <w:pStyle w:val="25"/>
                    <w:bidi w:val="0"/>
                    <w:rPr>
                      <w:rFonts w:hint="default" w:ascii="Times New Roman" w:hAnsi="Times New Roman" w:cs="Times New Roman"/>
                    </w:rPr>
                  </w:pPr>
                  <w:r>
                    <w:rPr>
                      <w:rFonts w:hint="default" w:ascii="Times New Roman" w:hAnsi="Times New Roman" w:cs="Times New Roman"/>
                    </w:rPr>
                    <w:t>暂存周期</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80E66">
                  <w:pPr>
                    <w:pStyle w:val="25"/>
                    <w:bidi w:val="0"/>
                    <w:rPr>
                      <w:rFonts w:hint="default" w:ascii="Times New Roman" w:hAnsi="Times New Roman" w:cs="Times New Roman"/>
                    </w:rPr>
                  </w:pPr>
                  <w:r>
                    <w:rPr>
                      <w:rFonts w:hint="default" w:ascii="Times New Roman" w:hAnsi="Times New Roman" w:cs="Times New Roman"/>
                    </w:rPr>
                    <w:t>最大暂存量（t）</w:t>
                  </w:r>
                </w:p>
              </w:tc>
              <w:tc>
                <w:tcPr>
                  <w:tcW w:w="2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547C37">
                  <w:pPr>
                    <w:pStyle w:val="25"/>
                    <w:bidi w:val="0"/>
                    <w:rPr>
                      <w:rFonts w:hint="default" w:ascii="Times New Roman" w:hAnsi="Times New Roman" w:cs="Times New Roman"/>
                    </w:rPr>
                  </w:pPr>
                  <w:r>
                    <w:rPr>
                      <w:rFonts w:hint="default" w:ascii="Times New Roman" w:hAnsi="Times New Roman" w:cs="Times New Roman"/>
                    </w:rPr>
                    <w:t>暂存位置</w:t>
                  </w:r>
                </w:p>
              </w:tc>
            </w:tr>
            <w:tr w14:paraId="6BB4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8DB568">
                  <w:pPr>
                    <w:pStyle w:val="25"/>
                    <w:bidi w:val="0"/>
                    <w:rPr>
                      <w:rFonts w:hint="default" w:ascii="Times New Roman" w:hAnsi="Times New Roman" w:cs="Times New Roman"/>
                    </w:rPr>
                  </w:pPr>
                  <w:r>
                    <w:rPr>
                      <w:rFonts w:hint="default" w:ascii="Times New Roman" w:hAnsi="Times New Roman" w:cs="Times New Roman"/>
                    </w:rPr>
                    <w:t>栅渣</w:t>
                  </w:r>
                </w:p>
              </w:tc>
              <w:tc>
                <w:tcPr>
                  <w:tcW w:w="6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8E9F91">
                  <w:pPr>
                    <w:pStyle w:val="25"/>
                    <w:bidi w:val="0"/>
                    <w:rPr>
                      <w:rFonts w:hint="default" w:ascii="Times New Roman" w:hAnsi="Times New Roman" w:cs="Times New Roman"/>
                    </w:rPr>
                  </w:pPr>
                  <w:r>
                    <w:rPr>
                      <w:rFonts w:hint="default" w:ascii="Times New Roman" w:hAnsi="Times New Roman" w:cs="Times New Roman"/>
                    </w:rPr>
                    <w:t>0.18</w:t>
                  </w:r>
                </w:p>
              </w:tc>
              <w:tc>
                <w:tcPr>
                  <w:tcW w:w="9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1B114">
                  <w:pPr>
                    <w:pStyle w:val="25"/>
                    <w:bidi w:val="0"/>
                    <w:rPr>
                      <w:rFonts w:hint="default" w:ascii="Times New Roman" w:hAnsi="Times New Roman" w:cs="Times New Roman"/>
                    </w:rPr>
                  </w:pPr>
                  <w:r>
                    <w:rPr>
                      <w:rFonts w:hint="default" w:ascii="Times New Roman" w:hAnsi="Times New Roman" w:cs="Times New Roman"/>
                    </w:rPr>
                    <w:t>7天</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4D3B5">
                  <w:pPr>
                    <w:pStyle w:val="25"/>
                    <w:bidi w:val="0"/>
                    <w:rPr>
                      <w:rFonts w:hint="default" w:ascii="Times New Roman" w:hAnsi="Times New Roman" w:cs="Times New Roman"/>
                    </w:rPr>
                  </w:pPr>
                  <w:r>
                    <w:rPr>
                      <w:rFonts w:hint="default" w:ascii="Times New Roman" w:hAnsi="Times New Roman" w:cs="Times New Roman"/>
                    </w:rPr>
                    <w:t>1.26</w:t>
                  </w:r>
                </w:p>
              </w:tc>
              <w:tc>
                <w:tcPr>
                  <w:tcW w:w="2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218BAD">
                  <w:pPr>
                    <w:pStyle w:val="25"/>
                    <w:bidi w:val="0"/>
                    <w:rPr>
                      <w:rFonts w:hint="default" w:ascii="Times New Roman" w:hAnsi="Times New Roman" w:cs="Times New Roman"/>
                    </w:rPr>
                  </w:pPr>
                  <w:r>
                    <w:rPr>
                      <w:rFonts w:hint="default" w:ascii="Times New Roman" w:hAnsi="Times New Roman" w:cs="Times New Roman"/>
                    </w:rPr>
                    <w:t>一般固废暂存区（栅渣临时堆放区）</w:t>
                  </w:r>
                </w:p>
              </w:tc>
            </w:tr>
            <w:tr w14:paraId="7B4A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28FD5">
                  <w:pPr>
                    <w:pStyle w:val="25"/>
                    <w:bidi w:val="0"/>
                    <w:rPr>
                      <w:rFonts w:hint="default" w:ascii="Times New Roman" w:hAnsi="Times New Roman" w:cs="Times New Roman"/>
                    </w:rPr>
                  </w:pPr>
                  <w:r>
                    <w:rPr>
                      <w:rFonts w:hint="default" w:ascii="Times New Roman" w:hAnsi="Times New Roman" w:cs="Times New Roman"/>
                    </w:rPr>
                    <w:t>沉砂</w:t>
                  </w:r>
                </w:p>
              </w:tc>
              <w:tc>
                <w:tcPr>
                  <w:tcW w:w="6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F0F38">
                  <w:pPr>
                    <w:pStyle w:val="25"/>
                    <w:bidi w:val="0"/>
                    <w:rPr>
                      <w:rFonts w:hint="default" w:ascii="Times New Roman" w:hAnsi="Times New Roman" w:cs="Times New Roman"/>
                    </w:rPr>
                  </w:pPr>
                  <w:r>
                    <w:rPr>
                      <w:rFonts w:hint="default" w:ascii="Times New Roman" w:hAnsi="Times New Roman" w:cs="Times New Roman"/>
                    </w:rPr>
                    <w:t>0.045</w:t>
                  </w:r>
                </w:p>
              </w:tc>
              <w:tc>
                <w:tcPr>
                  <w:tcW w:w="9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8D1EC3">
                  <w:pPr>
                    <w:pStyle w:val="25"/>
                    <w:bidi w:val="0"/>
                    <w:rPr>
                      <w:rFonts w:hint="default" w:ascii="Times New Roman" w:hAnsi="Times New Roman" w:cs="Times New Roman"/>
                    </w:rPr>
                  </w:pPr>
                  <w:r>
                    <w:rPr>
                      <w:rFonts w:hint="default" w:ascii="Times New Roman" w:hAnsi="Times New Roman" w:cs="Times New Roman"/>
                    </w:rPr>
                    <w:t>7天</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F4ED76">
                  <w:pPr>
                    <w:pStyle w:val="25"/>
                    <w:bidi w:val="0"/>
                    <w:rPr>
                      <w:rFonts w:hint="default" w:ascii="Times New Roman" w:hAnsi="Times New Roman" w:cs="Times New Roman"/>
                    </w:rPr>
                  </w:pPr>
                  <w:r>
                    <w:rPr>
                      <w:rFonts w:hint="default" w:ascii="Times New Roman" w:hAnsi="Times New Roman" w:cs="Times New Roman"/>
                    </w:rPr>
                    <w:t>0.32</w:t>
                  </w:r>
                </w:p>
              </w:tc>
              <w:tc>
                <w:tcPr>
                  <w:tcW w:w="2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48D6D7">
                  <w:pPr>
                    <w:pStyle w:val="25"/>
                    <w:bidi w:val="0"/>
                    <w:rPr>
                      <w:rFonts w:hint="default" w:ascii="Times New Roman" w:hAnsi="Times New Roman" w:cs="Times New Roman"/>
                    </w:rPr>
                  </w:pPr>
                  <w:r>
                    <w:rPr>
                      <w:rFonts w:hint="default" w:ascii="Times New Roman" w:hAnsi="Times New Roman" w:cs="Times New Roman"/>
                    </w:rPr>
                    <w:t>一般固废暂存区（沉砂临时堆放区）</w:t>
                  </w:r>
                </w:p>
              </w:tc>
            </w:tr>
            <w:tr w14:paraId="6B2B8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A84A4F">
                  <w:pPr>
                    <w:pStyle w:val="25"/>
                    <w:bidi w:val="0"/>
                    <w:rPr>
                      <w:rFonts w:hint="default" w:ascii="Times New Roman" w:hAnsi="Times New Roman" w:cs="Times New Roman"/>
                    </w:rPr>
                  </w:pPr>
                  <w:r>
                    <w:rPr>
                      <w:rFonts w:hint="default" w:ascii="Times New Roman" w:hAnsi="Times New Roman" w:cs="Times New Roman"/>
                    </w:rPr>
                    <w:t>脱水污泥</w:t>
                  </w:r>
                </w:p>
              </w:tc>
              <w:tc>
                <w:tcPr>
                  <w:tcW w:w="6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711F8">
                  <w:pPr>
                    <w:pStyle w:val="25"/>
                    <w:bidi w:val="0"/>
                    <w:rPr>
                      <w:rFonts w:hint="default" w:ascii="Times New Roman" w:hAnsi="Times New Roman" w:cs="Times New Roman"/>
                    </w:rPr>
                  </w:pPr>
                  <w:r>
                    <w:rPr>
                      <w:rFonts w:hint="default" w:ascii="Times New Roman" w:hAnsi="Times New Roman" w:cs="Times New Roman"/>
                    </w:rPr>
                    <w:t>1.96</w:t>
                  </w:r>
                </w:p>
              </w:tc>
              <w:tc>
                <w:tcPr>
                  <w:tcW w:w="9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284C60">
                  <w:pPr>
                    <w:pStyle w:val="25"/>
                    <w:bidi w:val="0"/>
                    <w:rPr>
                      <w:rFonts w:hint="default" w:ascii="Times New Roman" w:hAnsi="Times New Roman" w:cs="Times New Roman"/>
                    </w:rPr>
                  </w:pPr>
                  <w:r>
                    <w:rPr>
                      <w:rFonts w:hint="default" w:ascii="Times New Roman" w:hAnsi="Times New Roman" w:cs="Times New Roman"/>
                    </w:rPr>
                    <w:t>7天</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CFF75E">
                  <w:pPr>
                    <w:pStyle w:val="25"/>
                    <w:bidi w:val="0"/>
                    <w:rPr>
                      <w:rFonts w:hint="default" w:ascii="Times New Roman" w:hAnsi="Times New Roman" w:cs="Times New Roman"/>
                    </w:rPr>
                  </w:pPr>
                  <w:r>
                    <w:rPr>
                      <w:rFonts w:hint="default" w:ascii="Times New Roman" w:hAnsi="Times New Roman" w:cs="Times New Roman"/>
                    </w:rPr>
                    <w:t>13.72</w:t>
                  </w:r>
                </w:p>
              </w:tc>
              <w:tc>
                <w:tcPr>
                  <w:tcW w:w="2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C4D8FB">
                  <w:pPr>
                    <w:pStyle w:val="25"/>
                    <w:bidi w:val="0"/>
                    <w:rPr>
                      <w:rFonts w:hint="eastAsia" w:ascii="Times New Roman" w:hAnsi="Times New Roman" w:eastAsia="宋体" w:cs="Times New Roman"/>
                      <w:lang w:eastAsia="zh-CN"/>
                    </w:rPr>
                  </w:pPr>
                  <w:r>
                    <w:rPr>
                      <w:rFonts w:hint="default" w:ascii="Times New Roman" w:hAnsi="Times New Roman" w:cs="Times New Roman"/>
                    </w:rPr>
                    <w:t>脱水机房污泥料仓/泥棚</w:t>
                  </w:r>
                  <w:r>
                    <w:rPr>
                      <w:rFonts w:hint="eastAsia" w:ascii="Times New Roman" w:cs="Times New Roman"/>
                      <w:lang w:eastAsia="zh-CN"/>
                    </w:rPr>
                    <w:t>（</w:t>
                  </w:r>
                  <w:r>
                    <w:rPr>
                      <w:rFonts w:hint="eastAsia" w:ascii="Times New Roman" w:cs="Times New Roman"/>
                      <w:lang w:val="en-US" w:eastAsia="zh-CN"/>
                    </w:rPr>
                    <w:t>独立</w:t>
                  </w:r>
                  <w:r>
                    <w:rPr>
                      <w:rFonts w:hint="eastAsia" w:ascii="Times New Roman" w:cs="Times New Roman"/>
                      <w:lang w:eastAsia="zh-CN"/>
                    </w:rPr>
                    <w:t>）</w:t>
                  </w:r>
                </w:p>
              </w:tc>
            </w:tr>
            <w:tr w14:paraId="0488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ADF49A">
                  <w:pPr>
                    <w:pStyle w:val="25"/>
                    <w:bidi w:val="0"/>
                    <w:rPr>
                      <w:rFonts w:hint="default" w:ascii="Times New Roman" w:hAnsi="Times New Roman" w:cs="Times New Roman"/>
                    </w:rPr>
                  </w:pPr>
                  <w:r>
                    <w:rPr>
                      <w:rFonts w:hint="default" w:ascii="Times New Roman" w:hAnsi="Times New Roman" w:cs="Times New Roman"/>
                    </w:rPr>
                    <w:t>废包装袋</w:t>
                  </w:r>
                </w:p>
              </w:tc>
              <w:tc>
                <w:tcPr>
                  <w:tcW w:w="6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36B6D">
                  <w:pPr>
                    <w:pStyle w:val="25"/>
                    <w:bidi w:val="0"/>
                    <w:rPr>
                      <w:rFonts w:hint="default" w:ascii="Times New Roman" w:hAnsi="Times New Roman" w:cs="Times New Roman"/>
                    </w:rPr>
                  </w:pPr>
                  <w:r>
                    <w:rPr>
                      <w:rFonts w:hint="default" w:ascii="Times New Roman" w:hAnsi="Times New Roman" w:cs="Times New Roman"/>
                    </w:rPr>
                    <w:t>0.0014</w:t>
                  </w:r>
                </w:p>
              </w:tc>
              <w:tc>
                <w:tcPr>
                  <w:tcW w:w="9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42CF1">
                  <w:pPr>
                    <w:pStyle w:val="25"/>
                    <w:bidi w:val="0"/>
                    <w:rPr>
                      <w:rFonts w:hint="default" w:ascii="Times New Roman" w:hAnsi="Times New Roman" w:cs="Times New Roman"/>
                    </w:rPr>
                  </w:pPr>
                  <w:r>
                    <w:rPr>
                      <w:rFonts w:hint="default" w:ascii="Times New Roman" w:hAnsi="Times New Roman" w:cs="Times New Roman"/>
                    </w:rPr>
                    <w:t>3个月（90天）</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E3368A">
                  <w:pPr>
                    <w:pStyle w:val="25"/>
                    <w:bidi w:val="0"/>
                    <w:rPr>
                      <w:rFonts w:hint="default" w:ascii="Times New Roman" w:hAnsi="Times New Roman" w:cs="Times New Roman"/>
                    </w:rPr>
                  </w:pPr>
                  <w:r>
                    <w:rPr>
                      <w:rFonts w:hint="default" w:ascii="Times New Roman" w:hAnsi="Times New Roman" w:cs="Times New Roman"/>
                    </w:rPr>
                    <w:t>0.13</w:t>
                  </w:r>
                </w:p>
              </w:tc>
              <w:tc>
                <w:tcPr>
                  <w:tcW w:w="2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DAE8EA">
                  <w:pPr>
                    <w:pStyle w:val="25"/>
                    <w:bidi w:val="0"/>
                    <w:rPr>
                      <w:rFonts w:hint="default" w:ascii="Times New Roman" w:hAnsi="Times New Roman" w:cs="Times New Roman"/>
                    </w:rPr>
                  </w:pPr>
                  <w:r>
                    <w:rPr>
                      <w:rFonts w:hint="default" w:ascii="Times New Roman" w:hAnsi="Times New Roman" w:cs="Times New Roman"/>
                    </w:rPr>
                    <w:t>一般固废暂存区（废包装袋堆放区）</w:t>
                  </w:r>
                </w:p>
              </w:tc>
            </w:tr>
            <w:tr w14:paraId="37B53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06C763">
                  <w:pPr>
                    <w:pStyle w:val="25"/>
                    <w:bidi w:val="0"/>
                    <w:rPr>
                      <w:rFonts w:hint="default" w:ascii="Times New Roman" w:hAnsi="Times New Roman" w:cs="Times New Roman"/>
                    </w:rPr>
                  </w:pPr>
                  <w:r>
                    <w:rPr>
                      <w:rFonts w:hint="default" w:ascii="Times New Roman" w:hAnsi="Times New Roman" w:cs="Times New Roman"/>
                    </w:rPr>
                    <w:t>合计</w:t>
                  </w:r>
                </w:p>
              </w:tc>
              <w:tc>
                <w:tcPr>
                  <w:tcW w:w="6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65F78">
                  <w:pPr>
                    <w:pStyle w:val="25"/>
                    <w:bidi w:val="0"/>
                    <w:rPr>
                      <w:rFonts w:hint="default" w:ascii="Times New Roman" w:hAnsi="Times New Roman" w:cs="Times New Roman"/>
                    </w:rPr>
                  </w:pPr>
                  <w:r>
                    <w:rPr>
                      <w:rFonts w:hint="default" w:ascii="Times New Roman" w:hAnsi="Times New Roman" w:cs="Times New Roman"/>
                    </w:rPr>
                    <w:t>/</w:t>
                  </w:r>
                </w:p>
              </w:tc>
              <w:tc>
                <w:tcPr>
                  <w:tcW w:w="9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3CBE34">
                  <w:pPr>
                    <w:pStyle w:val="25"/>
                    <w:bidi w:val="0"/>
                    <w:rPr>
                      <w:rFonts w:hint="default" w:ascii="Times New Roman" w:hAnsi="Times New Roman" w:cs="Times New Roman"/>
                    </w:rPr>
                  </w:pPr>
                  <w:r>
                    <w:rPr>
                      <w:rFonts w:hint="default" w:ascii="Times New Roman" w:hAnsi="Times New Roman" w:cs="Times New Roman"/>
                    </w:rPr>
                    <w:t>/</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CF3DC">
                  <w:pPr>
                    <w:pStyle w:val="25"/>
                    <w:bidi w:val="0"/>
                    <w:rPr>
                      <w:rFonts w:hint="default" w:ascii="Times New Roman" w:hAnsi="Times New Roman" w:cs="Times New Roman"/>
                    </w:rPr>
                  </w:pPr>
                  <w:r>
                    <w:rPr>
                      <w:rFonts w:hint="default" w:ascii="Times New Roman" w:hAnsi="Times New Roman" w:cs="Times New Roman"/>
                    </w:rPr>
                    <w:t>约15.43</w:t>
                  </w:r>
                </w:p>
              </w:tc>
              <w:tc>
                <w:tcPr>
                  <w:tcW w:w="2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808F7D">
                  <w:pPr>
                    <w:pStyle w:val="25"/>
                    <w:bidi w:val="0"/>
                    <w:rPr>
                      <w:rFonts w:hint="default" w:ascii="Times New Roman" w:hAnsi="Times New Roman" w:cs="Times New Roman"/>
                    </w:rPr>
                  </w:pPr>
                  <w:r>
                    <w:rPr>
                      <w:rFonts w:hint="default" w:ascii="Times New Roman" w:hAnsi="Times New Roman" w:cs="Times New Roman"/>
                    </w:rPr>
                    <w:t>/</w:t>
                  </w:r>
                </w:p>
              </w:tc>
            </w:tr>
          </w:tbl>
          <w:p w14:paraId="105934DC">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lang w:val="en-US" w:eastAsia="zh-CN"/>
              </w:rPr>
              <w:t>2、</w:t>
            </w:r>
            <w:r>
              <w:rPr>
                <w:rFonts w:hint="default"/>
                <w:sz w:val="24"/>
                <w:szCs w:val="24"/>
                <w:lang w:val="en-US"/>
              </w:rPr>
              <w:t>危险废物贮存点</w:t>
            </w:r>
            <w:r>
              <w:rPr>
                <w:rFonts w:hint="eastAsia"/>
                <w:sz w:val="24"/>
                <w:szCs w:val="24"/>
              </w:rPr>
              <w:t>：位于脱水机房一层，与脱水机房、除臭设备间合建，钢筋混凝土框架结构，建筑面积约15m</w:t>
            </w:r>
            <w:r>
              <w:rPr>
                <w:rFonts w:hint="eastAsia"/>
                <w:sz w:val="24"/>
                <w:szCs w:val="24"/>
                <w:vertAlign w:val="superscript"/>
              </w:rPr>
              <w:t>2</w:t>
            </w:r>
            <w:r>
              <w:rPr>
                <w:rFonts w:hint="eastAsia"/>
                <w:sz w:val="24"/>
                <w:szCs w:val="24"/>
              </w:rPr>
              <w:t>，建筑耐火等级二级（与脱水机房一致）。按照《危险废物贮存污染控制标准》（GB18597-2023）要求建设，做到</w:t>
            </w:r>
            <w:r>
              <w:rPr>
                <w:rFonts w:hint="eastAsia"/>
                <w:sz w:val="24"/>
                <w:szCs w:val="24"/>
                <w:lang w:eastAsia="zh-CN"/>
              </w:rPr>
              <w:t>“</w:t>
            </w:r>
            <w:r>
              <w:rPr>
                <w:rFonts w:hint="eastAsia"/>
                <w:sz w:val="24"/>
                <w:szCs w:val="24"/>
              </w:rPr>
              <w:t>防风、防晒、防雨、防漏、防渗、防腐</w:t>
            </w:r>
            <w:r>
              <w:rPr>
                <w:rFonts w:hint="eastAsia"/>
                <w:sz w:val="24"/>
                <w:szCs w:val="24"/>
                <w:lang w:eastAsia="zh-CN"/>
              </w:rPr>
              <w:t>”</w:t>
            </w:r>
            <w:r>
              <w:rPr>
                <w:rFonts w:hint="eastAsia"/>
                <w:sz w:val="24"/>
                <w:szCs w:val="24"/>
              </w:rPr>
              <w:t>，地面及墙裙进行防渗处理（渗透系数K≤1.0×10</w:t>
            </w:r>
            <w:r>
              <w:rPr>
                <w:rFonts w:hint="eastAsia"/>
                <w:sz w:val="24"/>
                <w:szCs w:val="24"/>
                <w:vertAlign w:val="superscript"/>
                <w:lang w:val="en-US" w:eastAsia="zh-CN"/>
              </w:rPr>
              <w:t>-10</w:t>
            </w:r>
            <w:r>
              <w:rPr>
                <w:rFonts w:hint="eastAsia"/>
                <w:sz w:val="24"/>
                <w:szCs w:val="24"/>
              </w:rPr>
              <w:t>cm/s），液态危废贮存区设置围堰（有效容积≥单桶容积）。危废贮存点与其他功能区之间采用防火墙分隔，满足《建筑防火通用规范》（GB55037-2022）的防火隔离要求。</w:t>
            </w:r>
          </w:p>
          <w:p w14:paraId="7224D9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eastAsia="zh-CN"/>
              </w:rPr>
              <w:t>（</w:t>
            </w:r>
            <w:r>
              <w:rPr>
                <w:rFonts w:hint="eastAsia"/>
                <w:sz w:val="24"/>
                <w:szCs w:val="24"/>
                <w:lang w:val="en-US" w:eastAsia="zh-CN"/>
              </w:rPr>
              <w:t>1</w:t>
            </w:r>
            <w:r>
              <w:rPr>
                <w:rFonts w:hint="eastAsia"/>
                <w:sz w:val="24"/>
                <w:szCs w:val="24"/>
              </w:rPr>
              <w:t>）分区要求</w:t>
            </w:r>
          </w:p>
          <w:p w14:paraId="0E977A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危废贮存点应根据危险废物的类别、数量、形态、物理化学性质和污染防治等要求设置必要的贮存分区，避免不相容的危险废物接触、混合。不同贮存分区之间应采取隔离措施，隔离措施可根据危险废物特性采用过道、隔板或隔墙等方式。本项目危险废物类别包括HW08（废机油、含油废抹布）、HW49（化验废液、废样品），应分区域单独存放，液态与固态废物分开贮存，禁止将不相容的危险废物在同一容器内混装。</w:t>
            </w:r>
          </w:p>
          <w:p w14:paraId="71F242D5">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w:t>
            </w:r>
            <w:r>
              <w:rPr>
                <w:rFonts w:hint="eastAsia"/>
                <w:sz w:val="24"/>
                <w:szCs w:val="24"/>
                <w:lang w:val="en-US" w:eastAsia="zh-CN"/>
              </w:rPr>
              <w:t>2</w:t>
            </w:r>
            <w:r>
              <w:rPr>
                <w:rFonts w:hint="eastAsia"/>
                <w:sz w:val="24"/>
                <w:szCs w:val="24"/>
              </w:rPr>
              <w:t>）防渗、防腐措施</w:t>
            </w:r>
          </w:p>
          <w:p w14:paraId="2199AD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①</w:t>
            </w:r>
            <w:r>
              <w:rPr>
                <w:rFonts w:hint="eastAsia"/>
                <w:sz w:val="24"/>
                <w:szCs w:val="24"/>
              </w:rPr>
              <w:t>表面防渗</w:t>
            </w:r>
          </w:p>
          <w:p w14:paraId="5DB7FD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贮存设施地面与裙脚应采取表面防渗措施。表面防渗材料应与所接触的物料或污染物相容，可采用抗渗混凝土、高密度聚乙烯膜、钠基膨润土防水毯或其他防渗性能等效的材料。</w:t>
            </w:r>
          </w:p>
          <w:p w14:paraId="7AE2207B">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lang w:val="en-US" w:eastAsia="zh-CN"/>
              </w:rPr>
              <w:t>②</w:t>
            </w:r>
            <w:r>
              <w:rPr>
                <w:rFonts w:hint="eastAsia"/>
                <w:sz w:val="24"/>
                <w:szCs w:val="24"/>
              </w:rPr>
              <w:t>基础防渗</w:t>
            </w:r>
          </w:p>
          <w:p w14:paraId="1D11D8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贮存的危险废物直接接触地面的，还应进行基础防渗。防渗层为至少1m厚黏土层（渗透系数不大于10</w:t>
            </w:r>
            <w:r>
              <w:rPr>
                <w:rFonts w:hint="eastAsia"/>
                <w:sz w:val="24"/>
                <w:szCs w:val="24"/>
                <w:vertAlign w:val="superscript"/>
                <w:lang w:val="en-US" w:eastAsia="zh-CN"/>
              </w:rPr>
              <w:t>-</w:t>
            </w:r>
            <w:r>
              <w:rPr>
                <w:rFonts w:hint="default" w:ascii="Times New Roman" w:hAnsi="Times New Roman" w:eastAsia="宋体" w:cs="Times New Roman"/>
                <w:color w:val="000000"/>
                <w:kern w:val="0"/>
                <w:sz w:val="24"/>
                <w:szCs w:val="24"/>
                <w:vertAlign w:val="superscript"/>
              </w:rPr>
              <w:t>7</w:t>
            </w:r>
            <w:r>
              <w:rPr>
                <w:rFonts w:hint="eastAsia"/>
                <w:sz w:val="24"/>
                <w:szCs w:val="24"/>
              </w:rPr>
              <w:t>cm/s），或至少2mm厚高密度聚乙烯膜等人工防渗材料（渗透系数不大于10</w:t>
            </w:r>
            <w:r>
              <w:rPr>
                <w:rFonts w:hint="eastAsia"/>
                <w:sz w:val="24"/>
                <w:szCs w:val="24"/>
                <w:vertAlign w:val="superscript"/>
                <w:lang w:val="en-US" w:eastAsia="zh-CN"/>
              </w:rPr>
              <w:t>-</w:t>
            </w:r>
            <w:r>
              <w:rPr>
                <w:rFonts w:hint="eastAsia"/>
                <w:sz w:val="24"/>
                <w:szCs w:val="24"/>
                <w:vertAlign w:val="superscript"/>
              </w:rPr>
              <w:t>10</w:t>
            </w:r>
            <w:r>
              <w:rPr>
                <w:rFonts w:hint="eastAsia"/>
                <w:sz w:val="24"/>
                <w:szCs w:val="24"/>
              </w:rPr>
              <w:t>cm/s），</w:t>
            </w:r>
            <w:r>
              <w:rPr>
                <w:rFonts w:hint="default" w:ascii="Times New Roman" w:hAnsi="Times New Roman" w:cs="Times New Roman"/>
                <w:sz w:val="24"/>
                <w:szCs w:val="24"/>
              </w:rPr>
              <w:t>或其他防</w:t>
            </w:r>
            <w:r>
              <w:rPr>
                <w:rFonts w:hint="eastAsia"/>
                <w:sz w:val="24"/>
                <w:szCs w:val="24"/>
              </w:rPr>
              <w:t>渗性能等效的材料。</w:t>
            </w:r>
          </w:p>
          <w:p w14:paraId="2AAD21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③</w:t>
            </w:r>
            <w:r>
              <w:rPr>
                <w:rFonts w:hint="eastAsia"/>
                <w:sz w:val="24"/>
                <w:szCs w:val="24"/>
              </w:rPr>
              <w:t>防腐要求</w:t>
            </w:r>
          </w:p>
          <w:p w14:paraId="65B15A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同一贮存设施宜采用相同的防渗、防腐工艺（包括防渗、防腐结构或材料），防渗、防腐材料应覆盖所有可能与废物及其渗滤液、渗漏液等接触的构筑物表面。若贮存酸碱等腐蚀性废物，还应做防腐处理。</w:t>
            </w:r>
          </w:p>
          <w:p w14:paraId="3A8528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w:t>
            </w:r>
            <w:r>
              <w:rPr>
                <w:rFonts w:hint="eastAsia"/>
                <w:sz w:val="24"/>
                <w:szCs w:val="24"/>
                <w:lang w:val="en-US" w:eastAsia="zh-CN"/>
              </w:rPr>
              <w:t>3</w:t>
            </w:r>
            <w:r>
              <w:rPr>
                <w:rFonts w:hint="eastAsia"/>
                <w:sz w:val="24"/>
                <w:szCs w:val="24"/>
              </w:rPr>
              <w:t>）液态废物泄漏堵截设施</w:t>
            </w:r>
          </w:p>
          <w:p w14:paraId="3A7A64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贮存液态危险废物的，应具有液体泄漏堵截设施。堵截设施（围堰）最小容积不应低于对应贮存区域最大液态废物容器容积或液态废物总储量1/10（二者取较大者）。围堰内收集的废液、废水应及时处理，不应直接排放。围堰应保证能满足防渗、防腐性能要求。同时，门口地面应高于室内，设围堰或门槛，防止废液外流。</w:t>
            </w:r>
          </w:p>
          <w:p w14:paraId="37E7E8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w:t>
            </w:r>
            <w:r>
              <w:rPr>
                <w:rFonts w:hint="eastAsia"/>
                <w:sz w:val="24"/>
                <w:szCs w:val="24"/>
                <w:lang w:val="en-US" w:eastAsia="zh-CN"/>
              </w:rPr>
              <w:t>4</w:t>
            </w:r>
            <w:r>
              <w:rPr>
                <w:rFonts w:hint="eastAsia"/>
                <w:sz w:val="24"/>
                <w:szCs w:val="24"/>
              </w:rPr>
              <w:t>）其他污染防治措施</w:t>
            </w:r>
          </w:p>
          <w:p w14:paraId="40B4D3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危废贮存点应采取必要的防风、防晒、防雨、防漏、防渗、防腐以及其他环境污染防治措施，不应露天堆放危险废物。贮存设施应采取技术和管理措施防止无关人员进入。贮存设施或贮存分区内地面、墙面裙脚、堵截泄漏的围堰、接触危险废物的隔板和墙体等应采用坚固的材料建造，表面无裂缝。</w:t>
            </w:r>
          </w:p>
          <w:p w14:paraId="7404B4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rPr>
              <w:t>4.</w:t>
            </w:r>
            <w:r>
              <w:rPr>
                <w:rFonts w:hint="eastAsia" w:ascii="Times New Roman" w:hAnsi="Times New Roman" w:cs="Times New Roman"/>
                <w:sz w:val="24"/>
                <w:szCs w:val="24"/>
                <w:lang w:val="en-US" w:eastAsia="zh-CN"/>
              </w:rPr>
              <w:t>2.</w:t>
            </w:r>
            <w:r>
              <w:rPr>
                <w:rFonts w:hint="eastAsia" w:ascii="Times New Roman" w:hAnsi="Times New Roman" w:cs="Times New Roman"/>
                <w:sz w:val="24"/>
                <w:szCs w:val="24"/>
              </w:rPr>
              <w:t>4.4环境管理要求</w:t>
            </w:r>
          </w:p>
          <w:p w14:paraId="3CB01C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1、</w:t>
            </w:r>
            <w:r>
              <w:rPr>
                <w:rFonts w:hint="eastAsia"/>
                <w:sz w:val="24"/>
                <w:szCs w:val="24"/>
              </w:rPr>
              <w:t>制定危险废物管理计划</w:t>
            </w:r>
          </w:p>
          <w:p w14:paraId="4A5034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建设单位应按照《中华人民共和国固体废物污染环境防治法》第七十八条的规定，每年年初制定年度危险废物管理计划，内容包括减少危险废物产生量和危害性的措施以及危险废物贮存、利用、处置措施</w:t>
            </w:r>
            <w:r>
              <w:rPr>
                <w:rFonts w:hint="eastAsia"/>
                <w:sz w:val="24"/>
                <w:szCs w:val="24"/>
                <w:lang w:eastAsia="zh-CN"/>
              </w:rPr>
              <w:t>。</w:t>
            </w:r>
            <w:r>
              <w:rPr>
                <w:rFonts w:hint="eastAsia"/>
                <w:sz w:val="24"/>
                <w:szCs w:val="24"/>
              </w:rPr>
              <w:t>管理计划应报所在地生态环境主管部门备案，发生重大变更时应及时办理变更。</w:t>
            </w:r>
          </w:p>
          <w:p w14:paraId="6B8826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2、</w:t>
            </w:r>
            <w:r>
              <w:rPr>
                <w:rFonts w:hint="eastAsia"/>
                <w:sz w:val="24"/>
                <w:szCs w:val="24"/>
              </w:rPr>
              <w:t>建立危险废物管理台账</w:t>
            </w:r>
          </w:p>
          <w:p w14:paraId="288A9C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建设单位应建立危险废物管理台账，如实记录危险废物的种类、产生量、流向、贮存、利用、处置等有关信息。台账记录应明确责任人，并对台账的真实性、准确性和完整性负法律责任</w:t>
            </w:r>
            <w:r>
              <w:rPr>
                <w:rFonts w:hint="eastAsia"/>
                <w:sz w:val="24"/>
                <w:szCs w:val="24"/>
                <w:lang w:eastAsia="zh-CN"/>
              </w:rPr>
              <w:t>。</w:t>
            </w:r>
            <w:r>
              <w:rPr>
                <w:rFonts w:hint="eastAsia"/>
                <w:sz w:val="24"/>
                <w:szCs w:val="24"/>
              </w:rPr>
              <w:t>台账记录形式包括电子台账和纸质台账，保存期限不少于5年。危险废物产生后应及时称重、记录，做到</w:t>
            </w:r>
            <w:r>
              <w:rPr>
                <w:rFonts w:hint="eastAsia"/>
                <w:sz w:val="24"/>
                <w:szCs w:val="24"/>
                <w:lang w:eastAsia="zh-CN"/>
              </w:rPr>
              <w:t>“</w:t>
            </w:r>
            <w:r>
              <w:rPr>
                <w:rFonts w:hint="eastAsia"/>
                <w:sz w:val="24"/>
                <w:szCs w:val="24"/>
              </w:rPr>
              <w:t>即产生、即包装、即称重、即打码、即入库</w:t>
            </w:r>
            <w:r>
              <w:rPr>
                <w:rFonts w:hint="eastAsia"/>
                <w:sz w:val="24"/>
                <w:szCs w:val="24"/>
                <w:lang w:eastAsia="zh-CN"/>
              </w:rPr>
              <w:t>”</w:t>
            </w:r>
            <w:r>
              <w:rPr>
                <w:rFonts w:hint="eastAsia"/>
                <w:sz w:val="24"/>
                <w:szCs w:val="24"/>
              </w:rPr>
              <w:t>的规范化管控。</w:t>
            </w:r>
          </w:p>
          <w:p w14:paraId="5E5560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3、</w:t>
            </w:r>
            <w:r>
              <w:rPr>
                <w:rFonts w:hint="eastAsia"/>
                <w:sz w:val="24"/>
                <w:szCs w:val="24"/>
              </w:rPr>
              <w:t>落实危险废物申报登记制度</w:t>
            </w:r>
          </w:p>
          <w:p w14:paraId="3F397E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建设单位应通过国家危险废物信息管理系统向所在地生态环境主管部门申报危险废物的种类、产生量、流向、贮存、处置等有关资料。申报事项或管理计划内容发生重大改变的，应当及时申报变更。</w:t>
            </w:r>
          </w:p>
          <w:p w14:paraId="1AD06D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4、</w:t>
            </w:r>
            <w:r>
              <w:rPr>
                <w:rFonts w:hint="eastAsia"/>
                <w:sz w:val="24"/>
                <w:szCs w:val="24"/>
              </w:rPr>
              <w:t>严格执行危险废物转移联单制度</w:t>
            </w:r>
          </w:p>
          <w:p w14:paraId="542083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转移危险废物的，应当通过国家危险废物信息管理系统填写、运行危险废物电子转移联单。跨省转移危险废物的，应当向危险废物移出地省级生态环境主管部门申请。转移联单应依法公开危险废物转移相关污染环境防治信息。委托他人运输、利用、处置危险废物的，应对受托方的主体资格和技术能力进行核实，依法签订书面合同，并在合同中约定污染防治要求。</w:t>
            </w:r>
          </w:p>
          <w:p w14:paraId="2CC784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5、</w:t>
            </w:r>
            <w:r>
              <w:rPr>
                <w:rFonts w:hint="eastAsia"/>
                <w:sz w:val="24"/>
                <w:szCs w:val="24"/>
              </w:rPr>
              <w:t>规范设置危险废物识别标志</w:t>
            </w:r>
          </w:p>
          <w:p w14:paraId="4F3F0A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对危险废物的容器和包装物以及收集、贮存、运输、处置危险废物的设施、场所，必须设置危险废物识别标志。危险废物标签应标明废物名称、废物代码、主要成分、危险特性、产生日期、产生单位和联系方式等基本信息。贮存设施标志应按照《危险废物识别标志设置技术规范》（HJ 1276-2022）的要求设置，警告图形符号应符合《环境保护图形标志—固体废物贮存（处置）场》（GB 15562.2-1995）修改单的规定。</w:t>
            </w:r>
          </w:p>
          <w:p w14:paraId="15C551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6、</w:t>
            </w:r>
            <w:r>
              <w:rPr>
                <w:rFonts w:hint="eastAsia"/>
                <w:sz w:val="24"/>
                <w:szCs w:val="24"/>
              </w:rPr>
              <w:t>编制突发环境事件应急预案并定期演练</w:t>
            </w:r>
          </w:p>
          <w:p w14:paraId="6B3EFC2C">
            <w:pPr>
              <w:keepNext w:val="0"/>
              <w:keepLines w:val="0"/>
              <w:pageBreakBefore w:val="0"/>
              <w:widowControl w:val="0"/>
              <w:kinsoku/>
              <w:wordWrap/>
              <w:overflowPunct/>
              <w:topLinePunct w:val="0"/>
              <w:autoSpaceDE/>
              <w:autoSpaceDN/>
              <w:bidi w:val="0"/>
              <w:adjustRightInd/>
              <w:snapToGrid/>
              <w:spacing w:line="360" w:lineRule="auto"/>
              <w:ind w:firstLine="456" w:firstLineChars="200"/>
              <w:textAlignment w:val="auto"/>
              <w:rPr>
                <w:rFonts w:hint="eastAsia"/>
                <w:spacing w:val="-6"/>
                <w:sz w:val="24"/>
                <w:szCs w:val="24"/>
              </w:rPr>
            </w:pPr>
            <w:r>
              <w:rPr>
                <w:rFonts w:hint="eastAsia"/>
                <w:spacing w:val="-6"/>
                <w:sz w:val="24"/>
                <w:szCs w:val="24"/>
              </w:rPr>
              <w:t>建设单位应按照国家有关规定编制危险废物突发环境事件应急预案，并报生态环境主管部门备案。应配备满足应急要求的应急人员、装备和物资，设置应急照明系统。定期开展必要的培训和环境应急演练，做好培训、演练记录。</w:t>
            </w:r>
          </w:p>
          <w:p w14:paraId="663D0C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7、</w:t>
            </w:r>
            <w:r>
              <w:rPr>
                <w:rFonts w:hint="eastAsia"/>
                <w:sz w:val="24"/>
                <w:szCs w:val="24"/>
              </w:rPr>
              <w:t>开展危险废物相关培训</w:t>
            </w:r>
          </w:p>
          <w:p w14:paraId="57EEB9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建设单位应建立规范的管理和技术人员培训制度，定期对管理和技术人员进行培训。培训内容至少应包括危险废物鉴别要求、危险废物转移联单管理、危险废物包装和标识、危险废物贮存要求、危险废物事故应急方法等。培训应具有针对性，一般至少每年进行一次。</w:t>
            </w:r>
          </w:p>
          <w:p w14:paraId="7564D6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8、</w:t>
            </w:r>
            <w:r>
              <w:rPr>
                <w:rFonts w:hint="eastAsia"/>
                <w:sz w:val="24"/>
                <w:szCs w:val="24"/>
              </w:rPr>
              <w:t>落实排污许可制度要求</w:t>
            </w:r>
          </w:p>
          <w:p w14:paraId="631672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建设单位应将危险废物环境管理要求纳入排污许可证管理，在排污许可证中载明危险废物的种类、产生量、贮存、处置等信息。按照排污许可证规定，安装或使用符合国家环境监测、计量认证规定的监测设备，开展自行监测，保存原始监测记录。</w:t>
            </w:r>
          </w:p>
          <w:p w14:paraId="05081A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9、</w:t>
            </w:r>
            <w:r>
              <w:rPr>
                <w:rFonts w:hint="eastAsia"/>
                <w:sz w:val="24"/>
                <w:szCs w:val="24"/>
              </w:rPr>
              <w:t>加强日常环境管理</w:t>
            </w:r>
          </w:p>
          <w:p w14:paraId="164B5B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建设单位应对危险废物贮存设施进行定期检查，确保防渗、防漏、防雨、防晒等设施功能完好。液态危险废物贮存区应定期检查围堰和堵截设施的完好性，确保泄漏物可有效收集。危险废物贮存除满足环境保护相关要求外，还应执行国家安全生产、职业健康等有关规定。禁止将危险废物混入非危险废物中贮存，禁止将危险废物提供或委托给无危险废物经营许可证的单位。</w:t>
            </w:r>
          </w:p>
          <w:p w14:paraId="64D0ACC5">
            <w:pPr>
              <w:spacing w:line="360" w:lineRule="auto"/>
              <w:rPr>
                <w:rFonts w:hint="default" w:ascii="Times New Roman" w:hAnsi="Times New Roman" w:eastAsia="宋体" w:cs="Times New Roman"/>
                <w:b/>
                <w:bCs/>
                <w:color w:val="000000"/>
                <w:sz w:val="24"/>
                <w:lang w:val="en-US" w:eastAsia="zh-CN"/>
              </w:rPr>
            </w:pPr>
            <w:r>
              <w:rPr>
                <w:rFonts w:hint="default" w:ascii="Times New Roman" w:hAnsi="Times New Roman" w:eastAsia="宋体" w:cs="Times New Roman"/>
                <w:b/>
                <w:bCs/>
                <w:color w:val="000000"/>
                <w:sz w:val="24"/>
              </w:rPr>
              <w:t>4.</w:t>
            </w:r>
            <w:r>
              <w:rPr>
                <w:rFonts w:hint="default" w:ascii="Times New Roman" w:hAnsi="Times New Roman" w:eastAsia="宋体" w:cs="Times New Roman"/>
                <w:b/>
                <w:bCs/>
                <w:color w:val="000000"/>
                <w:sz w:val="24"/>
                <w:highlight w:val="none"/>
              </w:rPr>
              <w:t>2.5运营期地下水、土壤</w:t>
            </w:r>
            <w:r>
              <w:rPr>
                <w:rFonts w:hint="default" w:ascii="Times New Roman" w:hAnsi="Times New Roman" w:eastAsia="宋体" w:cs="Times New Roman"/>
                <w:b/>
                <w:bCs/>
                <w:color w:val="000000"/>
                <w:sz w:val="24"/>
                <w:highlight w:val="none"/>
                <w:lang w:val="en-US" w:eastAsia="zh-CN"/>
              </w:rPr>
              <w:t>影响</w:t>
            </w:r>
          </w:p>
          <w:p w14:paraId="6AC72F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2.</w:t>
            </w:r>
            <w:r>
              <w:rPr>
                <w:rFonts w:hint="eastAsia"/>
                <w:sz w:val="24"/>
                <w:szCs w:val="24"/>
              </w:rPr>
              <w:t>5.1污染源、污染物类型、污染途径</w:t>
            </w:r>
          </w:p>
          <w:p w14:paraId="19CCBA44">
            <w:pPr>
              <w:keepNext w:val="0"/>
              <w:keepLines w:val="0"/>
              <w:pageBreakBefore w:val="0"/>
              <w:widowControl w:val="0"/>
              <w:kinsoku/>
              <w:wordWrap/>
              <w:overflowPunct/>
              <w:topLinePunct w:val="0"/>
              <w:autoSpaceDE/>
              <w:autoSpaceDN/>
              <w:bidi w:val="0"/>
              <w:adjustRightInd/>
              <w:snapToGrid/>
              <w:spacing w:line="360" w:lineRule="auto"/>
              <w:ind w:firstLine="456" w:firstLineChars="200"/>
              <w:textAlignment w:val="auto"/>
              <w:rPr>
                <w:rFonts w:hint="eastAsia"/>
                <w:lang w:val="en-US" w:eastAsia="zh-CN"/>
              </w:rPr>
            </w:pPr>
            <w:r>
              <w:rPr>
                <w:rFonts w:hint="eastAsia"/>
                <w:spacing w:val="-6"/>
                <w:sz w:val="24"/>
                <w:szCs w:val="24"/>
              </w:rPr>
              <w:t>根据分析，本项目对地下水和土壤的污染源、污染物类型、污染途径见下表：</w:t>
            </w:r>
          </w:p>
          <w:p w14:paraId="2A4B4239">
            <w:pPr>
              <w:pStyle w:val="23"/>
              <w:bidi w:val="0"/>
              <w:rPr>
                <w:rFonts w:hint="eastAsia"/>
                <w:lang w:val="en-US" w:eastAsia="zh-CN"/>
              </w:rPr>
            </w:pPr>
            <w:r>
              <w:rPr>
                <w:rFonts w:hint="eastAsia"/>
                <w:lang w:val="en-US" w:eastAsia="zh-CN"/>
              </w:rPr>
              <w:t>表4-24 地下水、土壤污染源、污染物类型、污染途径一览表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3"/>
              <w:gridCol w:w="2086"/>
              <w:gridCol w:w="2321"/>
            </w:tblGrid>
            <w:tr w14:paraId="683F2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4"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9CBDC73">
                  <w:pPr>
                    <w:jc w:val="center"/>
                    <w:rPr>
                      <w:b w:val="0"/>
                      <w:color w:val="000000"/>
                    </w:rPr>
                  </w:pPr>
                  <w:r>
                    <w:rPr>
                      <w:b w:val="0"/>
                      <w:color w:val="000000"/>
                    </w:rPr>
                    <w:t>污染源</w:t>
                  </w:r>
                </w:p>
              </w:tc>
              <w:tc>
                <w:tcPr>
                  <w:tcW w:w="1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32292">
                  <w:pPr>
                    <w:jc w:val="center"/>
                    <w:rPr>
                      <w:b w:val="0"/>
                      <w:color w:val="000000"/>
                    </w:rPr>
                  </w:pPr>
                  <w:r>
                    <w:rPr>
                      <w:b w:val="0"/>
                      <w:color w:val="000000"/>
                    </w:rPr>
                    <w:t>污染物类型</w:t>
                  </w:r>
                </w:p>
              </w:tc>
              <w:tc>
                <w:tcPr>
                  <w:tcW w:w="14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61A59F">
                  <w:pPr>
                    <w:jc w:val="center"/>
                    <w:rPr>
                      <w:b w:val="0"/>
                      <w:color w:val="000000"/>
                    </w:rPr>
                  </w:pPr>
                  <w:r>
                    <w:rPr>
                      <w:b w:val="0"/>
                      <w:color w:val="000000"/>
                    </w:rPr>
                    <w:t>污染途径</w:t>
                  </w:r>
                </w:p>
              </w:tc>
            </w:tr>
            <w:tr w14:paraId="5294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E8758">
                  <w:pPr>
                    <w:rPr>
                      <w:b w:val="0"/>
                      <w:color w:val="000000"/>
                    </w:rPr>
                  </w:pPr>
                  <w:r>
                    <w:rPr>
                      <w:b w:val="0"/>
                      <w:color w:val="000000"/>
                    </w:rPr>
                    <w:t>污水处理各池体（调节池、生物池、二沉池等）</w:t>
                  </w:r>
                </w:p>
              </w:tc>
              <w:tc>
                <w:tcPr>
                  <w:tcW w:w="1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DBBB48">
                  <w:pPr>
                    <w:rPr>
                      <w:b w:val="0"/>
                      <w:color w:val="000000"/>
                    </w:rPr>
                  </w:pPr>
                  <w:r>
                    <w:rPr>
                      <w:b w:val="0"/>
                      <w:color w:val="000000"/>
                      <w:spacing w:val="-11"/>
                      <w:sz w:val="21"/>
                    </w:rPr>
                    <w:t>COD、氨氮等</w:t>
                  </w:r>
                </w:p>
              </w:tc>
              <w:tc>
                <w:tcPr>
                  <w:tcW w:w="14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D769CF">
                  <w:pPr>
                    <w:rPr>
                      <w:b w:val="0"/>
                      <w:color w:val="000000"/>
                    </w:rPr>
                  </w:pPr>
                  <w:r>
                    <w:rPr>
                      <w:b w:val="0"/>
                      <w:color w:val="000000"/>
                    </w:rPr>
                    <w:t>池体破损导致污水下渗</w:t>
                  </w:r>
                </w:p>
              </w:tc>
            </w:tr>
            <w:tr w14:paraId="16330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5BD424">
                  <w:pPr>
                    <w:rPr>
                      <w:b w:val="0"/>
                      <w:color w:val="000000"/>
                    </w:rPr>
                  </w:pPr>
                  <w:r>
                    <w:rPr>
                      <w:b w:val="0"/>
                      <w:color w:val="000000"/>
                    </w:rPr>
                    <w:t>加药间（次氯酸钠、PAC等储罐）</w:t>
                  </w:r>
                </w:p>
              </w:tc>
              <w:tc>
                <w:tcPr>
                  <w:tcW w:w="1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42FE7A">
                  <w:pPr>
                    <w:rPr>
                      <w:b w:val="0"/>
                      <w:color w:val="000000"/>
                    </w:rPr>
                  </w:pPr>
                  <w:r>
                    <w:rPr>
                      <w:rFonts w:hint="eastAsia"/>
                      <w:b w:val="0"/>
                      <w:color w:val="000000"/>
                    </w:rPr>
                    <w:t>pH、氯离子（Cl⁻）、COD</w:t>
                  </w:r>
                </w:p>
              </w:tc>
              <w:tc>
                <w:tcPr>
                  <w:tcW w:w="14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1DE46">
                  <w:pPr>
                    <w:rPr>
                      <w:b w:val="0"/>
                      <w:color w:val="000000"/>
                    </w:rPr>
                  </w:pPr>
                  <w:r>
                    <w:rPr>
                      <w:b w:val="0"/>
                      <w:color w:val="000000"/>
                    </w:rPr>
                    <w:t>储罐泄漏下渗</w:t>
                  </w:r>
                </w:p>
              </w:tc>
            </w:tr>
            <w:tr w14:paraId="4ECC1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22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E257C2">
                  <w:pPr>
                    <w:rPr>
                      <w:rFonts w:hint="default" w:eastAsiaTheme="minorEastAsia"/>
                      <w:b w:val="0"/>
                      <w:color w:val="000000"/>
                      <w:lang w:val="en-US" w:eastAsia="zh-CN"/>
                    </w:rPr>
                  </w:pPr>
                  <w:r>
                    <w:rPr>
                      <w:b w:val="0"/>
                      <w:color w:val="000000"/>
                      <w:lang w:val="en-US"/>
                    </w:rPr>
                    <w:t>危险废物贮存点</w:t>
                  </w:r>
                </w:p>
              </w:tc>
              <w:tc>
                <w:tcPr>
                  <w:tcW w:w="1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8E79B">
                  <w:pPr>
                    <w:rPr>
                      <w:b w:val="0"/>
                      <w:color w:val="000000"/>
                    </w:rPr>
                  </w:pPr>
                  <w:r>
                    <w:rPr>
                      <w:b w:val="0"/>
                      <w:color w:val="000000"/>
                    </w:rPr>
                    <w:t>石油类等</w:t>
                  </w:r>
                </w:p>
              </w:tc>
              <w:tc>
                <w:tcPr>
                  <w:tcW w:w="14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97828E">
                  <w:pPr>
                    <w:rPr>
                      <w:b w:val="0"/>
                      <w:color w:val="000000"/>
                    </w:rPr>
                  </w:pPr>
                  <w:r>
                    <w:rPr>
                      <w:b w:val="0"/>
                      <w:color w:val="000000"/>
                    </w:rPr>
                    <w:t>防渗层破损导致危废渗滤液下渗</w:t>
                  </w:r>
                </w:p>
              </w:tc>
            </w:tr>
            <w:tr w14:paraId="2112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A87955">
                  <w:pPr>
                    <w:rPr>
                      <w:b w:val="0"/>
                      <w:color w:val="000000"/>
                    </w:rPr>
                  </w:pPr>
                  <w:r>
                    <w:rPr>
                      <w:b w:val="0"/>
                      <w:color w:val="000000"/>
                    </w:rPr>
                    <w:t>污水管线</w:t>
                  </w:r>
                </w:p>
              </w:tc>
              <w:tc>
                <w:tcPr>
                  <w:tcW w:w="1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DECE64">
                  <w:pPr>
                    <w:rPr>
                      <w:b w:val="0"/>
                      <w:color w:val="000000"/>
                    </w:rPr>
                  </w:pPr>
                  <w:r>
                    <w:rPr>
                      <w:b w:val="0"/>
                      <w:color w:val="000000"/>
                      <w:spacing w:val="-11"/>
                      <w:sz w:val="21"/>
                    </w:rPr>
                    <w:t>COD、氨氮等</w:t>
                  </w:r>
                </w:p>
              </w:tc>
              <w:tc>
                <w:tcPr>
                  <w:tcW w:w="14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5F743">
                  <w:pPr>
                    <w:rPr>
                      <w:b w:val="0"/>
                      <w:color w:val="000000"/>
                    </w:rPr>
                  </w:pPr>
                  <w:r>
                    <w:rPr>
                      <w:b w:val="0"/>
                      <w:color w:val="000000"/>
                    </w:rPr>
                    <w:t>管道破裂导致污水下渗</w:t>
                  </w:r>
                </w:p>
              </w:tc>
            </w:tr>
          </w:tbl>
          <w:p w14:paraId="432E9C96">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eastAsia="宋体"/>
                <w:color w:val="FF0000"/>
                <w:sz w:val="24"/>
                <w:szCs w:val="24"/>
                <w:lang w:val="en-US" w:eastAsia="zh-CN"/>
              </w:rPr>
            </w:pPr>
            <w:r>
              <w:rPr>
                <w:rFonts w:hint="eastAsia"/>
                <w:sz w:val="24"/>
                <w:szCs w:val="24"/>
              </w:rPr>
              <w:t>根据工程分析，本项目运营期对地下水和土壤的潜在污染源主要为污水处理各构筑物、加药间化学品储罐、危险废物贮存点及污水管线。本项目已按照</w:t>
            </w:r>
            <w:r>
              <w:rPr>
                <w:rFonts w:hint="eastAsia"/>
                <w:sz w:val="24"/>
                <w:szCs w:val="24"/>
                <w:lang w:eastAsia="zh-CN"/>
              </w:rPr>
              <w:t>“</w:t>
            </w:r>
            <w:r>
              <w:rPr>
                <w:rFonts w:hint="eastAsia"/>
                <w:sz w:val="24"/>
                <w:szCs w:val="24"/>
              </w:rPr>
              <w:t>源头控制、分区防控、污染监控、应急响应</w:t>
            </w:r>
            <w:r>
              <w:rPr>
                <w:rFonts w:hint="eastAsia"/>
                <w:sz w:val="24"/>
                <w:szCs w:val="24"/>
                <w:lang w:eastAsia="zh-CN"/>
              </w:rPr>
              <w:t>”</w:t>
            </w:r>
            <w:r>
              <w:rPr>
                <w:rFonts w:hint="eastAsia"/>
                <w:sz w:val="24"/>
                <w:szCs w:val="24"/>
              </w:rPr>
              <w:t>相结合的原则，对各区域分别采取相应的防渗措施，正常情况下不会对地下水和土壤造成污染影响。但当池体破损、储罐泄漏、防渗层破损或管道破裂等非正常状况下，污染物可能通过垂直入渗途径进入土壤包气带，进而迁移至地下水含水层，对区域地下水和土壤环境造成污染。</w:t>
            </w:r>
          </w:p>
          <w:p w14:paraId="7CC3E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2.</w:t>
            </w:r>
            <w:r>
              <w:rPr>
                <w:rFonts w:hint="eastAsia"/>
                <w:sz w:val="24"/>
                <w:szCs w:val="24"/>
              </w:rPr>
              <w:t>5.2分区防控措施</w:t>
            </w:r>
          </w:p>
          <w:p w14:paraId="504420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sz w:val="24"/>
                <w:szCs w:val="24"/>
                <w:lang w:val="en-US" w:eastAsia="zh-CN"/>
              </w:rPr>
            </w:pPr>
            <w:r>
              <w:rPr>
                <w:rFonts w:hint="eastAsia"/>
                <w:sz w:val="24"/>
                <w:szCs w:val="24"/>
              </w:rPr>
              <w:t>参照《环境影响评价技术导则 地下水环境》（HJ 610-2016），将本项目厂区分为重点防渗区、一般防渗区和简单防渗区，</w:t>
            </w:r>
            <w:r>
              <w:rPr>
                <w:rFonts w:hint="eastAsia"/>
                <w:sz w:val="24"/>
                <w:szCs w:val="24"/>
                <w:lang w:val="en-US" w:eastAsia="zh-CN"/>
              </w:rPr>
              <w:t>具体防渗分区见表4-19。本项目分区防渗图详见附图12。</w:t>
            </w:r>
          </w:p>
          <w:p w14:paraId="0D58FB2A">
            <w:pPr>
              <w:pStyle w:val="23"/>
              <w:bidi w:val="0"/>
              <w:rPr>
                <w:rFonts w:hint="eastAsia"/>
                <w:lang w:val="en-US" w:eastAsia="zh-CN"/>
              </w:rPr>
            </w:pPr>
            <w:r>
              <w:rPr>
                <w:rFonts w:hint="eastAsia"/>
                <w:lang w:val="en-US" w:eastAsia="zh-CN"/>
              </w:rPr>
              <w:t>表4-25 地下水、土壤分区防控措施一览表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7"/>
              <w:gridCol w:w="2807"/>
              <w:gridCol w:w="3816"/>
            </w:tblGrid>
            <w:tr w14:paraId="7598D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195B2096">
                  <w:pPr>
                    <w:jc w:val="center"/>
                    <w:rPr>
                      <w:b w:val="0"/>
                      <w:color w:val="000000"/>
                    </w:rPr>
                  </w:pPr>
                  <w:r>
                    <w:rPr>
                      <w:b w:val="0"/>
                      <w:color w:val="000000"/>
                    </w:rPr>
                    <w:t>防渗分区</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9689B7">
                  <w:pPr>
                    <w:jc w:val="center"/>
                    <w:rPr>
                      <w:b w:val="0"/>
                      <w:color w:val="000000"/>
                    </w:rPr>
                  </w:pPr>
                  <w:r>
                    <w:rPr>
                      <w:b w:val="0"/>
                      <w:color w:val="000000"/>
                    </w:rPr>
                    <w:t>区域</w:t>
                  </w:r>
                </w:p>
              </w:tc>
              <w:tc>
                <w:tcPr>
                  <w:tcW w:w="24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FD90BB">
                  <w:pPr>
                    <w:jc w:val="center"/>
                    <w:rPr>
                      <w:b w:val="0"/>
                      <w:color w:val="000000"/>
                    </w:rPr>
                  </w:pPr>
                  <w:r>
                    <w:rPr>
                      <w:b w:val="0"/>
                      <w:color w:val="000000"/>
                    </w:rPr>
                    <w:t>防渗技术要求</w:t>
                  </w:r>
                </w:p>
              </w:tc>
            </w:tr>
            <w:tr w14:paraId="0F55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53F824">
                  <w:pPr>
                    <w:rPr>
                      <w:b w:val="0"/>
                      <w:color w:val="000000"/>
                    </w:rPr>
                  </w:pPr>
                  <w:r>
                    <w:rPr>
                      <w:b w:val="0"/>
                      <w:color w:val="000000"/>
                    </w:rPr>
                    <w:t>重点防渗区</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AC56F0">
                  <w:pPr>
                    <w:rPr>
                      <w:b w:val="0"/>
                      <w:color w:val="000000"/>
                    </w:rPr>
                  </w:pPr>
                  <w:r>
                    <w:rPr>
                      <w:b w:val="0"/>
                      <w:color w:val="000000"/>
                    </w:rPr>
                    <w:t>污水处理各池体（调节池、生物池、二沉池、高效沉淀池等）、危废贮存点、加药间、脱水机房</w:t>
                  </w:r>
                </w:p>
              </w:tc>
              <w:tc>
                <w:tcPr>
                  <w:tcW w:w="24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2EC82">
                  <w:pPr>
                    <w:rPr>
                      <w:b w:val="0"/>
                      <w:color w:val="000000"/>
                    </w:rPr>
                  </w:pPr>
                  <w:r>
                    <w:rPr>
                      <w:b w:val="0"/>
                      <w:color w:val="000000"/>
                    </w:rPr>
                    <w:t>等效黏土防渗层Mb≥6.0m，渗透系数K≤1.0×10</w:t>
                  </w:r>
                  <w:r>
                    <w:rPr>
                      <w:b w:val="0"/>
                      <w:color w:val="000000"/>
                      <w:vertAlign w:val="superscript"/>
                    </w:rPr>
                    <w:t>-7</w:t>
                  </w:r>
                  <w:r>
                    <w:rPr>
                      <w:b w:val="0"/>
                      <w:color w:val="000000"/>
                    </w:rPr>
                    <w:t>cm/s；危废贮存点还需满足GB18597要求</w:t>
                  </w:r>
                </w:p>
              </w:tc>
            </w:tr>
            <w:tr w14:paraId="65C9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BD02F">
                  <w:pPr>
                    <w:rPr>
                      <w:b w:val="0"/>
                      <w:color w:val="000000"/>
                    </w:rPr>
                  </w:pPr>
                  <w:r>
                    <w:rPr>
                      <w:b w:val="0"/>
                      <w:color w:val="000000"/>
                    </w:rPr>
                    <w:t>一般防渗区</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D3E9E1">
                  <w:pPr>
                    <w:rPr>
                      <w:b w:val="0"/>
                      <w:color w:val="000000"/>
                    </w:rPr>
                  </w:pPr>
                  <w:r>
                    <w:rPr>
                      <w:b w:val="0"/>
                      <w:color w:val="000000"/>
                    </w:rPr>
                    <w:t>鼓风机房、除臭设备间</w:t>
                  </w:r>
                </w:p>
              </w:tc>
              <w:tc>
                <w:tcPr>
                  <w:tcW w:w="24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F08942">
                  <w:pPr>
                    <w:rPr>
                      <w:b w:val="0"/>
                      <w:color w:val="000000"/>
                    </w:rPr>
                  </w:pPr>
                  <w:r>
                    <w:rPr>
                      <w:b w:val="0"/>
                      <w:color w:val="000000"/>
                    </w:rPr>
                    <w:t>等效黏土防渗层Mb≥1.5m，渗透系数K≤1.0×10</w:t>
                  </w:r>
                  <w:r>
                    <w:rPr>
                      <w:b w:val="0"/>
                      <w:color w:val="000000"/>
                      <w:vertAlign w:val="superscript"/>
                    </w:rPr>
                    <w:t>-7</w:t>
                  </w:r>
                  <w:r>
                    <w:rPr>
                      <w:b w:val="0"/>
                      <w:color w:val="000000"/>
                    </w:rPr>
                    <w:t>cm/s</w:t>
                  </w:r>
                </w:p>
              </w:tc>
            </w:tr>
            <w:tr w14:paraId="461E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2FA9D">
                  <w:pPr>
                    <w:rPr>
                      <w:b w:val="0"/>
                      <w:color w:val="000000"/>
                    </w:rPr>
                  </w:pPr>
                  <w:r>
                    <w:rPr>
                      <w:b w:val="0"/>
                      <w:color w:val="000000"/>
                    </w:rPr>
                    <w:t>简单防渗区</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F96CEA">
                  <w:pPr>
                    <w:rPr>
                      <w:b w:val="0"/>
                      <w:color w:val="000000"/>
                    </w:rPr>
                  </w:pPr>
                  <w:r>
                    <w:rPr>
                      <w:b w:val="0"/>
                      <w:color w:val="000000"/>
                    </w:rPr>
                    <w:t>办公区、绿化带等</w:t>
                  </w:r>
                </w:p>
              </w:tc>
              <w:tc>
                <w:tcPr>
                  <w:tcW w:w="24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2C6D41">
                  <w:pPr>
                    <w:rPr>
                      <w:b w:val="0"/>
                      <w:color w:val="000000"/>
                    </w:rPr>
                  </w:pPr>
                  <w:r>
                    <w:rPr>
                      <w:b w:val="0"/>
                      <w:color w:val="000000"/>
                    </w:rPr>
                    <w:t>一般地面硬化</w:t>
                  </w:r>
                </w:p>
              </w:tc>
            </w:tr>
          </w:tbl>
          <w:p w14:paraId="233DFB77">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4.</w:t>
            </w:r>
            <w:r>
              <w:rPr>
                <w:rFonts w:hint="eastAsia" w:ascii="Times New Roman" w:hAnsi="Times New Roman" w:eastAsia="宋体" w:cs="Times New Roman"/>
                <w:sz w:val="24"/>
                <w:szCs w:val="24"/>
                <w:lang w:val="en-US" w:eastAsia="zh-CN"/>
              </w:rPr>
              <w:t>2.</w:t>
            </w:r>
            <w:r>
              <w:rPr>
                <w:rFonts w:hint="eastAsia" w:ascii="Times New Roman" w:hAnsi="Times New Roman" w:eastAsia="宋体" w:cs="Times New Roman"/>
                <w:sz w:val="24"/>
                <w:szCs w:val="24"/>
              </w:rPr>
              <w:t>5.3 跟踪监测要求</w:t>
            </w:r>
          </w:p>
          <w:p w14:paraId="08467F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ascii="Times New Roman" w:hAnsi="Times New Roman" w:eastAsia="宋体" w:cs="Times New Roman"/>
                <w:sz w:val="24"/>
                <w:szCs w:val="24"/>
              </w:rPr>
              <w:t>根据一期工程环评批复（巴环评价函</w:t>
            </w:r>
            <w:r>
              <w:rPr>
                <w:rFonts w:hint="eastAsia"/>
                <w:sz w:val="24"/>
                <w:szCs w:val="24"/>
              </w:rPr>
              <w:t>〔2020〕274号）要求，一期工程已设置3眼地下水监控井。区域地下水流向为由北向南，3眼监控井的布设情况如下：</w:t>
            </w:r>
          </w:p>
          <w:p w14:paraId="4C5AFA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1#井（上游背景值监测井）：位于厂界北侧（地下水流向上游），作为背景值监测井（对照井），用于监测区域地下水水质本底值；</w:t>
            </w:r>
          </w:p>
          <w:p w14:paraId="4B63FC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2#井（下游污染监控井）：位于厂界南侧（地下水流向下游），作为污染监控井，用于监测污水处理设施对下游地下水的影响；</w:t>
            </w:r>
          </w:p>
          <w:p w14:paraId="68057F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3#井（侧向扩散监测井）：位于厂界东侧或西侧（地下水流向侧向），作为污染扩散监测井，用于监测污染物侧向扩散情况。</w:t>
            </w:r>
          </w:p>
          <w:p w14:paraId="156FE6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上述3眼监控井的布设符合《地下水环境监测技术规范》（HJ 164-2020）及《环境影响评价技术导则 地下水环境》（HJ 610-2016）中“上游设背景对照井、下游设污染监控井、两侧设扩散监测井”的布设原则。</w:t>
            </w:r>
          </w:p>
          <w:p w14:paraId="2EC1AA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rPr>
            </w:pPr>
            <w:r>
              <w:rPr>
                <w:rFonts w:hint="eastAsia"/>
                <w:sz w:val="24"/>
                <w:szCs w:val="24"/>
              </w:rPr>
              <w:t>本次工程依托现有监控井，不新建监测井</w:t>
            </w:r>
            <w:r>
              <w:rPr>
                <w:rFonts w:hint="eastAsia"/>
                <w:sz w:val="24"/>
                <w:szCs w:val="24"/>
                <w:lang w:eastAsia="zh-CN"/>
              </w:rPr>
              <w:t>，</w:t>
            </w:r>
            <w:r>
              <w:rPr>
                <w:rFonts w:hint="eastAsia"/>
                <w:sz w:val="24"/>
                <w:szCs w:val="24"/>
                <w:lang w:val="en-US" w:eastAsia="zh-CN"/>
              </w:rPr>
              <w:t>地下水、土壤监测计划详见表4-26：</w:t>
            </w:r>
          </w:p>
          <w:p w14:paraId="23FAC0B7">
            <w:pPr>
              <w:pStyle w:val="23"/>
              <w:bidi w:val="0"/>
              <w:rPr>
                <w:rFonts w:hint="eastAsia"/>
                <w:lang w:val="en-US" w:eastAsia="zh-CN"/>
              </w:rPr>
            </w:pPr>
          </w:p>
          <w:p w14:paraId="0F88C40C">
            <w:pPr>
              <w:pStyle w:val="23"/>
              <w:bidi w:val="0"/>
              <w:rPr>
                <w:rFonts w:hint="eastAsia"/>
                <w:lang w:val="en-US" w:eastAsia="zh-CN"/>
              </w:rPr>
            </w:pPr>
          </w:p>
          <w:p w14:paraId="43A449FE">
            <w:pPr>
              <w:pStyle w:val="23"/>
              <w:bidi w:val="0"/>
              <w:rPr>
                <w:rFonts w:hint="eastAsia"/>
                <w:lang w:val="en-US" w:eastAsia="zh-CN"/>
              </w:rPr>
            </w:pPr>
            <w:r>
              <w:rPr>
                <w:rFonts w:hint="eastAsia"/>
                <w:lang w:val="en-US" w:eastAsia="zh-CN"/>
              </w:rPr>
              <w:t>表4-26 地下水、土壤监测计划</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387"/>
              <w:gridCol w:w="3871"/>
              <w:gridCol w:w="831"/>
            </w:tblGrid>
            <w:tr w14:paraId="67AE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0AF9B5EC">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类别</w:t>
                  </w:r>
                </w:p>
              </w:tc>
              <w:tc>
                <w:tcPr>
                  <w:tcW w:w="15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6ABAD">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监测点位</w:t>
                  </w:r>
                </w:p>
              </w:tc>
              <w:tc>
                <w:tcPr>
                  <w:tcW w:w="24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FE2379">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监测因子</w:t>
                  </w:r>
                </w:p>
              </w:tc>
              <w:tc>
                <w:tcPr>
                  <w:tcW w:w="5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9F75B7">
                  <w:pPr>
                    <w:jc w:val="cente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监测频次</w:t>
                  </w:r>
                </w:p>
              </w:tc>
            </w:tr>
            <w:tr w14:paraId="37F5F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7AD666">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地下水</w:t>
                  </w:r>
                </w:p>
              </w:tc>
              <w:tc>
                <w:tcPr>
                  <w:tcW w:w="15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1A3C7">
                  <w:pPr>
                    <w:rPr>
                      <w:rFonts w:hint="default" w:ascii="Times New Roman" w:hAnsi="Times New Roman" w:cs="Times New Roman"/>
                      <w:b w:val="0"/>
                      <w:color w:val="000000"/>
                      <w:sz w:val="21"/>
                      <w:szCs w:val="21"/>
                    </w:rPr>
                  </w:pPr>
                  <w:r>
                    <w:rPr>
                      <w:rFonts w:hint="default" w:ascii="Times New Roman" w:hAnsi="Times New Roman" w:cs="Times New Roman"/>
                      <w:b w:val="0"/>
                      <w:color w:val="000000"/>
                      <w:spacing w:val="-11"/>
                      <w:sz w:val="21"/>
                      <w:szCs w:val="21"/>
                    </w:rPr>
                    <w:t>厂区下游（依托现有水井）</w:t>
                  </w:r>
                </w:p>
              </w:tc>
              <w:tc>
                <w:tcPr>
                  <w:tcW w:w="24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E91BC">
                  <w:pPr>
                    <w:rPr>
                      <w:rFonts w:hint="default" w:ascii="Times New Roman" w:hAnsi="Times New Roman" w:eastAsia="宋体" w:cs="Times New Roman"/>
                      <w:b w:val="0"/>
                      <w:color w:val="000000"/>
                      <w:sz w:val="21"/>
                      <w:szCs w:val="21"/>
                      <w:lang w:val="en-US" w:eastAsia="zh-CN"/>
                    </w:rPr>
                  </w:pPr>
                  <w:r>
                    <w:rPr>
                      <w:rFonts w:hint="default" w:ascii="Times New Roman" w:hAnsi="Times New Roman" w:cs="Times New Roman"/>
                      <w:sz w:val="21"/>
                      <w:szCs w:val="21"/>
                    </w:rPr>
                    <w:t>pH、氨氮、硝酸盐、亚硝酸盐、挥发性酚类、氰化物、砷、汞、六价铬、总硬度、铅、氟化物、镉、铁、锰、溶解性总固体、耗氧量、硫酸盐、氯化物、总大肠菌群、细菌总数、水位</w:t>
                  </w:r>
                </w:p>
              </w:tc>
              <w:tc>
                <w:tcPr>
                  <w:tcW w:w="5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7232FF">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1次/年</w:t>
                  </w:r>
                </w:p>
              </w:tc>
            </w:tr>
            <w:tr w14:paraId="1A029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83A5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土壤</w:t>
                  </w:r>
                </w:p>
              </w:tc>
              <w:tc>
                <w:tcPr>
                  <w:tcW w:w="15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F72D5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厂区污水处理区附近</w:t>
                  </w:r>
                </w:p>
                <w:p w14:paraId="67E0BC32">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（1个表层样）</w:t>
                  </w:r>
                </w:p>
              </w:tc>
              <w:tc>
                <w:tcPr>
                  <w:tcW w:w="24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F59E1C">
                  <w:pPr>
                    <w:rPr>
                      <w:rFonts w:hint="default" w:ascii="Times New Roman" w:hAnsi="Times New Roman" w:eastAsia="宋体" w:cs="Times New Roman"/>
                      <w:b w:val="0"/>
                      <w:color w:val="000000"/>
                      <w:sz w:val="21"/>
                      <w:szCs w:val="21"/>
                      <w:lang w:val="en-US" w:eastAsia="zh-CN"/>
                    </w:rPr>
                  </w:pPr>
                  <w:r>
                    <w:rPr>
                      <w:rFonts w:hint="default" w:ascii="Times New Roman" w:hAnsi="Times New Roman" w:cs="Times New Roman"/>
                      <w:b w:val="0"/>
                      <w:color w:val="000000"/>
                      <w:sz w:val="21"/>
                      <w:szCs w:val="21"/>
                    </w:rPr>
                    <w:t>45项基本项目</w:t>
                  </w:r>
                </w:p>
              </w:tc>
              <w:tc>
                <w:tcPr>
                  <w:tcW w:w="5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4AF8A9">
                  <w:pPr>
                    <w:rPr>
                      <w:rFonts w:hint="default" w:ascii="Times New Roman" w:hAnsi="Times New Roman" w:cs="Times New Roman"/>
                      <w:b w:val="0"/>
                      <w:color w:val="000000"/>
                      <w:sz w:val="21"/>
                      <w:szCs w:val="21"/>
                    </w:rPr>
                  </w:pPr>
                  <w:r>
                    <w:rPr>
                      <w:rFonts w:hint="default" w:ascii="Times New Roman" w:hAnsi="Times New Roman" w:cs="Times New Roman"/>
                      <w:b w:val="0"/>
                      <w:color w:val="000000"/>
                      <w:spacing w:val="-17"/>
                      <w:sz w:val="21"/>
                      <w:szCs w:val="21"/>
                    </w:rPr>
                    <w:t>1次/5年</w:t>
                  </w:r>
                </w:p>
              </w:tc>
            </w:tr>
          </w:tbl>
          <w:p w14:paraId="6F38D87B">
            <w:pPr>
              <w:keepNext w:val="0"/>
              <w:keepLines w:val="0"/>
              <w:pageBreakBefore w:val="0"/>
              <w:widowControl/>
              <w:suppressLineNumbers w:val="0"/>
              <w:kinsoku/>
              <w:wordWrap/>
              <w:overflowPunct/>
              <w:topLinePunct w:val="0"/>
              <w:autoSpaceDE/>
              <w:autoSpaceDN/>
              <w:bidi w:val="0"/>
              <w:adjustRightInd/>
              <w:snapToGrid/>
              <w:spacing w:before="157" w:beforeLines="50" w:line="360" w:lineRule="auto"/>
              <w:jc w:val="left"/>
              <w:textAlignment w:val="auto"/>
              <w:rPr>
                <w:rFonts w:hint="default" w:ascii="Times New Roman" w:hAnsi="Times New Roman" w:eastAsia="宋体" w:cs="Times New Roman"/>
                <w:b/>
                <w:bCs/>
                <w:color w:val="000000"/>
                <w:kern w:val="0"/>
                <w:sz w:val="24"/>
                <w:szCs w:val="24"/>
                <w:lang w:val="en-US" w:eastAsia="zh-CN" w:bidi="ar"/>
              </w:rPr>
            </w:pPr>
            <w:r>
              <w:rPr>
                <w:rFonts w:hint="eastAsia" w:ascii="Times New Roman" w:hAnsi="Times New Roman" w:eastAsia="宋体" w:cs="Times New Roman"/>
                <w:b/>
                <w:bCs/>
                <w:color w:val="000000"/>
                <w:kern w:val="0"/>
                <w:sz w:val="24"/>
                <w:szCs w:val="24"/>
                <w:lang w:val="en-US" w:eastAsia="zh-CN" w:bidi="ar"/>
              </w:rPr>
              <w:t>4.2.6 运营期环境风险影响和保护措施</w:t>
            </w:r>
          </w:p>
          <w:p w14:paraId="301A99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2.</w:t>
            </w:r>
            <w:r>
              <w:rPr>
                <w:rFonts w:hint="eastAsia"/>
                <w:sz w:val="24"/>
                <w:szCs w:val="24"/>
              </w:rPr>
              <w:t>6.1环境风险源调查</w:t>
            </w:r>
          </w:p>
          <w:p w14:paraId="269015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根据项目所使用的主要原辅料、污水进出水水质以及生产过程排放的</w:t>
            </w:r>
            <w:r>
              <w:rPr>
                <w:rFonts w:hint="eastAsia"/>
                <w:sz w:val="24"/>
                <w:szCs w:val="24"/>
                <w:lang w:eastAsia="zh-CN"/>
              </w:rPr>
              <w:t>“</w:t>
            </w:r>
            <w:r>
              <w:rPr>
                <w:rFonts w:hint="eastAsia"/>
                <w:sz w:val="24"/>
                <w:szCs w:val="24"/>
              </w:rPr>
              <w:t>三废</w:t>
            </w:r>
            <w:r>
              <w:rPr>
                <w:rFonts w:hint="eastAsia"/>
                <w:sz w:val="24"/>
                <w:szCs w:val="24"/>
                <w:lang w:eastAsia="zh-CN"/>
              </w:rPr>
              <w:t>”</w:t>
            </w:r>
            <w:r>
              <w:rPr>
                <w:rFonts w:hint="eastAsia"/>
                <w:sz w:val="24"/>
                <w:szCs w:val="24"/>
              </w:rPr>
              <w:t>污染物等情况，对照《建设项目环境风险评价技术导则》（HJ169-2018）附录B识别本项目危险物质：</w:t>
            </w:r>
          </w:p>
          <w:p w14:paraId="49CF946B">
            <w:pPr>
              <w:pStyle w:val="23"/>
              <w:bidi w:val="0"/>
              <w:rPr>
                <w:rFonts w:hint="eastAsia"/>
                <w:lang w:val="en-US" w:eastAsia="zh-CN"/>
              </w:rPr>
            </w:pPr>
            <w:r>
              <w:rPr>
                <w:rFonts w:hint="eastAsia"/>
                <w:lang w:val="en-US" w:eastAsia="zh-CN"/>
              </w:rPr>
              <w:t>表4-27 本项目风险物质调查</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8"/>
              <w:gridCol w:w="1572"/>
              <w:gridCol w:w="1171"/>
              <w:gridCol w:w="1560"/>
              <w:gridCol w:w="1185"/>
              <w:gridCol w:w="1224"/>
            </w:tblGrid>
            <w:tr w14:paraId="69A18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00EE6C0E">
                  <w:pPr>
                    <w:jc w:val="center"/>
                    <w:rPr>
                      <w:b w:val="0"/>
                      <w:color w:val="000000"/>
                    </w:rPr>
                  </w:pPr>
                  <w:r>
                    <w:rPr>
                      <w:b w:val="0"/>
                      <w:color w:val="000000"/>
                    </w:rPr>
                    <w:t>危险物质</w:t>
                  </w:r>
                </w:p>
              </w:tc>
              <w:tc>
                <w:tcPr>
                  <w:tcW w:w="9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0F73C7">
                  <w:pPr>
                    <w:jc w:val="center"/>
                    <w:rPr>
                      <w:b w:val="0"/>
                      <w:color w:val="000000"/>
                    </w:rPr>
                  </w:pPr>
                  <w:r>
                    <w:rPr>
                      <w:b w:val="0"/>
                      <w:color w:val="000000"/>
                    </w:rPr>
                    <w:t>分布情况</w:t>
                  </w:r>
                </w:p>
              </w:tc>
              <w:tc>
                <w:tcPr>
                  <w:tcW w:w="7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4C4A8">
                  <w:pPr>
                    <w:jc w:val="center"/>
                    <w:rPr>
                      <w:b w:val="0"/>
                      <w:color w:val="000000"/>
                    </w:rPr>
                  </w:pPr>
                  <w:r>
                    <w:rPr>
                      <w:b w:val="0"/>
                      <w:color w:val="000000"/>
                    </w:rPr>
                    <w:t>CAS号</w:t>
                  </w:r>
                </w:p>
              </w:tc>
              <w:tc>
                <w:tcPr>
                  <w:tcW w:w="9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81F1AA">
                  <w:pPr>
                    <w:jc w:val="center"/>
                    <w:rPr>
                      <w:rFonts w:hint="eastAsia" w:eastAsia="宋体"/>
                      <w:b w:val="0"/>
                      <w:color w:val="000000"/>
                      <w:lang w:eastAsia="zh-CN"/>
                    </w:rPr>
                  </w:pPr>
                  <w:r>
                    <w:rPr>
                      <w:b w:val="0"/>
                      <w:color w:val="000000"/>
                    </w:rPr>
                    <w:t>最大存在量</w:t>
                  </w:r>
                  <w:r>
                    <w:rPr>
                      <w:rFonts w:hint="eastAsia"/>
                      <w:b w:val="0"/>
                      <w:color w:val="000000"/>
                      <w:lang w:eastAsia="zh-CN"/>
                    </w:rPr>
                    <w:t>（</w:t>
                  </w:r>
                  <w:r>
                    <w:rPr>
                      <w:b w:val="0"/>
                      <w:color w:val="000000"/>
                    </w:rPr>
                    <w:t>t</w:t>
                  </w:r>
                  <w:r>
                    <w:rPr>
                      <w:rFonts w:hint="eastAsia"/>
                      <w:b w:val="0"/>
                      <w:color w:val="000000"/>
                      <w:lang w:eastAsia="zh-CN"/>
                    </w:rPr>
                    <w:t>）</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00D060">
                  <w:pPr>
                    <w:jc w:val="center"/>
                    <w:rPr>
                      <w:rFonts w:hint="eastAsia" w:eastAsia="宋体"/>
                      <w:b w:val="0"/>
                      <w:color w:val="000000"/>
                      <w:lang w:eastAsia="zh-CN"/>
                    </w:rPr>
                  </w:pPr>
                  <w:r>
                    <w:rPr>
                      <w:b w:val="0"/>
                      <w:color w:val="000000"/>
                    </w:rPr>
                    <w:t>临界量</w:t>
                  </w:r>
                  <w:r>
                    <w:rPr>
                      <w:rFonts w:hint="eastAsia"/>
                      <w:b w:val="0"/>
                      <w:color w:val="000000"/>
                      <w:lang w:eastAsia="zh-CN"/>
                    </w:rPr>
                    <w:t>（</w:t>
                  </w:r>
                  <w:r>
                    <w:rPr>
                      <w:b w:val="0"/>
                      <w:color w:val="000000"/>
                    </w:rPr>
                    <w:t>t</w:t>
                  </w:r>
                  <w:r>
                    <w:rPr>
                      <w:rFonts w:hint="eastAsia"/>
                      <w:b w:val="0"/>
                      <w:color w:val="000000"/>
                      <w:lang w:eastAsia="zh-CN"/>
                    </w:rPr>
                    <w:t>）</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0C943F">
                  <w:pPr>
                    <w:jc w:val="center"/>
                    <w:rPr>
                      <w:rFonts w:hint="eastAsia" w:eastAsia="宋体"/>
                      <w:b w:val="0"/>
                      <w:color w:val="000000"/>
                      <w:lang w:eastAsia="zh-CN"/>
                    </w:rPr>
                  </w:pPr>
                  <w:r>
                    <w:rPr>
                      <w:b w:val="0"/>
                      <w:color w:val="000000"/>
                    </w:rPr>
                    <w:t>Q值</w:t>
                  </w:r>
                  <w:r>
                    <w:rPr>
                      <w:rFonts w:hint="eastAsia"/>
                      <w:b w:val="0"/>
                      <w:color w:val="000000"/>
                      <w:lang w:eastAsia="zh-CN"/>
                    </w:rPr>
                    <w:t>（</w:t>
                  </w:r>
                  <w:r>
                    <w:rPr>
                      <w:b w:val="0"/>
                      <w:color w:val="000000"/>
                    </w:rPr>
                    <w:t>t</w:t>
                  </w:r>
                  <w:r>
                    <w:rPr>
                      <w:rFonts w:hint="eastAsia"/>
                      <w:b w:val="0"/>
                      <w:color w:val="000000"/>
                      <w:lang w:eastAsia="zh-CN"/>
                    </w:rPr>
                    <w:t>）</w:t>
                  </w:r>
                </w:p>
              </w:tc>
            </w:tr>
            <w:tr w14:paraId="1108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C9B70B">
                  <w:pPr>
                    <w:jc w:val="center"/>
                    <w:rPr>
                      <w:b w:val="0"/>
                      <w:color w:val="000000"/>
                    </w:rPr>
                  </w:pPr>
                  <w:r>
                    <w:rPr>
                      <w:b w:val="0"/>
                      <w:color w:val="000000"/>
                    </w:rPr>
                    <w:t>次氯酸钠</w:t>
                  </w:r>
                </w:p>
              </w:tc>
              <w:tc>
                <w:tcPr>
                  <w:tcW w:w="9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E4B09C">
                  <w:pPr>
                    <w:jc w:val="center"/>
                    <w:rPr>
                      <w:b w:val="0"/>
                      <w:color w:val="000000"/>
                    </w:rPr>
                  </w:pPr>
                  <w:r>
                    <w:rPr>
                      <w:b w:val="0"/>
                      <w:color w:val="000000"/>
                    </w:rPr>
                    <w:t>加药间储罐</w:t>
                  </w:r>
                </w:p>
              </w:tc>
              <w:tc>
                <w:tcPr>
                  <w:tcW w:w="7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8B0AA">
                  <w:pPr>
                    <w:jc w:val="center"/>
                    <w:rPr>
                      <w:b w:val="0"/>
                      <w:color w:val="000000"/>
                    </w:rPr>
                  </w:pPr>
                  <w:r>
                    <w:rPr>
                      <w:b w:val="0"/>
                      <w:color w:val="000000"/>
                    </w:rPr>
                    <w:t>7681-52-9</w:t>
                  </w:r>
                </w:p>
              </w:tc>
              <w:tc>
                <w:tcPr>
                  <w:tcW w:w="9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D4B1BE">
                  <w:pPr>
                    <w:jc w:val="center"/>
                    <w:rPr>
                      <w:rFonts w:hint="eastAsia" w:eastAsia="宋体"/>
                      <w:b w:val="0"/>
                      <w:color w:val="000000"/>
                      <w:lang w:eastAsia="zh-CN"/>
                    </w:rPr>
                  </w:pPr>
                  <w:r>
                    <w:rPr>
                      <w:b w:val="0"/>
                      <w:color w:val="000000"/>
                    </w:rPr>
                    <w:t>4.375</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8C4FB">
                  <w:pPr>
                    <w:jc w:val="center"/>
                    <w:rPr>
                      <w:b w:val="0"/>
                      <w:color w:val="000000"/>
                    </w:rPr>
                  </w:pPr>
                  <w:r>
                    <w:rPr>
                      <w:b w:val="0"/>
                      <w:color w:val="000000"/>
                    </w:rPr>
                    <w:t>5</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9304C">
                  <w:pPr>
                    <w:jc w:val="center"/>
                    <w:rPr>
                      <w:b w:val="0"/>
                      <w:color w:val="000000"/>
                    </w:rPr>
                  </w:pPr>
                  <w:r>
                    <w:rPr>
                      <w:b w:val="0"/>
                      <w:color w:val="000000"/>
                    </w:rPr>
                    <w:t>0.875</w:t>
                  </w:r>
                </w:p>
              </w:tc>
            </w:tr>
            <w:tr w14:paraId="74B8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467083">
                  <w:pPr>
                    <w:jc w:val="center"/>
                    <w:rPr>
                      <w:b w:val="0"/>
                      <w:color w:val="000000"/>
                    </w:rPr>
                  </w:pPr>
                  <w:r>
                    <w:rPr>
                      <w:b w:val="0"/>
                      <w:color w:val="000000"/>
                    </w:rPr>
                    <w:t>废机油</w:t>
                  </w:r>
                </w:p>
              </w:tc>
              <w:tc>
                <w:tcPr>
                  <w:tcW w:w="989" w:type="pct"/>
                  <w:vMerge w:val="restart"/>
                  <w:tcBorders>
                    <w:top w:val="single" w:color="000000" w:sz="4" w:space="0"/>
                    <w:left w:val="single" w:color="000000" w:sz="4" w:space="0"/>
                    <w:right w:val="single" w:color="000000" w:sz="4" w:space="0"/>
                  </w:tcBorders>
                  <w:shd w:val="clear" w:color="auto" w:fill="FFFFFF"/>
                  <w:vAlign w:val="center"/>
                </w:tcPr>
                <w:p w14:paraId="6D98BF87">
                  <w:pPr>
                    <w:jc w:val="center"/>
                    <w:rPr>
                      <w:b w:val="0"/>
                      <w:color w:val="000000"/>
                    </w:rPr>
                  </w:pPr>
                  <w:r>
                    <w:rPr>
                      <w:b w:val="0"/>
                      <w:color w:val="000000"/>
                    </w:rPr>
                    <w:t>危废贮存点</w:t>
                  </w:r>
                </w:p>
              </w:tc>
              <w:tc>
                <w:tcPr>
                  <w:tcW w:w="7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B6D2E7">
                  <w:pPr>
                    <w:jc w:val="center"/>
                    <w:rPr>
                      <w:b w:val="0"/>
                      <w:color w:val="000000"/>
                    </w:rPr>
                  </w:pPr>
                  <w:r>
                    <w:rPr>
                      <w:b w:val="0"/>
                      <w:color w:val="000000"/>
                    </w:rPr>
                    <w:t>/</w:t>
                  </w:r>
                </w:p>
              </w:tc>
              <w:tc>
                <w:tcPr>
                  <w:tcW w:w="9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12CAC">
                  <w:pPr>
                    <w:jc w:val="center"/>
                    <w:rPr>
                      <w:b w:val="0"/>
                      <w:color w:val="000000"/>
                    </w:rPr>
                  </w:pPr>
                  <w:r>
                    <w:rPr>
                      <w:b w:val="0"/>
                      <w:color w:val="000000"/>
                    </w:rPr>
                    <w:t>0.2</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B08C5">
                  <w:pPr>
                    <w:jc w:val="center"/>
                    <w:rPr>
                      <w:b w:val="0"/>
                      <w:color w:val="000000"/>
                    </w:rPr>
                  </w:pPr>
                  <w:r>
                    <w:rPr>
                      <w:b w:val="0"/>
                      <w:color w:val="000000"/>
                    </w:rPr>
                    <w:t>2500</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81D648">
                  <w:pPr>
                    <w:jc w:val="center"/>
                    <w:rPr>
                      <w:b w:val="0"/>
                      <w:color w:val="000000"/>
                    </w:rPr>
                  </w:pPr>
                  <w:r>
                    <w:rPr>
                      <w:b w:val="0"/>
                      <w:color w:val="000000"/>
                    </w:rPr>
                    <w:t>0.00008</w:t>
                  </w:r>
                </w:p>
              </w:tc>
            </w:tr>
            <w:tr w14:paraId="1BE0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80055">
                  <w:pPr>
                    <w:jc w:val="center"/>
                    <w:rPr>
                      <w:b w:val="0"/>
                      <w:color w:val="000000"/>
                    </w:rPr>
                  </w:pPr>
                  <w:r>
                    <w:rPr>
                      <w:rFonts w:hint="eastAsia"/>
                      <w:b w:val="0"/>
                      <w:color w:val="000000"/>
                    </w:rPr>
                    <w:t>化验废液</w:t>
                  </w:r>
                </w:p>
              </w:tc>
              <w:tc>
                <w:tcPr>
                  <w:tcW w:w="989" w:type="pct"/>
                  <w:vMerge w:val="continue"/>
                  <w:tcBorders>
                    <w:left w:val="single" w:color="000000" w:sz="4" w:space="0"/>
                    <w:bottom w:val="single" w:color="000000" w:sz="4" w:space="0"/>
                    <w:right w:val="single" w:color="000000" w:sz="4" w:space="0"/>
                  </w:tcBorders>
                  <w:shd w:val="clear" w:color="auto" w:fill="FFFFFF"/>
                  <w:vAlign w:val="center"/>
                </w:tcPr>
                <w:p w14:paraId="78CED7CC">
                  <w:pPr>
                    <w:jc w:val="center"/>
                    <w:rPr>
                      <w:b w:val="0"/>
                      <w:color w:val="000000"/>
                    </w:rPr>
                  </w:pPr>
                </w:p>
              </w:tc>
              <w:tc>
                <w:tcPr>
                  <w:tcW w:w="7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AFBA3">
                  <w:pPr>
                    <w:jc w:val="center"/>
                    <w:rPr>
                      <w:b w:val="0"/>
                      <w:color w:val="000000"/>
                    </w:rPr>
                  </w:pPr>
                </w:p>
              </w:tc>
              <w:tc>
                <w:tcPr>
                  <w:tcW w:w="9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64EB00">
                  <w:pPr>
                    <w:jc w:val="center"/>
                    <w:rPr>
                      <w:rFonts w:hint="default"/>
                      <w:b w:val="0"/>
                      <w:color w:val="000000"/>
                      <w:lang w:val="en-US"/>
                    </w:rPr>
                  </w:pPr>
                  <w:r>
                    <w:rPr>
                      <w:rFonts w:hint="default"/>
                      <w:b w:val="0"/>
                      <w:color w:val="000000"/>
                      <w:lang w:val="en-US"/>
                    </w:rPr>
                    <w:t>1.5</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41D1F">
                  <w:pPr>
                    <w:jc w:val="center"/>
                    <w:rPr>
                      <w:rFonts w:hint="default"/>
                      <w:b w:val="0"/>
                      <w:color w:val="000000"/>
                      <w:lang w:val="en-US"/>
                    </w:rPr>
                  </w:pPr>
                  <w:r>
                    <w:rPr>
                      <w:rFonts w:hint="default"/>
                      <w:b w:val="0"/>
                      <w:color w:val="000000"/>
                      <w:lang w:val="en-US"/>
                    </w:rPr>
                    <w:t>100</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D3E769">
                  <w:pPr>
                    <w:jc w:val="center"/>
                    <w:rPr>
                      <w:rFonts w:hint="default"/>
                      <w:b w:val="0"/>
                      <w:color w:val="000000"/>
                      <w:lang w:val="en-US"/>
                    </w:rPr>
                  </w:pPr>
                  <w:r>
                    <w:rPr>
                      <w:rFonts w:hint="default"/>
                      <w:b w:val="0"/>
                      <w:color w:val="000000"/>
                      <w:lang w:val="en-US"/>
                    </w:rPr>
                    <w:t>0.015</w:t>
                  </w:r>
                </w:p>
              </w:tc>
            </w:tr>
            <w:tr w14:paraId="15F0F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35BDE2">
                  <w:pPr>
                    <w:jc w:val="center"/>
                    <w:rPr>
                      <w:b w:val="0"/>
                      <w:color w:val="000000"/>
                    </w:rPr>
                  </w:pPr>
                  <w:r>
                    <w:rPr>
                      <w:rFonts w:hint="eastAsia"/>
                      <w:b w:val="0"/>
                      <w:color w:val="000000"/>
                    </w:rPr>
                    <w:t>氨气</w:t>
                  </w:r>
                </w:p>
              </w:tc>
              <w:tc>
                <w:tcPr>
                  <w:tcW w:w="989" w:type="pct"/>
                  <w:vMerge w:val="restart"/>
                  <w:tcBorders>
                    <w:top w:val="single" w:color="000000" w:sz="4" w:space="0"/>
                    <w:left w:val="single" w:color="000000" w:sz="4" w:space="0"/>
                    <w:right w:val="single" w:color="000000" w:sz="4" w:space="0"/>
                  </w:tcBorders>
                  <w:shd w:val="clear" w:color="auto" w:fill="FFFFFF"/>
                  <w:vAlign w:val="center"/>
                </w:tcPr>
                <w:p w14:paraId="27E44CC6">
                  <w:pPr>
                    <w:jc w:val="center"/>
                    <w:rPr>
                      <w:b w:val="0"/>
                      <w:color w:val="000000"/>
                    </w:rPr>
                  </w:pPr>
                  <w:r>
                    <w:rPr>
                      <w:rFonts w:hint="eastAsia"/>
                      <w:b w:val="0"/>
                      <w:color w:val="000000"/>
                    </w:rPr>
                    <w:t>废气处理设施（废气管道）</w:t>
                  </w:r>
                </w:p>
              </w:tc>
              <w:tc>
                <w:tcPr>
                  <w:tcW w:w="7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8B3D11">
                  <w:pPr>
                    <w:jc w:val="center"/>
                    <w:rPr>
                      <w:b w:val="0"/>
                      <w:color w:val="000000"/>
                    </w:rPr>
                  </w:pPr>
                </w:p>
              </w:tc>
              <w:tc>
                <w:tcPr>
                  <w:tcW w:w="9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97A7B">
                  <w:pPr>
                    <w:jc w:val="center"/>
                    <w:rPr>
                      <w:rFonts w:hint="default"/>
                      <w:b w:val="0"/>
                      <w:color w:val="000000"/>
                      <w:lang w:val="en-US"/>
                    </w:rPr>
                  </w:pPr>
                  <w:r>
                    <w:rPr>
                      <w:rFonts w:hint="default"/>
                      <w:b w:val="0"/>
                      <w:color w:val="000000"/>
                      <w:lang w:val="en-US"/>
                    </w:rPr>
                    <w:t>0.000163</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90CA7B">
                  <w:pPr>
                    <w:jc w:val="center"/>
                    <w:rPr>
                      <w:rFonts w:hint="default"/>
                      <w:b w:val="0"/>
                      <w:color w:val="000000"/>
                      <w:lang w:val="en-US"/>
                    </w:rPr>
                  </w:pPr>
                  <w:r>
                    <w:rPr>
                      <w:rFonts w:hint="default"/>
                      <w:b w:val="0"/>
                      <w:color w:val="000000"/>
                      <w:lang w:val="en-US"/>
                    </w:rPr>
                    <w:t>5</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A7155C">
                  <w:pPr>
                    <w:jc w:val="center"/>
                    <w:rPr>
                      <w:rFonts w:hint="default"/>
                      <w:b w:val="0"/>
                      <w:color w:val="000000"/>
                      <w:lang w:val="en-US"/>
                    </w:rPr>
                  </w:pPr>
                  <w:r>
                    <w:rPr>
                      <w:rFonts w:hint="default"/>
                      <w:b w:val="0"/>
                      <w:color w:val="000000"/>
                      <w:lang w:val="en-US"/>
                    </w:rPr>
                    <w:t>0.0000326</w:t>
                  </w:r>
                </w:p>
              </w:tc>
            </w:tr>
            <w:tr w14:paraId="7A79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8250B">
                  <w:pPr>
                    <w:jc w:val="center"/>
                    <w:rPr>
                      <w:b w:val="0"/>
                      <w:color w:val="000000"/>
                    </w:rPr>
                  </w:pPr>
                  <w:r>
                    <w:rPr>
                      <w:rFonts w:hint="eastAsia"/>
                      <w:b w:val="0"/>
                      <w:color w:val="000000"/>
                    </w:rPr>
                    <w:t>硫化氢</w:t>
                  </w:r>
                </w:p>
              </w:tc>
              <w:tc>
                <w:tcPr>
                  <w:tcW w:w="989" w:type="pct"/>
                  <w:vMerge w:val="continue"/>
                  <w:tcBorders>
                    <w:left w:val="single" w:color="000000" w:sz="4" w:space="0"/>
                    <w:bottom w:val="single" w:color="000000" w:sz="4" w:space="0"/>
                    <w:right w:val="single" w:color="000000" w:sz="4" w:space="0"/>
                  </w:tcBorders>
                  <w:shd w:val="clear" w:color="auto" w:fill="FFFFFF"/>
                  <w:vAlign w:val="center"/>
                </w:tcPr>
                <w:p w14:paraId="0E53DA6E">
                  <w:pPr>
                    <w:jc w:val="center"/>
                    <w:rPr>
                      <w:b w:val="0"/>
                      <w:color w:val="000000"/>
                    </w:rPr>
                  </w:pPr>
                </w:p>
              </w:tc>
              <w:tc>
                <w:tcPr>
                  <w:tcW w:w="7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3DF601">
                  <w:pPr>
                    <w:jc w:val="center"/>
                    <w:rPr>
                      <w:b w:val="0"/>
                      <w:color w:val="000000"/>
                    </w:rPr>
                  </w:pPr>
                </w:p>
              </w:tc>
              <w:tc>
                <w:tcPr>
                  <w:tcW w:w="9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7EDEEF">
                  <w:pPr>
                    <w:jc w:val="center"/>
                    <w:rPr>
                      <w:rFonts w:hint="default"/>
                      <w:b w:val="0"/>
                      <w:color w:val="000000"/>
                      <w:lang w:val="en-US"/>
                    </w:rPr>
                  </w:pPr>
                  <w:r>
                    <w:rPr>
                      <w:rFonts w:hint="default"/>
                      <w:b w:val="0"/>
                      <w:color w:val="000000"/>
                      <w:lang w:val="en-US"/>
                    </w:rPr>
                    <w:t>0.0000159</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3933B">
                  <w:pPr>
                    <w:jc w:val="center"/>
                    <w:rPr>
                      <w:rFonts w:hint="default"/>
                      <w:b w:val="0"/>
                      <w:color w:val="000000"/>
                      <w:lang w:val="en-US"/>
                    </w:rPr>
                  </w:pPr>
                  <w:r>
                    <w:rPr>
                      <w:rFonts w:hint="default"/>
                      <w:b w:val="0"/>
                      <w:color w:val="000000"/>
                      <w:lang w:val="en-US"/>
                    </w:rPr>
                    <w:t>2.5</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DF7D2">
                  <w:pPr>
                    <w:jc w:val="center"/>
                    <w:rPr>
                      <w:rFonts w:hint="default"/>
                      <w:b w:val="0"/>
                      <w:color w:val="000000"/>
                      <w:lang w:val="en-US"/>
                    </w:rPr>
                  </w:pPr>
                  <w:r>
                    <w:rPr>
                      <w:rFonts w:hint="default"/>
                      <w:b w:val="0"/>
                      <w:color w:val="000000"/>
                      <w:lang w:val="en-US"/>
                    </w:rPr>
                    <w:t>0.00000636</w:t>
                  </w:r>
                </w:p>
              </w:tc>
            </w:tr>
            <w:tr w14:paraId="045A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C041D">
                  <w:pPr>
                    <w:jc w:val="center"/>
                    <w:rPr>
                      <w:b w:val="0"/>
                      <w:color w:val="000000"/>
                    </w:rPr>
                  </w:pPr>
                  <w:r>
                    <w:rPr>
                      <w:b w:val="0"/>
                      <w:color w:val="000000"/>
                    </w:rPr>
                    <w:t>合计</w:t>
                  </w:r>
                </w:p>
              </w:tc>
              <w:tc>
                <w:tcPr>
                  <w:tcW w:w="98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D4433">
                  <w:pPr>
                    <w:jc w:val="center"/>
                    <w:rPr>
                      <w:b w:val="0"/>
                      <w:color w:val="000000"/>
                    </w:rPr>
                  </w:pPr>
                  <w:r>
                    <w:rPr>
                      <w:b w:val="0"/>
                      <w:color w:val="000000"/>
                    </w:rPr>
                    <w:t>/</w:t>
                  </w:r>
                </w:p>
              </w:tc>
              <w:tc>
                <w:tcPr>
                  <w:tcW w:w="7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1ABD8">
                  <w:pPr>
                    <w:jc w:val="center"/>
                    <w:rPr>
                      <w:b w:val="0"/>
                      <w:color w:val="000000"/>
                    </w:rPr>
                  </w:pPr>
                  <w:r>
                    <w:rPr>
                      <w:b w:val="0"/>
                      <w:color w:val="000000"/>
                    </w:rPr>
                    <w:t>/</w:t>
                  </w:r>
                </w:p>
              </w:tc>
              <w:tc>
                <w:tcPr>
                  <w:tcW w:w="9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B1881A">
                  <w:pPr>
                    <w:jc w:val="center"/>
                    <w:rPr>
                      <w:b w:val="0"/>
                      <w:color w:val="000000"/>
                    </w:rPr>
                  </w:pPr>
                  <w:r>
                    <w:rPr>
                      <w:b w:val="0"/>
                      <w:color w:val="000000"/>
                    </w:rPr>
                    <w:t>/</w:t>
                  </w:r>
                </w:p>
              </w:tc>
              <w:tc>
                <w:tcPr>
                  <w:tcW w:w="7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7546E">
                  <w:pPr>
                    <w:jc w:val="center"/>
                    <w:rPr>
                      <w:b w:val="0"/>
                      <w:color w:val="000000"/>
                    </w:rPr>
                  </w:pPr>
                  <w:r>
                    <w:rPr>
                      <w:b w:val="0"/>
                      <w:color w:val="000000"/>
                    </w:rPr>
                    <w:t>/</w:t>
                  </w:r>
                </w:p>
              </w:tc>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85219">
                  <w:pPr>
                    <w:jc w:val="center"/>
                    <w:rPr>
                      <w:rFonts w:hint="default" w:eastAsia="宋体"/>
                      <w:b w:val="0"/>
                      <w:color w:val="000000"/>
                      <w:lang w:val="en-US" w:eastAsia="zh-CN"/>
                    </w:rPr>
                  </w:pPr>
                  <w:r>
                    <w:rPr>
                      <w:b w:val="0"/>
                      <w:color w:val="000000"/>
                    </w:rPr>
                    <w:t>0.</w:t>
                  </w:r>
                  <w:r>
                    <w:rPr>
                      <w:rFonts w:hint="default"/>
                      <w:b w:val="0"/>
                      <w:color w:val="000000"/>
                      <w:lang w:val="en-US"/>
                    </w:rPr>
                    <w:t>89</w:t>
                  </w:r>
                </w:p>
              </w:tc>
            </w:tr>
          </w:tbl>
          <w:p w14:paraId="0F257798">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次氯酸钠最大存在量按以下方式核算：设置10%次氯酸钠溶液储罐1个，有效容积5m</w:t>
            </w:r>
            <w:r>
              <w:rPr>
                <w:rFonts w:hint="eastAsia"/>
                <w:sz w:val="24"/>
                <w:szCs w:val="24"/>
                <w:vertAlign w:val="superscript"/>
                <w:lang w:val="en-US" w:eastAsia="zh-CN"/>
              </w:rPr>
              <w:t>3</w:t>
            </w:r>
            <w:r>
              <w:rPr>
                <w:rFonts w:hint="eastAsia"/>
                <w:sz w:val="24"/>
                <w:szCs w:val="24"/>
              </w:rPr>
              <w:t>，充填系数0.8，溶液密度1.10t/m</w:t>
            </w:r>
            <w:r>
              <w:rPr>
                <w:rFonts w:hint="eastAsia"/>
                <w:sz w:val="24"/>
                <w:szCs w:val="24"/>
                <w:vertAlign w:val="superscript"/>
                <w:lang w:val="en-US" w:eastAsia="zh-CN"/>
              </w:rPr>
              <w:t>3</w:t>
            </w:r>
            <w:r>
              <w:rPr>
                <w:rFonts w:hint="eastAsia"/>
                <w:sz w:val="24"/>
                <w:szCs w:val="24"/>
              </w:rPr>
              <w:t>，则最大存在量为：</w:t>
            </w:r>
          </w:p>
          <w:p w14:paraId="29ADD5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5m</w:t>
            </w:r>
            <w:r>
              <w:rPr>
                <w:rFonts w:hint="eastAsia"/>
                <w:sz w:val="24"/>
                <w:szCs w:val="24"/>
                <w:vertAlign w:val="superscript"/>
                <w:lang w:val="en-US" w:eastAsia="zh-CN"/>
              </w:rPr>
              <w:t>3</w:t>
            </w:r>
            <w:r>
              <w:rPr>
                <w:rFonts w:hint="eastAsia"/>
                <w:sz w:val="24"/>
                <w:szCs w:val="24"/>
              </w:rPr>
              <w:t>×0.8×1.10t/m</w:t>
            </w:r>
            <w:r>
              <w:rPr>
                <w:rFonts w:hint="eastAsia"/>
                <w:sz w:val="24"/>
                <w:szCs w:val="24"/>
                <w:vertAlign w:val="superscript"/>
                <w:lang w:val="en-US" w:eastAsia="zh-CN"/>
              </w:rPr>
              <w:t>3</w:t>
            </w:r>
            <w:r>
              <w:rPr>
                <w:rFonts w:hint="eastAsia"/>
                <w:sz w:val="24"/>
                <w:szCs w:val="24"/>
              </w:rPr>
              <w:t>=4.4t</w:t>
            </w:r>
          </w:p>
          <w:p w14:paraId="3F5075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环评报告取4.375t（按密度1.09375t/m</w:t>
            </w:r>
            <w:r>
              <w:rPr>
                <w:rFonts w:hint="eastAsia"/>
                <w:sz w:val="24"/>
                <w:szCs w:val="24"/>
                <w:vertAlign w:val="superscript"/>
                <w:lang w:val="en-US" w:eastAsia="zh-CN"/>
              </w:rPr>
              <w:t>3</w:t>
            </w:r>
            <w:r>
              <w:rPr>
                <w:rFonts w:hint="eastAsia"/>
                <w:sz w:val="24"/>
                <w:szCs w:val="24"/>
              </w:rPr>
              <w:t>折算）。</w:t>
            </w:r>
          </w:p>
          <w:p w14:paraId="267741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本项目Q值为0.8</w:t>
            </w:r>
            <w:r>
              <w:rPr>
                <w:rFonts w:hint="eastAsia"/>
                <w:sz w:val="24"/>
                <w:szCs w:val="24"/>
                <w:lang w:val="en-US"/>
              </w:rPr>
              <w:t>9</w:t>
            </w:r>
            <w:r>
              <w:rPr>
                <w:rFonts w:hint="eastAsia"/>
                <w:sz w:val="24"/>
                <w:szCs w:val="24"/>
              </w:rPr>
              <w:t>＜1，根据《建设项目环境风险评价技术导则》（HJ169-2018），项目风险潜势为</w:t>
            </w:r>
            <w:r>
              <w:rPr>
                <w:rFonts w:hint="default" w:ascii="Times New Roman" w:hAnsi="Times New Roman" w:cs="Times New Roman"/>
                <w:sz w:val="24"/>
                <w:szCs w:val="24"/>
                <w:lang w:val="en-US" w:eastAsia="zh-CN"/>
              </w:rPr>
              <w:t>Ⅰ</w:t>
            </w:r>
            <w:r>
              <w:rPr>
                <w:rFonts w:hint="eastAsia"/>
                <w:sz w:val="24"/>
                <w:szCs w:val="24"/>
              </w:rPr>
              <w:t>，评价工作等级为简单分析。</w:t>
            </w:r>
          </w:p>
          <w:p w14:paraId="57CBFD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2.</w:t>
            </w:r>
            <w:r>
              <w:rPr>
                <w:rFonts w:hint="eastAsia"/>
                <w:sz w:val="24"/>
                <w:szCs w:val="24"/>
              </w:rPr>
              <w:t>6.2可能影响环境的途径及风险事故分析</w:t>
            </w:r>
          </w:p>
          <w:p w14:paraId="61DC6C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根据项目危险物质特性及分布区域，本项目危险物质可能影响环境的途径如下：</w:t>
            </w:r>
          </w:p>
          <w:p w14:paraId="1401FC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sz w:val="24"/>
                <w:szCs w:val="24"/>
              </w:rPr>
            </w:pPr>
            <w:r>
              <w:rPr>
                <w:rFonts w:hint="eastAsia"/>
                <w:sz w:val="24"/>
                <w:szCs w:val="24"/>
              </w:rPr>
              <w:t>①</w:t>
            </w:r>
            <w:r>
              <w:rPr>
                <w:rFonts w:hint="eastAsia"/>
                <w:sz w:val="24"/>
                <w:szCs w:val="24"/>
                <w:lang w:val="en-US" w:eastAsia="zh-CN"/>
              </w:rPr>
              <w:t>机</w:t>
            </w:r>
            <w:r>
              <w:rPr>
                <w:rFonts w:hint="eastAsia" w:ascii="Times New Roman" w:hAnsi="Times New Roman" w:cs="Times New Roman"/>
                <w:sz w:val="24"/>
                <w:szCs w:val="24"/>
                <w:lang w:val="en-US" w:eastAsia="zh-CN"/>
              </w:rPr>
              <w:t>油或废机油</w:t>
            </w:r>
            <w:r>
              <w:rPr>
                <w:rFonts w:hint="eastAsia" w:ascii="Times New Roman" w:hAnsi="Times New Roman" w:cs="Times New Roman"/>
                <w:sz w:val="24"/>
                <w:szCs w:val="24"/>
              </w:rPr>
              <w:t>泄</w:t>
            </w:r>
            <w:r>
              <w:rPr>
                <w:rFonts w:hint="eastAsia" w:cs="Times New Roman"/>
                <w:sz w:val="24"/>
                <w:szCs w:val="24"/>
                <w:lang w:val="en-US" w:eastAsia="zh-CN"/>
              </w:rPr>
              <w:t>漏</w:t>
            </w:r>
            <w:r>
              <w:rPr>
                <w:rFonts w:hint="eastAsia" w:ascii="Times New Roman" w:hAnsi="Times New Roman" w:cs="Times New Roman"/>
                <w:sz w:val="24"/>
                <w:szCs w:val="24"/>
              </w:rPr>
              <w:t>及火灾爆炸事故导致伴生次生危险物质（CO、二氧化硫、氮氧化物等）扩散到大气环境中；油类物质泄漏引发的地面漫流、垂直入渗会对土壤环境、地下水环境造成污染；</w:t>
            </w:r>
          </w:p>
          <w:p w14:paraId="100D7E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②次氯酸钠储罐、化验废液及废样品包装桶发生破损，导致危险物质泄漏，会对大气环境造成影响，泄漏后废液的地面漫流、垂直入渗可能会对土壤环境、地下水环境产生影响；</w:t>
            </w:r>
          </w:p>
          <w:p w14:paraId="3F17DA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③废气处理设施100%失效，导致硫化氢、氨气排放量增大。</w:t>
            </w:r>
          </w:p>
          <w:p w14:paraId="3F3500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color w:val="FF0000"/>
                <w:sz w:val="24"/>
                <w:szCs w:val="24"/>
                <w:lang w:eastAsia="zh-CN"/>
              </w:rPr>
            </w:pPr>
            <w:r>
              <w:rPr>
                <w:rFonts w:hint="eastAsia"/>
                <w:sz w:val="24"/>
                <w:szCs w:val="24"/>
              </w:rPr>
              <w:t>4.</w:t>
            </w:r>
            <w:r>
              <w:rPr>
                <w:rFonts w:hint="eastAsia"/>
                <w:sz w:val="24"/>
                <w:szCs w:val="24"/>
                <w:lang w:val="en-US" w:eastAsia="zh-CN"/>
              </w:rPr>
              <w:t>2.</w:t>
            </w:r>
            <w:r>
              <w:rPr>
                <w:rFonts w:hint="eastAsia"/>
                <w:sz w:val="24"/>
                <w:szCs w:val="24"/>
              </w:rPr>
              <w:t>6.3风险防范措施</w:t>
            </w:r>
          </w:p>
          <w:p w14:paraId="08C91D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eastAsia"/>
                <w:sz w:val="24"/>
                <w:szCs w:val="24"/>
              </w:rPr>
            </w:pPr>
            <w:r>
              <w:rPr>
                <w:rFonts w:hint="eastAsia" w:ascii="Times New Roman" w:hAnsi="Times New Roman" w:eastAsia="宋体" w:cs="Times New Roman"/>
                <w:kern w:val="2"/>
                <w:sz w:val="24"/>
                <w:szCs w:val="24"/>
                <w:lang w:val="en-US" w:eastAsia="zh-CN" w:bidi="ar-SA"/>
              </w:rPr>
              <w:t>（一）</w:t>
            </w:r>
            <w:r>
              <w:rPr>
                <w:rFonts w:hint="eastAsia"/>
                <w:sz w:val="24"/>
                <w:szCs w:val="24"/>
              </w:rPr>
              <w:t>污水处理系统事故防范措施</w:t>
            </w:r>
          </w:p>
          <w:p w14:paraId="21198D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1.进水水质异常防范措施</w:t>
            </w:r>
          </w:p>
          <w:p w14:paraId="15D819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进水水质预警：在进水总管安装在线监测设备，对流量、COD、氨氮等主要指标实施自动监测，一旦发现进水水质异常，立即启动应急预案，将超标废水引入调节池（有效容积约910m</w:t>
            </w:r>
            <w:r>
              <w:rPr>
                <w:rFonts w:hint="eastAsia"/>
                <w:sz w:val="24"/>
                <w:szCs w:val="24"/>
                <w:vertAlign w:val="superscript"/>
                <w:lang w:val="en-US" w:eastAsia="zh-CN"/>
              </w:rPr>
              <w:t>3</w:t>
            </w:r>
            <w:r>
              <w:rPr>
                <w:rFonts w:hint="eastAsia"/>
                <w:sz w:val="24"/>
                <w:szCs w:val="24"/>
              </w:rPr>
              <w:t>，停留时间7.28h）暂存，待后续分批处理。</w:t>
            </w:r>
          </w:p>
          <w:p w14:paraId="0B2B99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2.设备故障及停电防范措施</w:t>
            </w:r>
          </w:p>
          <w:p w14:paraId="5CB4DF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①双路供电：本项目用电负荷等级为二级，采用两路10kV电源供电，一用一备，有效避免因停电导致污水处理系统停运。关键设备（水泵、风机等）配置备用机组，确保单台设备故障时系统仍可正常运行。</w:t>
            </w:r>
          </w:p>
          <w:p w14:paraId="4F7C4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②关键设备备用：主要设备均按“一用一备”或“n用1备”配置，易损部件配备充足备件，确保故障时能及时更换。</w:t>
            </w:r>
          </w:p>
          <w:p w14:paraId="43E03E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③调节池缓冲：改造后调节池有效容积约910m</w:t>
            </w:r>
            <w:r>
              <w:rPr>
                <w:rFonts w:hint="eastAsia"/>
                <w:sz w:val="24"/>
                <w:szCs w:val="24"/>
                <w:vertAlign w:val="superscript"/>
                <w:lang w:val="en-US" w:eastAsia="zh-CN"/>
              </w:rPr>
              <w:t>3</w:t>
            </w:r>
            <w:r>
              <w:rPr>
                <w:rFonts w:hint="eastAsia"/>
                <w:sz w:val="24"/>
                <w:szCs w:val="24"/>
              </w:rPr>
              <w:t>，停留时间7.28h，可在事故状态下暂存来水，为抢修争取时间。一旦发现处理单元故障，立即关闭进水阀门，将污水截留在调节池内，待系统恢复正常后分批次处理。</w:t>
            </w:r>
          </w:p>
          <w:p w14:paraId="0C95B4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④确保用电安全，防止停电造成污染风险；严格设备选型，加强管理，定期对废气排放口进行监测；</w:t>
            </w:r>
          </w:p>
          <w:p w14:paraId="32D353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⑤严格执行《危险化学品安全管理条例》（国务院令第645号）规定，次氯酸钠储罐应定期检验和防腐，存放区应设置泄漏收集槽，化学品贮存装置严禁露天放置，并设置安全警示标志。</w:t>
            </w:r>
          </w:p>
          <w:p w14:paraId="7D474E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p>
          <w:p w14:paraId="49ECFE7E">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3.管道泄漏防范措施</w:t>
            </w:r>
          </w:p>
          <w:p w14:paraId="28F736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①管材选择：污水收集管道选用HDPE双壁波纹管（DN300），再生水管道选用聚乙烯管（PE100，DN300），两种管材均具有良好的耐腐蚀性和密封性，从源头降低泄漏风险。</w:t>
            </w:r>
          </w:p>
          <w:p w14:paraId="50E599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②施工质量控制：管道接口采用橡胶圈密封或热熔焊接，严格按规范施工，确保管道密闭性。做好隐蔽工程记录，强化施工期防渗工程的环境监理。</w:t>
            </w:r>
          </w:p>
          <w:p w14:paraId="1CA9D4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③定期巡检维护：运营期加强管网的日常巡护检查，安排专人定期检查管道运行状况，杜绝跑、冒、滴、漏现象发生。一旦发现管道破裂，立即关闭上下游阀门，切断污水来源，组织抢修。</w:t>
            </w:r>
          </w:p>
          <w:p w14:paraId="473191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eastAsia"/>
                <w:sz w:val="24"/>
                <w:szCs w:val="24"/>
              </w:rPr>
            </w:pPr>
            <w:r>
              <w:rPr>
                <w:rFonts w:hint="eastAsia" w:ascii="Times New Roman" w:hAnsi="Times New Roman" w:eastAsia="宋体" w:cs="Times New Roman"/>
                <w:kern w:val="2"/>
                <w:sz w:val="24"/>
                <w:szCs w:val="24"/>
                <w:lang w:val="en-US" w:eastAsia="zh-CN" w:bidi="ar-SA"/>
              </w:rPr>
              <w:t>（二）</w:t>
            </w:r>
            <w:r>
              <w:rPr>
                <w:rFonts w:hint="eastAsia"/>
                <w:sz w:val="24"/>
                <w:szCs w:val="24"/>
              </w:rPr>
              <w:t>化学品泄漏防范措施</w:t>
            </w:r>
          </w:p>
          <w:p w14:paraId="3FBF27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本项目涉及的化学品主要为次氯酸钠（加药间储罐，最大存在量4.375t）、PAC、PAM、乙酸钠等，其中次氯酸钠具有腐蚀性和氧化性，为主要的风险物质。</w:t>
            </w:r>
          </w:p>
          <w:p w14:paraId="5E5A7D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①储罐区防护：次氯酸钠储罐（有效容积5m</w:t>
            </w:r>
            <w:r>
              <w:rPr>
                <w:rFonts w:hint="eastAsia"/>
                <w:sz w:val="24"/>
                <w:szCs w:val="24"/>
                <w:vertAlign w:val="superscript"/>
                <w:lang w:val="en-US" w:eastAsia="zh-CN"/>
              </w:rPr>
              <w:t>3</w:t>
            </w:r>
            <w:r>
              <w:rPr>
                <w:rFonts w:hint="eastAsia"/>
                <w:sz w:val="24"/>
                <w:szCs w:val="24"/>
              </w:rPr>
              <w:t>）设置于加药间内，罐区四周设置围堰（有效容积≥单罐容积），围堰内壁进行防腐防渗处理。围堰内设集液坑，泄漏的溶液可通过耐腐蚀泵转移至备用储罐。</w:t>
            </w:r>
          </w:p>
          <w:p w14:paraId="3CFFFE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②液位监测与报警：次氯酸钠储罐设置超声波液位计，实时监控液位变化，防止溢流。加药间设置泄漏报警系统和强制通风系统，一旦发生泄漏可及时发现并处置。</w:t>
            </w:r>
          </w:p>
          <w:p w14:paraId="2E534E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③应急</w:t>
            </w:r>
            <w:r>
              <w:rPr>
                <w:rFonts w:hint="eastAsia"/>
                <w:spacing w:val="-6"/>
                <w:sz w:val="24"/>
                <w:szCs w:val="24"/>
              </w:rPr>
              <w:t>物资配备：加药间配备耐腐蚀容器（备用储桶）、干砂（2t）、防护服、耐酸手套、防毒面具等应急物资，用于泄漏物的收容和现场人员防护。</w:t>
            </w:r>
          </w:p>
          <w:p w14:paraId="17741F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④操</w:t>
            </w:r>
            <w:r>
              <w:rPr>
                <w:rFonts w:hint="eastAsia"/>
                <w:spacing w:val="-6"/>
                <w:sz w:val="24"/>
                <w:szCs w:val="24"/>
              </w:rPr>
              <w:t>作规程：次氯酸钠等化学品的装卸、配制和使用严格按操作规程执行，操作人员须经专业培训。化学品储存区域设置安全警示标志，严禁无关人员进入。</w:t>
            </w:r>
          </w:p>
          <w:p w14:paraId="17ACDF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eastAsia"/>
                <w:sz w:val="24"/>
                <w:szCs w:val="24"/>
              </w:rPr>
            </w:pPr>
            <w:r>
              <w:rPr>
                <w:rFonts w:hint="eastAsia" w:ascii="Times New Roman" w:hAnsi="Times New Roman" w:eastAsia="宋体" w:cs="Times New Roman"/>
                <w:kern w:val="2"/>
                <w:sz w:val="24"/>
                <w:szCs w:val="24"/>
                <w:lang w:val="en-US" w:eastAsia="zh-CN" w:bidi="ar-SA"/>
              </w:rPr>
              <w:t>（三）</w:t>
            </w:r>
            <w:r>
              <w:rPr>
                <w:rFonts w:hint="eastAsia"/>
                <w:sz w:val="24"/>
                <w:szCs w:val="24"/>
              </w:rPr>
              <w:t>危险废物泄漏防范措施</w:t>
            </w:r>
          </w:p>
          <w:p w14:paraId="672D3E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①危废贮存点规范建设：本项目危废贮存点位于脱水机房一层，面积约15m</w:t>
            </w:r>
            <w:r>
              <w:rPr>
                <w:rFonts w:hint="eastAsia"/>
                <w:sz w:val="24"/>
                <w:szCs w:val="24"/>
                <w:vertAlign w:val="superscript"/>
                <w:lang w:val="en-US" w:eastAsia="zh-CN"/>
              </w:rPr>
              <w:t>2</w:t>
            </w:r>
            <w:r>
              <w:rPr>
                <w:rFonts w:hint="eastAsia"/>
                <w:sz w:val="24"/>
                <w:szCs w:val="24"/>
              </w:rPr>
              <w:t>，按</w:t>
            </w:r>
            <w:r>
              <w:rPr>
                <w:rFonts w:hint="eastAsia"/>
                <w:spacing w:val="-6"/>
                <w:sz w:val="24"/>
                <w:szCs w:val="24"/>
              </w:rPr>
              <w:t>照《危险废物贮存污染控制标准》（GB18597-2023）要求建设，做到“防风、防晒、防雨、防漏、防渗、防腐”。液态危废贮存区设置围堰（有效容积≥单桶容积），地面及墙裙进行防渗处理（渗透系数K≤1.0×10</w:t>
            </w:r>
            <w:r>
              <w:rPr>
                <w:rFonts w:hint="eastAsia"/>
                <w:spacing w:val="-6"/>
                <w:sz w:val="24"/>
                <w:szCs w:val="24"/>
                <w:vertAlign w:val="superscript"/>
                <w:lang w:val="en-US" w:eastAsia="zh-CN"/>
              </w:rPr>
              <w:t>-10</w:t>
            </w:r>
            <w:r>
              <w:rPr>
                <w:rFonts w:hint="eastAsia"/>
                <w:spacing w:val="-6"/>
                <w:sz w:val="24"/>
                <w:szCs w:val="24"/>
              </w:rPr>
              <w:t>cm/s）。</w:t>
            </w:r>
          </w:p>
          <w:p w14:paraId="729900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②分区存放：废机油（HW08，液态）、化验废液（HW49，液态）、含油废抹布（HW08，固态）分区存放，不相容的危险废物禁止混装。液态危废采用专用密闭容器盛装，容器下方设置防渗托盘。</w:t>
            </w:r>
          </w:p>
          <w:p w14:paraId="2CC7AB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③定</w:t>
            </w:r>
            <w:r>
              <w:rPr>
                <w:rFonts w:hint="eastAsia"/>
                <w:spacing w:val="-6"/>
                <w:sz w:val="24"/>
                <w:szCs w:val="24"/>
              </w:rPr>
              <w:t>期检查：定期检查危废贮存容器的完好性，发现破损立即更换。危废贮存点设专人管理，建立出入库台账，记录危险废物的种类、数量、流向等信息。</w:t>
            </w:r>
          </w:p>
          <w:p w14:paraId="2BCDEB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④泄漏应急处置：危废贮存点内配备吸油毡（50kg）、干砂、耐腐蚀容器等应急物资。发生泄漏时，立即将破损容器内剩余物料转移至完好容器，泄漏物用吸油毡或干砂吸附，收集后作为危险废物交有资质单位处置。</w:t>
            </w:r>
          </w:p>
          <w:p w14:paraId="134456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eastAsia"/>
                <w:sz w:val="24"/>
                <w:szCs w:val="24"/>
              </w:rPr>
            </w:pPr>
            <w:r>
              <w:rPr>
                <w:rFonts w:hint="eastAsia" w:ascii="Times New Roman" w:hAnsi="Times New Roman" w:eastAsia="宋体" w:cs="Times New Roman"/>
                <w:kern w:val="2"/>
                <w:sz w:val="24"/>
                <w:szCs w:val="24"/>
                <w:lang w:val="en-US" w:eastAsia="zh-CN" w:bidi="ar-SA"/>
              </w:rPr>
              <w:t>（四）</w:t>
            </w:r>
            <w:r>
              <w:rPr>
                <w:rFonts w:hint="eastAsia"/>
                <w:sz w:val="24"/>
                <w:szCs w:val="24"/>
              </w:rPr>
              <w:t>恶臭气体事故排放防范措施</w:t>
            </w:r>
          </w:p>
          <w:p w14:paraId="6AE6F8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①设备备用：除臭系统关键设备（风机、循环水泵等）均配置备用机组，确保单台设备故障时系统仍可正常运行。</w:t>
            </w:r>
          </w:p>
          <w:p w14:paraId="162EA4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②定期维护：制定除臭设备维护保养计划，定期检查风机、管道、喷淋系统等的运行状态，建立设备运行台账，发现异常立即检修。</w:t>
            </w:r>
          </w:p>
          <w:p w14:paraId="37D44C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③人员培训：对操作人员进行专项培训，使其熟练掌握除臭系统的操作规程和故障判断方法。一旦发生事故性排放，立即启动备用设施，同时向生态环境主管部门报告。</w:t>
            </w:r>
          </w:p>
          <w:p w14:paraId="67B29F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eastAsia"/>
                <w:sz w:val="24"/>
                <w:szCs w:val="24"/>
              </w:rPr>
            </w:pPr>
            <w:r>
              <w:rPr>
                <w:rFonts w:hint="eastAsia" w:ascii="Times New Roman" w:hAnsi="Times New Roman" w:eastAsia="宋体" w:cs="Times New Roman"/>
                <w:kern w:val="2"/>
                <w:sz w:val="24"/>
                <w:szCs w:val="24"/>
                <w:lang w:val="en-US" w:eastAsia="zh-CN" w:bidi="ar-SA"/>
              </w:rPr>
              <w:t>（五）</w:t>
            </w:r>
            <w:r>
              <w:rPr>
                <w:rFonts w:hint="eastAsia"/>
                <w:sz w:val="24"/>
                <w:szCs w:val="24"/>
              </w:rPr>
              <w:t>防渗与地下水保护措施</w:t>
            </w:r>
          </w:p>
          <w:p w14:paraId="246BAD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①分区防渗：严格按照分区防控措施的要求，对重点防渗区（调节池、生物池、二沉池、高效沉淀池、危废贮存点、加药间等）和一般防渗区进行分类防渗处理，防渗性能满足相应标准要求。</w:t>
            </w:r>
          </w:p>
          <w:p w14:paraId="737E2B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地下水监控：依托一期工程已建的3眼地下水监控井，定期开展地下水跟踪监测（每年1次），监测因子包括pH、氨氮、耗氧量、总硬度、溶解性总固体、硫酸盐、氯化物等。一旦发现监测数据异常，立即排查污染源并采取补救措施。</w:t>
            </w:r>
          </w:p>
          <w:p w14:paraId="35BF6C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eastAsia"/>
                <w:sz w:val="24"/>
                <w:szCs w:val="24"/>
              </w:rPr>
            </w:pPr>
            <w:r>
              <w:rPr>
                <w:rFonts w:hint="eastAsia" w:ascii="Times New Roman" w:hAnsi="Times New Roman" w:eastAsia="宋体" w:cs="Times New Roman"/>
                <w:kern w:val="2"/>
                <w:sz w:val="24"/>
                <w:szCs w:val="24"/>
                <w:lang w:val="en-US" w:eastAsia="zh-CN" w:bidi="ar-SA"/>
              </w:rPr>
              <w:t>（六）</w:t>
            </w:r>
            <w:r>
              <w:rPr>
                <w:rFonts w:hint="eastAsia"/>
                <w:sz w:val="24"/>
                <w:szCs w:val="24"/>
              </w:rPr>
              <w:t>尾水回用事故防范措施</w:t>
            </w:r>
          </w:p>
          <w:p w14:paraId="6DD8B6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本项目尾水全部回用，不外排。为确保非灌溉期尾水得到有效消纳，提出以下保障措施：</w:t>
            </w:r>
          </w:p>
          <w:p w14:paraId="6BC4F7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FF0000"/>
                <w:sz w:val="24"/>
                <w:szCs w:val="24"/>
                <w:highlight w:val="yellow"/>
              </w:rPr>
            </w:pPr>
            <w:r>
              <w:rPr>
                <w:rFonts w:hint="eastAsia" w:ascii="Times New Roman" w:hAnsi="Times New Roman" w:eastAsia="宋体" w:cs="Times New Roman"/>
                <w:sz w:val="24"/>
                <w:szCs w:val="24"/>
                <w:highlight w:val="none"/>
                <w:lang w:eastAsia="zh-CN"/>
              </w:rPr>
              <w:t>①</w:t>
            </w:r>
            <w:r>
              <w:rPr>
                <w:rFonts w:hint="eastAsia"/>
                <w:sz w:val="24"/>
                <w:szCs w:val="24"/>
                <w:lang w:eastAsia="zh-CN"/>
              </w:rPr>
              <w:t>中水库调蓄：</w:t>
            </w:r>
            <w:r>
              <w:rPr>
                <w:rFonts w:hint="default"/>
                <w:sz w:val="24"/>
                <w:szCs w:val="24"/>
                <w:lang w:eastAsia="zh-CN"/>
              </w:rPr>
              <w:t>依托厂区</w:t>
            </w:r>
            <w:r>
              <w:rPr>
                <w:rFonts w:hint="eastAsia"/>
                <w:sz w:val="24"/>
                <w:szCs w:val="24"/>
                <w:lang w:val="en-US" w:eastAsia="zh-CN"/>
              </w:rPr>
              <w:t>东北</w:t>
            </w:r>
            <w:r>
              <w:rPr>
                <w:rFonts w:hint="default"/>
                <w:sz w:val="24"/>
                <w:szCs w:val="24"/>
                <w:lang w:eastAsia="zh-CN"/>
              </w:rPr>
              <w:t>侧</w:t>
            </w:r>
            <w:r>
              <w:rPr>
                <w:rFonts w:hint="eastAsia"/>
                <w:sz w:val="24"/>
                <w:szCs w:val="24"/>
                <w:lang w:val="en-US" w:eastAsia="zh-CN"/>
              </w:rPr>
              <w:t>3.35</w:t>
            </w:r>
            <w:r>
              <w:rPr>
                <w:rFonts w:hint="default"/>
                <w:sz w:val="24"/>
                <w:szCs w:val="24"/>
                <w:lang w:eastAsia="zh-CN"/>
              </w:rPr>
              <w:t>km处的</w:t>
            </w:r>
            <w:r>
              <w:rPr>
                <w:rFonts w:hint="eastAsia"/>
                <w:sz w:val="24"/>
                <w:szCs w:val="24"/>
                <w:lang w:val="en-US" w:eastAsia="zh-CN"/>
              </w:rPr>
              <w:t>现状</w:t>
            </w:r>
            <w:r>
              <w:rPr>
                <w:rFonts w:hint="default"/>
                <w:sz w:val="24"/>
                <w:szCs w:val="24"/>
                <w:lang w:eastAsia="zh-CN"/>
              </w:rPr>
              <w:t>中水库（</w:t>
            </w:r>
            <w:r>
              <w:rPr>
                <w:rFonts w:hint="eastAsia"/>
                <w:sz w:val="24"/>
                <w:szCs w:val="24"/>
                <w:lang w:eastAsia="zh-CN"/>
              </w:rPr>
              <w:t>有效库容3万m</w:t>
            </w:r>
            <w:r>
              <w:rPr>
                <w:rFonts w:hint="eastAsia"/>
                <w:sz w:val="24"/>
                <w:szCs w:val="24"/>
                <w:vertAlign w:val="superscript"/>
                <w:lang w:val="en-US" w:eastAsia="zh-CN"/>
              </w:rPr>
              <w:t>3</w:t>
            </w:r>
            <w:r>
              <w:rPr>
                <w:rFonts w:hint="default"/>
                <w:sz w:val="24"/>
                <w:szCs w:val="24"/>
                <w:lang w:eastAsia="zh-CN"/>
              </w:rPr>
              <w:t>），非灌溉期（90天）全厂尾水产生量为3000m</w:t>
            </w:r>
            <w:r>
              <w:rPr>
                <w:rFonts w:hint="eastAsia"/>
                <w:sz w:val="24"/>
                <w:szCs w:val="24"/>
                <w:vertAlign w:val="superscript"/>
                <w:lang w:val="en-US" w:eastAsia="zh-CN"/>
              </w:rPr>
              <w:t>3</w:t>
            </w:r>
            <w:r>
              <w:rPr>
                <w:rFonts w:hint="default"/>
                <w:sz w:val="24"/>
                <w:szCs w:val="24"/>
                <w:lang w:eastAsia="zh-CN"/>
              </w:rPr>
              <w:t>/d×90d=27万m</w:t>
            </w:r>
            <w:r>
              <w:rPr>
                <w:rFonts w:hint="eastAsia"/>
                <w:sz w:val="24"/>
                <w:szCs w:val="24"/>
                <w:vertAlign w:val="superscript"/>
                <w:lang w:val="en-US" w:eastAsia="zh-CN"/>
              </w:rPr>
              <w:t>3</w:t>
            </w:r>
            <w:r>
              <w:rPr>
                <w:rFonts w:hint="default"/>
                <w:sz w:val="24"/>
                <w:szCs w:val="24"/>
                <w:lang w:eastAsia="zh-CN"/>
              </w:rPr>
              <w:t>，3万m</w:t>
            </w:r>
            <w:r>
              <w:rPr>
                <w:rFonts w:hint="eastAsia"/>
                <w:sz w:val="24"/>
                <w:szCs w:val="24"/>
                <w:vertAlign w:val="superscript"/>
                <w:lang w:val="en-US" w:eastAsia="zh-CN"/>
              </w:rPr>
              <w:t>3</w:t>
            </w:r>
            <w:r>
              <w:rPr>
                <w:rFonts w:hint="default"/>
                <w:sz w:val="24"/>
                <w:szCs w:val="24"/>
                <w:lang w:eastAsia="zh-CN"/>
              </w:rPr>
              <w:t>中水库不作为全部尾水的储存容器，主要起水量调峰缓冲作用。非灌溉期尾水优先用于</w:t>
            </w:r>
            <w:r>
              <w:rPr>
                <w:rFonts w:hint="eastAsia"/>
                <w:sz w:val="24"/>
                <w:szCs w:val="24"/>
                <w:lang w:val="en-US" w:eastAsia="zh-CN"/>
              </w:rPr>
              <w:t>企业回用</w:t>
            </w:r>
            <w:r>
              <w:rPr>
                <w:rFonts w:hint="default"/>
                <w:sz w:val="24"/>
                <w:szCs w:val="24"/>
                <w:lang w:eastAsia="zh-CN"/>
              </w:rPr>
              <w:t>，水库仅调节短期水量波动，回用消纳</w:t>
            </w:r>
            <w:r>
              <w:rPr>
                <w:rFonts w:hint="eastAsia"/>
                <w:sz w:val="24"/>
                <w:szCs w:val="24"/>
                <w:lang w:val="en-US" w:eastAsia="zh-CN"/>
              </w:rPr>
              <w:t>+</w:t>
            </w:r>
            <w:r>
              <w:rPr>
                <w:rFonts w:hint="default"/>
                <w:sz w:val="24"/>
                <w:szCs w:val="24"/>
                <w:lang w:eastAsia="zh-CN"/>
              </w:rPr>
              <w:t>调蓄模式可保障非灌溉期尾水不外排。污水处理厂处理等级采用深度处理，出水达到一级</w:t>
            </w:r>
            <w:r>
              <w:rPr>
                <w:rFonts w:hint="default"/>
                <w:sz w:val="24"/>
                <w:szCs w:val="24"/>
                <w:lang w:val="en-US" w:eastAsia="zh-CN"/>
              </w:rPr>
              <w:t>A</w:t>
            </w:r>
            <w:r>
              <w:rPr>
                <w:rFonts w:hint="default"/>
                <w:sz w:val="24"/>
                <w:szCs w:val="24"/>
                <w:lang w:eastAsia="zh-CN"/>
              </w:rPr>
              <w:t>标准，</w:t>
            </w:r>
            <w:r>
              <w:rPr>
                <w:rFonts w:hint="default"/>
                <w:sz w:val="24"/>
                <w:szCs w:val="24"/>
                <w:lang w:val="en-US" w:eastAsia="zh-CN"/>
              </w:rPr>
              <w:t>回用水达到《炼油化工企业污水回用管理导则》中初级再生水标准后</w:t>
            </w:r>
            <w:r>
              <w:rPr>
                <w:rFonts w:hint="default"/>
                <w:sz w:val="24"/>
                <w:szCs w:val="24"/>
                <w:lang w:eastAsia="zh-CN"/>
              </w:rPr>
              <w:t>，</w:t>
            </w:r>
            <w:r>
              <w:rPr>
                <w:rFonts w:hint="default"/>
                <w:sz w:val="24"/>
                <w:szCs w:val="24"/>
                <w:lang w:val="en-US" w:eastAsia="zh-CN"/>
              </w:rPr>
              <w:t>用</w:t>
            </w:r>
            <w:r>
              <w:rPr>
                <w:rFonts w:hint="default"/>
                <w:sz w:val="24"/>
                <w:szCs w:val="24"/>
                <w:lang w:eastAsia="zh-CN"/>
              </w:rPr>
              <w:t>于企业</w:t>
            </w:r>
            <w:r>
              <w:rPr>
                <w:rFonts w:hint="default"/>
                <w:sz w:val="24"/>
                <w:szCs w:val="24"/>
                <w:lang w:val="en-US" w:eastAsia="zh-CN"/>
              </w:rPr>
              <w:t>回用</w:t>
            </w:r>
            <w:r>
              <w:rPr>
                <w:rFonts w:hint="default"/>
                <w:sz w:val="24"/>
                <w:szCs w:val="24"/>
                <w:lang w:eastAsia="zh-CN"/>
              </w:rPr>
              <w:t>生产、绿化、</w:t>
            </w:r>
            <w:r>
              <w:rPr>
                <w:rFonts w:hint="default"/>
                <w:sz w:val="24"/>
                <w:szCs w:val="24"/>
                <w:lang w:val="en-US" w:eastAsia="zh-CN"/>
              </w:rPr>
              <w:t>湿地灌溉</w:t>
            </w:r>
            <w:r>
              <w:rPr>
                <w:rFonts w:hint="default"/>
                <w:sz w:val="24"/>
                <w:szCs w:val="24"/>
                <w:lang w:eastAsia="zh-CN"/>
              </w:rPr>
              <w:t>。冬季绿化用水减少时</w:t>
            </w:r>
            <w:r>
              <w:rPr>
                <w:rFonts w:hint="default"/>
                <w:sz w:val="24"/>
                <w:szCs w:val="24"/>
                <w:lang w:val="en-US" w:eastAsia="zh-CN"/>
              </w:rPr>
              <w:t>加大企业</w:t>
            </w:r>
            <w:r>
              <w:rPr>
                <w:rFonts w:hint="default"/>
                <w:sz w:val="24"/>
                <w:szCs w:val="24"/>
                <w:lang w:eastAsia="zh-CN"/>
              </w:rPr>
              <w:t>中水</w:t>
            </w:r>
            <w:r>
              <w:rPr>
                <w:rFonts w:hint="default"/>
                <w:sz w:val="24"/>
                <w:szCs w:val="24"/>
                <w:lang w:val="en-US" w:eastAsia="zh-CN"/>
              </w:rPr>
              <w:t>回用比例，也</w:t>
            </w:r>
            <w:r>
              <w:rPr>
                <w:rFonts w:hint="default"/>
                <w:sz w:val="24"/>
                <w:szCs w:val="24"/>
                <w:lang w:eastAsia="zh-CN"/>
              </w:rPr>
              <w:t>可</w:t>
            </w:r>
            <w:r>
              <w:rPr>
                <w:rFonts w:hint="default"/>
                <w:sz w:val="24"/>
                <w:szCs w:val="24"/>
                <w:lang w:val="en-US" w:eastAsia="zh-CN"/>
              </w:rPr>
              <w:t>排入园区规划的中水库。</w:t>
            </w:r>
          </w:p>
          <w:p w14:paraId="289125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②回用协议：建设单位应在项目投产前与园区绿化管理部门及具备再生水消纳能力的园区企业签订中水回用意向协议，明确非灌溉期尾水接收量、接收时段及水质要求。</w:t>
            </w:r>
          </w:p>
          <w:p w14:paraId="702780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③应急预案：编制《尾水回用应急处置预案》，针对园区企业因检修、停产等原因暂停接收中水、中水库库容不足等情形制定应急措施，明确处置流程和责任人。</w:t>
            </w:r>
          </w:p>
          <w:p w14:paraId="53BEB2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eastAsia"/>
                <w:sz w:val="24"/>
                <w:szCs w:val="24"/>
              </w:rPr>
            </w:pPr>
            <w:r>
              <w:rPr>
                <w:rFonts w:hint="eastAsia" w:ascii="Times New Roman" w:hAnsi="Times New Roman" w:eastAsia="宋体" w:cs="Times New Roman"/>
                <w:kern w:val="2"/>
                <w:sz w:val="24"/>
                <w:szCs w:val="24"/>
                <w:lang w:val="en-US" w:eastAsia="zh-CN" w:bidi="ar-SA"/>
              </w:rPr>
              <w:t>（七）</w:t>
            </w:r>
            <w:r>
              <w:rPr>
                <w:rFonts w:hint="eastAsia"/>
                <w:sz w:val="24"/>
                <w:szCs w:val="24"/>
              </w:rPr>
              <w:t>环境风险管理与培训</w:t>
            </w:r>
          </w:p>
          <w:p w14:paraId="00D905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①编制突发环境事件应急预案：本项目建成后，建设单位应按照《企业事业单位突发环境事件应急预案备案管理办法（试行）》（环发〔2015〕4号）要</w:t>
            </w:r>
            <w:r>
              <w:rPr>
                <w:rFonts w:hint="eastAsia"/>
                <w:spacing w:val="-6"/>
                <w:sz w:val="24"/>
                <w:szCs w:val="24"/>
              </w:rPr>
              <w:t>求，编制突发环境事件应急预案，明确风险事故的响应程序、应急组织、应急措施和应急监测等内容，并报生态环境主管部门备案。预案应体现分级响应、区域联动的原则，与园区及地方政府的突发环境事件应急预案相衔接。</w:t>
            </w:r>
          </w:p>
          <w:p w14:paraId="0BF4010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②应急演练：每年至少组织一次突发环境事件应急演练，检验预案的可操作性，提高员工应急处置能力。演练结束后及时总结评估，对预案进行修订完善。</w:t>
            </w:r>
          </w:p>
          <w:p w14:paraId="1031E3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sz w:val="24"/>
                <w:szCs w:val="24"/>
                <w:lang w:val="en-US" w:eastAsia="zh-CN"/>
              </w:rPr>
            </w:pPr>
            <w:r>
              <w:rPr>
                <w:rFonts w:hint="eastAsia"/>
                <w:sz w:val="24"/>
                <w:szCs w:val="24"/>
              </w:rPr>
              <w:t>③应急物资管理：定期检查应急物资（吸油毡、干砂、防毒面具、耐酸手套、便携式H</w:t>
            </w:r>
            <w:r>
              <w:rPr>
                <w:rFonts w:hint="eastAsia"/>
                <w:sz w:val="24"/>
                <w:szCs w:val="24"/>
                <w:vertAlign w:val="subscript"/>
                <w:lang w:val="en-US" w:eastAsia="zh-CN"/>
              </w:rPr>
              <w:t>2</w:t>
            </w:r>
            <w:r>
              <w:rPr>
                <w:rFonts w:hint="eastAsia"/>
                <w:sz w:val="24"/>
                <w:szCs w:val="24"/>
              </w:rPr>
              <w:t>S</w:t>
            </w:r>
            <w:r>
              <w:rPr>
                <w:rFonts w:hint="eastAsia"/>
                <w:sz w:val="24"/>
                <w:szCs w:val="24"/>
                <w:lang w:val="en-US" w:eastAsia="zh-CN"/>
              </w:rPr>
              <w:t>、</w:t>
            </w:r>
            <w:r>
              <w:rPr>
                <w:rFonts w:hint="eastAsia"/>
                <w:sz w:val="24"/>
                <w:szCs w:val="24"/>
              </w:rPr>
              <w:t>NH</w:t>
            </w:r>
            <w:r>
              <w:rPr>
                <w:rFonts w:hint="eastAsia"/>
                <w:sz w:val="24"/>
                <w:szCs w:val="24"/>
                <w:vertAlign w:val="subscript"/>
                <w:lang w:val="en-US" w:eastAsia="zh-CN"/>
              </w:rPr>
              <w:t>3</w:t>
            </w:r>
            <w:r>
              <w:rPr>
                <w:rFonts w:hint="eastAsia"/>
                <w:sz w:val="24"/>
                <w:szCs w:val="24"/>
              </w:rPr>
              <w:t>检测仪等）的数量和完好性，及时补充和更新，确保应急状态下可随时调用。</w:t>
            </w:r>
          </w:p>
          <w:p w14:paraId="7ABC0F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rPr>
              <w:t>④培训制度：建立环保培训制度，对全体员工进行风险防范意识和应急处置技能培训，重点岗位人员须持证上岗。新员工上岗前必须经过风险防范和应急知识培训。</w:t>
            </w:r>
          </w:p>
          <w:p w14:paraId="3085E3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2.</w:t>
            </w:r>
            <w:r>
              <w:rPr>
                <w:rFonts w:hint="eastAsia"/>
                <w:sz w:val="24"/>
                <w:szCs w:val="24"/>
              </w:rPr>
              <w:t>6.4应急措施</w:t>
            </w:r>
          </w:p>
          <w:p w14:paraId="15D3E0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（一）进水水质异常应急措施</w:t>
            </w:r>
          </w:p>
          <w:p w14:paraId="40E699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1.发现与报告</w:t>
            </w:r>
          </w:p>
          <w:p w14:paraId="593B94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当班人员发现进水在线监控系统显示进水超标（COD、氨氮、总磷、pH等指标异常），或进水颜色、气味出现异常时，值班人员应立即取瞬时水样进行监测核实，按水样保存方法保存两组平行水样，并留存现场情况照片和录像；同时立即向运行经理和厂长报告，组织人员到上游管网取样排查。</w:t>
            </w:r>
          </w:p>
          <w:p w14:paraId="498C61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2.轻微超标处置</w:t>
            </w:r>
          </w:p>
          <w:p w14:paraId="1FDB6D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当进水COD、SS、氨氮、总磷、TN等指标轻微超标时：COD超标：提高生物池对有机负荷的去除率，加强溶解氧监测，增加供气量；提高生物池污泥浓度。氨氮超标：调整生物池工艺运行，加大曝气量，提高污泥浓度，减少剩余污泥排放量。总磷超标：调整生物池工艺运行，优先通过生物除磷方式除磷，不足部分通过化学除磷（加大PAC投加量）去除。SS超标：加大沉淀池排泥量，加大生物系统外回流比，调整深度处理单元药剂投加量。总氮超标：增加碳源（乙酸钠）投加量。</w:t>
            </w:r>
          </w:p>
          <w:p w14:paraId="3AC0CB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3.严重超标处置</w:t>
            </w:r>
          </w:p>
          <w:p w14:paraId="6D007E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当进水水质严重超标（如pH&gt;10或pH&lt;6），可能对生化系统造成毁灭性冲击时：</w:t>
            </w:r>
          </w:p>
          <w:p w14:paraId="7B7E29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①立即向上级生态环境部门电话汇报严重超标情况；</w:t>
            </w:r>
          </w:p>
          <w:p w14:paraId="438FBB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w:t>
            </w:r>
            <w:r>
              <w:rPr>
                <w:rFonts w:hint="eastAsia"/>
                <w:sz w:val="24"/>
                <w:szCs w:val="24"/>
                <w:lang w:val="en-US" w:eastAsia="zh-CN"/>
              </w:rPr>
              <w:t>在</w:t>
            </w:r>
            <w:r>
              <w:rPr>
                <w:rFonts w:hint="eastAsia"/>
                <w:sz w:val="24"/>
                <w:szCs w:val="24"/>
              </w:rPr>
              <w:t>上级</w:t>
            </w:r>
            <w:r>
              <w:rPr>
                <w:rFonts w:hint="eastAsia"/>
                <w:sz w:val="24"/>
                <w:szCs w:val="24"/>
                <w:lang w:val="en-US" w:eastAsia="zh-CN"/>
              </w:rPr>
              <w:t>主管</w:t>
            </w:r>
            <w:r>
              <w:rPr>
                <w:rFonts w:hint="eastAsia"/>
                <w:sz w:val="24"/>
                <w:szCs w:val="24"/>
              </w:rPr>
              <w:t>部门</w:t>
            </w:r>
            <w:r>
              <w:rPr>
                <w:rFonts w:hint="eastAsia"/>
                <w:sz w:val="24"/>
                <w:szCs w:val="24"/>
                <w:lang w:val="en-US" w:eastAsia="zh-CN"/>
              </w:rPr>
              <w:t>的安排下</w:t>
            </w:r>
            <w:r>
              <w:rPr>
                <w:rFonts w:hint="eastAsia"/>
                <w:sz w:val="24"/>
                <w:szCs w:val="24"/>
              </w:rPr>
              <w:t>关闭进水阀门，停止进水；</w:t>
            </w:r>
          </w:p>
          <w:p w14:paraId="0B4B1C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③待进水水质恢复正常后，将</w:t>
            </w:r>
            <w:r>
              <w:rPr>
                <w:rFonts w:hint="eastAsia"/>
                <w:sz w:val="24"/>
                <w:szCs w:val="24"/>
                <w:lang w:eastAsia="zh-CN"/>
              </w:rPr>
              <w:t>调节池</w:t>
            </w:r>
            <w:r>
              <w:rPr>
                <w:rFonts w:hint="eastAsia"/>
                <w:sz w:val="24"/>
                <w:szCs w:val="24"/>
              </w:rPr>
              <w:t>中废水分批次送入处理系统处理；</w:t>
            </w:r>
          </w:p>
          <w:p w14:paraId="21064C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④事故结束后向生态环境部门书面报告事故情况。</w:t>
            </w:r>
          </w:p>
          <w:p w14:paraId="7DC633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p>
          <w:p w14:paraId="0BD231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p>
          <w:p w14:paraId="496FCF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p>
          <w:p w14:paraId="0494F6F0">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（二）出水水质超标应急措施</w:t>
            </w:r>
          </w:p>
          <w:p w14:paraId="6ED405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1.发现与报告</w:t>
            </w:r>
          </w:p>
          <w:p w14:paraId="610CD7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当中控室在线监测系统显示出水水质超标时，立即向厂长和生态环境部门报告。</w:t>
            </w:r>
          </w:p>
          <w:p w14:paraId="6687D8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2.应急处置</w:t>
            </w:r>
          </w:p>
          <w:p w14:paraId="33F0FA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①立即关闭再生水回用阀门，将不达标废水引入</w:t>
            </w:r>
            <w:r>
              <w:rPr>
                <w:rFonts w:hint="eastAsia"/>
                <w:sz w:val="24"/>
                <w:szCs w:val="24"/>
                <w:lang w:eastAsia="zh-CN"/>
              </w:rPr>
              <w:t>调节池</w:t>
            </w:r>
            <w:r>
              <w:rPr>
                <w:rFonts w:hint="eastAsia"/>
                <w:sz w:val="24"/>
                <w:szCs w:val="24"/>
              </w:rPr>
              <w:t>暂存；</w:t>
            </w:r>
          </w:p>
          <w:p w14:paraId="58A93E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②排查出水水质超标原因（进水水质异常、设备故障、工艺参数不当等）；</w:t>
            </w:r>
          </w:p>
          <w:p w14:paraId="11D905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③根据超标原因采取针对性措施：调整工艺运行参数、加大曝气量、增加药剂投加量等；</w:t>
            </w:r>
          </w:p>
          <w:p w14:paraId="42BCBF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④待系统恢复正常、出水水质达标后，将</w:t>
            </w:r>
            <w:r>
              <w:rPr>
                <w:rFonts w:hint="eastAsia"/>
                <w:sz w:val="24"/>
                <w:szCs w:val="24"/>
                <w:lang w:eastAsia="zh-CN"/>
              </w:rPr>
              <w:t>调节池</w:t>
            </w:r>
            <w:r>
              <w:rPr>
                <w:rFonts w:hint="eastAsia"/>
                <w:sz w:val="24"/>
                <w:szCs w:val="24"/>
              </w:rPr>
              <w:t>废水分批处理；</w:t>
            </w:r>
          </w:p>
          <w:p w14:paraId="1105D6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⑤通知中水用户暂停取水。</w:t>
            </w:r>
          </w:p>
          <w:p w14:paraId="384C5E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（三）设备故障及停电应急措施</w:t>
            </w:r>
          </w:p>
          <w:p w14:paraId="782343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1.设备故障</w:t>
            </w:r>
          </w:p>
          <w:p w14:paraId="166F94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①立即启动备用设备（关键设备均按“一用一备”或“n用1备”配置）；</w:t>
            </w:r>
          </w:p>
          <w:p w14:paraId="7FAFEB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②关闭进水阀门，利用调节池（有效容积约910m³，停留时间7.28h）暂存来水；</w:t>
            </w:r>
          </w:p>
          <w:p w14:paraId="4A42D5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③组织维修人员对故障设备进行抢修。</w:t>
            </w:r>
          </w:p>
          <w:p w14:paraId="2828A0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2.停电</w:t>
            </w:r>
          </w:p>
          <w:p w14:paraId="54461B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①立即倒闸切换至备用电源（本项目采用双路10kV电源供电）；</w:t>
            </w:r>
          </w:p>
          <w:p w14:paraId="1210FA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②若双路电源均无法供电，立即启用备用发电机组；</w:t>
            </w:r>
          </w:p>
          <w:p w14:paraId="4D3F46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③组织人员对各蓄水池进行人工水位观测，确保容水能力；</w:t>
            </w:r>
          </w:p>
          <w:p w14:paraId="59CB73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④必要时通知上游泵站停止进水；</w:t>
            </w:r>
          </w:p>
          <w:p w14:paraId="467C8F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⑤来电后按操作规程依次开启设备，恢复运行；</w:t>
            </w:r>
          </w:p>
          <w:p w14:paraId="4C54A9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⑥长时间停电可能导致生物菌种死亡、污泥活性降低，来电后应加大生化池曝气量，尽快恢复活性污泥活性。</w:t>
            </w:r>
          </w:p>
          <w:p w14:paraId="00BAD2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p>
          <w:p w14:paraId="6ED6AA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p>
          <w:p w14:paraId="6E1845E7">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sz w:val="24"/>
                <w:szCs w:val="24"/>
              </w:rPr>
            </w:pPr>
            <w:r>
              <w:rPr>
                <w:rFonts w:hint="eastAsia"/>
                <w:sz w:val="24"/>
                <w:szCs w:val="24"/>
              </w:rPr>
              <w:t>（四）化学品泄漏应急措施</w:t>
            </w:r>
          </w:p>
          <w:p w14:paraId="59D2BA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1.次氯酸钠泄漏</w:t>
            </w:r>
          </w:p>
          <w:p w14:paraId="28F590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①立即停止次氯酸钠投加泵运行，关闭储罐出口阀门；</w:t>
            </w:r>
          </w:p>
          <w:p w14:paraId="31D28B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②划定警戒区域，疏散无关人员，禁止明火；</w:t>
            </w:r>
          </w:p>
          <w:p w14:paraId="306EE7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③现场人员穿戴防护服、耐酸手套、防毒面具等防护装备；</w:t>
            </w:r>
          </w:p>
          <w:p w14:paraId="61A183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④利用围堰（有效容积≥单罐容积）收容泄漏溶液，用耐腐蚀泵转移至备用储罐；</w:t>
            </w:r>
          </w:p>
          <w:p w14:paraId="5CC3F4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⑤少量泄漏用干砂吸附，大量泄漏用沙袋围堵后收集；</w:t>
            </w:r>
          </w:p>
          <w:p w14:paraId="07201D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⑥对受污染地面用大量清水冲洗稀释，冲洗废水收集后排入</w:t>
            </w:r>
            <w:r>
              <w:rPr>
                <w:rFonts w:hint="eastAsia"/>
                <w:sz w:val="24"/>
                <w:szCs w:val="24"/>
                <w:lang w:eastAsia="zh-CN"/>
              </w:rPr>
              <w:t>调节池</w:t>
            </w:r>
            <w:r>
              <w:rPr>
                <w:rFonts w:hint="eastAsia"/>
                <w:sz w:val="24"/>
                <w:szCs w:val="24"/>
              </w:rPr>
              <w:t>；</w:t>
            </w:r>
          </w:p>
          <w:p w14:paraId="41CAC8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⑦环境监测人员对周边空气（H</w:t>
            </w:r>
            <w:r>
              <w:rPr>
                <w:rFonts w:hint="eastAsia"/>
                <w:sz w:val="24"/>
                <w:szCs w:val="24"/>
                <w:vertAlign w:val="subscript"/>
                <w:lang w:val="en-US" w:eastAsia="zh-CN"/>
              </w:rPr>
              <w:t>2</w:t>
            </w:r>
            <w:r>
              <w:rPr>
                <w:rFonts w:hint="eastAsia"/>
                <w:sz w:val="24"/>
                <w:szCs w:val="24"/>
              </w:rPr>
              <w:t>S、Cl</w:t>
            </w:r>
            <w:r>
              <w:rPr>
                <w:rFonts w:hint="eastAsia"/>
                <w:sz w:val="24"/>
                <w:szCs w:val="24"/>
                <w:vertAlign w:val="subscript"/>
                <w:lang w:val="en-US" w:eastAsia="zh-CN"/>
              </w:rPr>
              <w:t>2</w:t>
            </w:r>
            <w:r>
              <w:rPr>
                <w:rFonts w:hint="eastAsia"/>
                <w:sz w:val="24"/>
                <w:szCs w:val="24"/>
              </w:rPr>
              <w:t>等）和水体进行监测。</w:t>
            </w:r>
          </w:p>
          <w:p w14:paraId="060D46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2.危险废物泄漏（废机油、化验废液等）</w:t>
            </w:r>
          </w:p>
          <w:p w14:paraId="508090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①立即将破损容器内剩余物料转移至完好容器；</w:t>
            </w:r>
          </w:p>
          <w:p w14:paraId="542618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②划定警戒区域，消除一切火源（废机油易燃）；</w:t>
            </w:r>
          </w:p>
          <w:p w14:paraId="3A84DA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③现场人员穿戴防护装备；</w:t>
            </w:r>
          </w:p>
          <w:p w14:paraId="1991B2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④用吸油毡（50kg）或干砂（2t）吸附泄漏物；</w:t>
            </w:r>
          </w:p>
          <w:p w14:paraId="6A0696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⑤吸附后的废弃物作为危险废物交有资质单位处置；</w:t>
            </w:r>
          </w:p>
          <w:p w14:paraId="17A7F6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⑥对受污染地面进行清理，清洗废水收集后排入</w:t>
            </w:r>
            <w:r>
              <w:rPr>
                <w:rFonts w:hint="eastAsia"/>
                <w:sz w:val="24"/>
                <w:szCs w:val="24"/>
                <w:lang w:eastAsia="zh-CN"/>
              </w:rPr>
              <w:t>调节池</w:t>
            </w:r>
            <w:r>
              <w:rPr>
                <w:rFonts w:hint="eastAsia"/>
                <w:sz w:val="24"/>
                <w:szCs w:val="24"/>
              </w:rPr>
              <w:t>。</w:t>
            </w:r>
          </w:p>
          <w:p w14:paraId="24E420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（五）火灾事故应急措施</w:t>
            </w:r>
          </w:p>
          <w:p w14:paraId="705DEF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①立即启动火灾报警系统，向消防部门报警；</w:t>
            </w:r>
          </w:p>
          <w:p w14:paraId="47FE52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②切断着火区域电源，关闭相关阀门；</w:t>
            </w:r>
          </w:p>
          <w:p w14:paraId="4BB609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③划定警戒区域，疏散人员；</w:t>
            </w:r>
          </w:p>
          <w:p w14:paraId="75A13D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④使用灭火器（磷酸铵盐干粉灭火器）扑救初期火灾；</w:t>
            </w:r>
          </w:p>
          <w:p w14:paraId="21078E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⑤若火势较大，立即请求外部消防力量支援；</w:t>
            </w:r>
          </w:p>
          <w:p w14:paraId="4D3D8B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⑥消防废水引入</w:t>
            </w:r>
            <w:r>
              <w:rPr>
                <w:rFonts w:hint="eastAsia"/>
                <w:sz w:val="24"/>
                <w:szCs w:val="24"/>
                <w:lang w:eastAsia="zh-CN"/>
              </w:rPr>
              <w:t>调节池</w:t>
            </w:r>
            <w:r>
              <w:rPr>
                <w:rFonts w:hint="eastAsia"/>
                <w:sz w:val="24"/>
                <w:szCs w:val="24"/>
              </w:rPr>
              <w:t>收集处理，不得直接外排；</w:t>
            </w:r>
          </w:p>
          <w:p w14:paraId="46B243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⑦环境监测人员对周边空气（CO、SO</w:t>
            </w:r>
            <w:r>
              <w:rPr>
                <w:rFonts w:hint="eastAsia"/>
                <w:sz w:val="24"/>
                <w:szCs w:val="24"/>
                <w:vertAlign w:val="subscript"/>
                <w:lang w:val="en-US" w:eastAsia="zh-CN"/>
              </w:rPr>
              <w:t>2</w:t>
            </w:r>
            <w:r>
              <w:rPr>
                <w:rFonts w:hint="eastAsia"/>
                <w:sz w:val="24"/>
                <w:szCs w:val="24"/>
              </w:rPr>
              <w:t>、NOx等）进行监测。</w:t>
            </w:r>
          </w:p>
          <w:p w14:paraId="784146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（六）恶臭气体事故排放应急措施</w:t>
            </w:r>
          </w:p>
          <w:p w14:paraId="465630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①立即启动备用除臭设备（风机、循环水泵均配置备用机组）；</w:t>
            </w:r>
          </w:p>
          <w:p w14:paraId="2E3EFA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②组织检修人员排查故障原因，尽快修复；</w:t>
            </w:r>
          </w:p>
          <w:p w14:paraId="6FA96A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③若短时间内无法修复，加大厂区除臭剂喷洒频次；</w:t>
            </w:r>
          </w:p>
          <w:p w14:paraId="16B858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④加强各产臭单元的密闭管理，减少无组织逸散；</w:t>
            </w:r>
          </w:p>
          <w:p w14:paraId="5BF957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⑤向生态环境部门报告事故情况。</w:t>
            </w:r>
          </w:p>
          <w:p w14:paraId="1ECC83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（七）尾水回用中断应急措施</w:t>
            </w:r>
          </w:p>
          <w:p w14:paraId="4F9BE8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①立即排查回用管道或中水库输送系统故障原因；</w:t>
            </w:r>
          </w:p>
          <w:p w14:paraId="425ED8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②若为管道破损，立即关闭上下游阀门，组织抢修；</w:t>
            </w:r>
          </w:p>
          <w:p w14:paraId="33C5A7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pacing w:val="-6"/>
                <w:sz w:val="24"/>
                <w:szCs w:val="24"/>
              </w:rPr>
            </w:pPr>
            <w:r>
              <w:rPr>
                <w:rFonts w:hint="eastAsia"/>
                <w:sz w:val="24"/>
                <w:szCs w:val="24"/>
              </w:rPr>
              <w:t>③若</w:t>
            </w:r>
            <w:r>
              <w:rPr>
                <w:rFonts w:hint="eastAsia"/>
                <w:spacing w:val="-6"/>
                <w:sz w:val="24"/>
                <w:szCs w:val="24"/>
              </w:rPr>
              <w:t>中水库库容不足，立即通知园区绿化管理部门和企业暂停或减少取水；</w:t>
            </w:r>
          </w:p>
          <w:p w14:paraId="3F1B4A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④必要时启动应急预案，临时启用厂内中水池（备用）暂存尾水。</w:t>
            </w:r>
          </w:p>
          <w:p w14:paraId="4F65577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color w:val="000000"/>
                <w:spacing w:val="-10"/>
                <w:sz w:val="24"/>
                <w:highlight w:val="none"/>
              </w:rPr>
            </w:pPr>
            <w:r>
              <w:rPr>
                <w:rFonts w:hint="default" w:ascii="Times New Roman" w:hAnsi="Times New Roman" w:eastAsia="宋体" w:cs="Times New Roman"/>
                <w:b/>
                <w:color w:val="000000"/>
                <w:spacing w:val="-10"/>
                <w:kern w:val="2"/>
                <w:sz w:val="24"/>
                <w:szCs w:val="24"/>
                <w:lang w:val="en-US" w:eastAsia="zh-CN" w:bidi="ar-SA"/>
              </w:rPr>
              <w:t>4.</w:t>
            </w:r>
            <w:r>
              <w:rPr>
                <w:rFonts w:hint="eastAsia" w:ascii="Times New Roman" w:hAnsi="Times New Roman" w:eastAsia="宋体" w:cs="Times New Roman"/>
                <w:b/>
                <w:color w:val="000000"/>
                <w:spacing w:val="-10"/>
                <w:sz w:val="24"/>
                <w:highlight w:val="none"/>
                <w:lang w:val="en-US" w:eastAsia="zh-CN"/>
              </w:rPr>
              <w:t>3</w:t>
            </w:r>
            <w:r>
              <w:rPr>
                <w:rFonts w:hint="default" w:ascii="Times New Roman" w:hAnsi="Times New Roman" w:eastAsia="宋体" w:cs="Times New Roman"/>
                <w:b/>
                <w:color w:val="000000"/>
                <w:spacing w:val="-10"/>
                <w:sz w:val="24"/>
                <w:highlight w:val="none"/>
              </w:rPr>
              <w:t>环保投资</w:t>
            </w:r>
          </w:p>
          <w:p w14:paraId="381B4E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本项目总投资6000万元，其中</w:t>
            </w:r>
            <w:r>
              <w:rPr>
                <w:rFonts w:hint="eastAsia"/>
                <w:sz w:val="24"/>
                <w:szCs w:val="24"/>
                <w:lang w:eastAsia="zh-CN"/>
              </w:rPr>
              <w:t>，</w:t>
            </w:r>
            <w:r>
              <w:rPr>
                <w:rFonts w:hint="eastAsia"/>
                <w:sz w:val="24"/>
                <w:szCs w:val="24"/>
                <w:lang w:val="en-US" w:eastAsia="zh-CN"/>
              </w:rPr>
              <w:t>除污水站主体外，</w:t>
            </w:r>
            <w:r>
              <w:rPr>
                <w:rFonts w:hint="eastAsia"/>
                <w:sz w:val="24"/>
                <w:szCs w:val="24"/>
              </w:rPr>
              <w:t>环保投资368万元，占总投资的6.13%，项目环保投资估算见下表：</w:t>
            </w:r>
          </w:p>
          <w:p w14:paraId="6A14CD31">
            <w:pPr>
              <w:pStyle w:val="23"/>
              <w:bidi w:val="0"/>
              <w:rPr>
                <w:rFonts w:hint="eastAsia"/>
                <w:lang w:val="en-US" w:eastAsia="zh-CN"/>
              </w:rPr>
            </w:pPr>
            <w:r>
              <w:rPr>
                <w:rFonts w:hint="eastAsia"/>
                <w:lang w:val="en-US" w:eastAsia="zh-CN"/>
              </w:rPr>
              <w:t>表4-23 本项目环保投资一览表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834"/>
              <w:gridCol w:w="5451"/>
              <w:gridCol w:w="1001"/>
            </w:tblGrid>
            <w:tr w14:paraId="578B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6A742BBB">
                  <w:pPr>
                    <w:jc w:val="center"/>
                    <w:rPr>
                      <w:b w:val="0"/>
                      <w:color w:val="000000"/>
                    </w:rPr>
                  </w:pPr>
                  <w:r>
                    <w:rPr>
                      <w:b w:val="0"/>
                      <w:color w:val="000000"/>
                    </w:rPr>
                    <w:t>阶段</w:t>
                  </w:r>
                </w:p>
              </w:tc>
              <w:tc>
                <w:tcPr>
                  <w:tcW w:w="5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8A1694">
                  <w:pPr>
                    <w:jc w:val="center"/>
                    <w:rPr>
                      <w:b w:val="0"/>
                      <w:color w:val="000000"/>
                    </w:rPr>
                  </w:pPr>
                  <w:r>
                    <w:rPr>
                      <w:b w:val="0"/>
                      <w:color w:val="000000"/>
                    </w:rPr>
                    <w:t>项目</w:t>
                  </w:r>
                </w:p>
              </w:tc>
              <w:tc>
                <w:tcPr>
                  <w:tcW w:w="34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A2DFE">
                  <w:pPr>
                    <w:jc w:val="center"/>
                    <w:rPr>
                      <w:b w:val="0"/>
                      <w:color w:val="000000"/>
                    </w:rPr>
                  </w:pPr>
                  <w:r>
                    <w:rPr>
                      <w:b w:val="0"/>
                      <w:color w:val="000000"/>
                    </w:rPr>
                    <w:t>环保设备、设施</w:t>
                  </w:r>
                </w:p>
              </w:tc>
              <w:tc>
                <w:tcPr>
                  <w:tcW w:w="6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862E7F">
                  <w:pPr>
                    <w:jc w:val="center"/>
                    <w:rPr>
                      <w:b w:val="0"/>
                      <w:color w:val="000000"/>
                    </w:rPr>
                  </w:pPr>
                  <w:r>
                    <w:rPr>
                      <w:b w:val="0"/>
                      <w:color w:val="000000"/>
                    </w:rPr>
                    <w:t>投资</w:t>
                  </w:r>
                </w:p>
                <w:p w14:paraId="3A97F56F">
                  <w:pPr>
                    <w:jc w:val="center"/>
                    <w:rPr>
                      <w:rFonts w:hint="eastAsia" w:eastAsia="宋体"/>
                      <w:b w:val="0"/>
                      <w:color w:val="000000"/>
                      <w:lang w:eastAsia="zh-CN"/>
                    </w:rPr>
                  </w:pPr>
                  <w:r>
                    <w:rPr>
                      <w:rFonts w:hint="eastAsia"/>
                      <w:b w:val="0"/>
                      <w:color w:val="000000"/>
                      <w:lang w:eastAsia="zh-CN"/>
                    </w:rPr>
                    <w:t>（</w:t>
                  </w:r>
                  <w:r>
                    <w:rPr>
                      <w:b w:val="0"/>
                      <w:color w:val="000000"/>
                    </w:rPr>
                    <w:t>万元</w:t>
                  </w:r>
                  <w:r>
                    <w:rPr>
                      <w:rFonts w:hint="eastAsia"/>
                      <w:b w:val="0"/>
                      <w:color w:val="000000"/>
                      <w:lang w:eastAsia="zh-CN"/>
                    </w:rPr>
                    <w:t>）</w:t>
                  </w:r>
                </w:p>
              </w:tc>
            </w:tr>
            <w:tr w14:paraId="65A1E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8C6DA1">
                  <w:pPr>
                    <w:jc w:val="center"/>
                    <w:rPr>
                      <w:b w:val="0"/>
                      <w:color w:val="000000"/>
                    </w:rPr>
                  </w:pPr>
                  <w:r>
                    <w:rPr>
                      <w:b w:val="0"/>
                      <w:color w:val="000000"/>
                    </w:rPr>
                    <w:t>施工期</w:t>
                  </w:r>
                </w:p>
              </w:tc>
              <w:tc>
                <w:tcPr>
                  <w:tcW w:w="5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C9FE29">
                  <w:pPr>
                    <w:jc w:val="center"/>
                    <w:rPr>
                      <w:b w:val="0"/>
                      <w:color w:val="000000"/>
                    </w:rPr>
                  </w:pPr>
                  <w:r>
                    <w:rPr>
                      <w:b w:val="0"/>
                      <w:color w:val="000000"/>
                    </w:rPr>
                    <w:t>废气</w:t>
                  </w:r>
                </w:p>
              </w:tc>
              <w:tc>
                <w:tcPr>
                  <w:tcW w:w="34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ED9025">
                  <w:pPr>
                    <w:jc w:val="center"/>
                    <w:rPr>
                      <w:b w:val="0"/>
                      <w:color w:val="000000"/>
                    </w:rPr>
                  </w:pPr>
                  <w:r>
                    <w:rPr>
                      <w:b w:val="0"/>
                      <w:color w:val="000000"/>
                    </w:rPr>
                    <w:t>大风天气堆场及开挖面洒水和防尘布覆盖，运输车辆防尘布覆盖和洒水，施工场地定期洒水</w:t>
                  </w:r>
                </w:p>
              </w:tc>
              <w:tc>
                <w:tcPr>
                  <w:tcW w:w="6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F6E081">
                  <w:pPr>
                    <w:jc w:val="center"/>
                    <w:rPr>
                      <w:b w:val="0"/>
                      <w:color w:val="000000"/>
                    </w:rPr>
                  </w:pPr>
                  <w:r>
                    <w:rPr>
                      <w:b w:val="0"/>
                      <w:color w:val="000000"/>
                    </w:rPr>
                    <w:t>2</w:t>
                  </w:r>
                </w:p>
              </w:tc>
            </w:tr>
            <w:tr w14:paraId="61DED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23818C">
                  <w:pPr>
                    <w:jc w:val="center"/>
                    <w:rPr>
                      <w:b w:val="0"/>
                      <w:color w:val="000000"/>
                    </w:rPr>
                  </w:pPr>
                </w:p>
              </w:tc>
              <w:tc>
                <w:tcPr>
                  <w:tcW w:w="5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27BE8A">
                  <w:pPr>
                    <w:jc w:val="center"/>
                    <w:rPr>
                      <w:b w:val="0"/>
                      <w:color w:val="000000"/>
                    </w:rPr>
                  </w:pPr>
                  <w:r>
                    <w:rPr>
                      <w:b w:val="0"/>
                      <w:color w:val="000000"/>
                    </w:rPr>
                    <w:t>废水</w:t>
                  </w:r>
                </w:p>
              </w:tc>
              <w:tc>
                <w:tcPr>
                  <w:tcW w:w="34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4F761F">
                  <w:pPr>
                    <w:jc w:val="center"/>
                    <w:rPr>
                      <w:b w:val="0"/>
                      <w:color w:val="000000"/>
                    </w:rPr>
                  </w:pPr>
                  <w:r>
                    <w:rPr>
                      <w:b w:val="0"/>
                      <w:color w:val="000000"/>
                    </w:rPr>
                    <w:t>施工现场设置沉淀池，施工废水经沉淀后回用</w:t>
                  </w:r>
                </w:p>
              </w:tc>
              <w:tc>
                <w:tcPr>
                  <w:tcW w:w="6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92C21A">
                  <w:pPr>
                    <w:jc w:val="center"/>
                    <w:rPr>
                      <w:b w:val="0"/>
                      <w:color w:val="000000"/>
                    </w:rPr>
                  </w:pPr>
                  <w:r>
                    <w:rPr>
                      <w:b w:val="0"/>
                      <w:color w:val="000000"/>
                    </w:rPr>
                    <w:t>2.5</w:t>
                  </w:r>
                </w:p>
              </w:tc>
            </w:tr>
            <w:tr w14:paraId="2D26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97C2DE">
                  <w:pPr>
                    <w:jc w:val="center"/>
                    <w:rPr>
                      <w:b w:val="0"/>
                      <w:color w:val="000000"/>
                    </w:rPr>
                  </w:pPr>
                </w:p>
              </w:tc>
              <w:tc>
                <w:tcPr>
                  <w:tcW w:w="5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18EA9">
                  <w:pPr>
                    <w:jc w:val="center"/>
                    <w:rPr>
                      <w:b w:val="0"/>
                      <w:color w:val="000000"/>
                    </w:rPr>
                  </w:pPr>
                  <w:r>
                    <w:rPr>
                      <w:b w:val="0"/>
                      <w:color w:val="000000"/>
                    </w:rPr>
                    <w:t>固废</w:t>
                  </w:r>
                </w:p>
              </w:tc>
              <w:tc>
                <w:tcPr>
                  <w:tcW w:w="34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467052">
                  <w:pPr>
                    <w:jc w:val="center"/>
                    <w:rPr>
                      <w:b w:val="0"/>
                      <w:color w:val="000000"/>
                    </w:rPr>
                  </w:pPr>
                  <w:r>
                    <w:rPr>
                      <w:b w:val="0"/>
                      <w:color w:val="000000"/>
                    </w:rPr>
                    <w:t>一般固废及时清运至垃圾处理场处理</w:t>
                  </w:r>
                </w:p>
              </w:tc>
              <w:tc>
                <w:tcPr>
                  <w:tcW w:w="6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C53F8">
                  <w:pPr>
                    <w:jc w:val="center"/>
                    <w:rPr>
                      <w:b w:val="0"/>
                      <w:color w:val="000000"/>
                    </w:rPr>
                  </w:pPr>
                  <w:r>
                    <w:rPr>
                      <w:b w:val="0"/>
                      <w:color w:val="000000"/>
                    </w:rPr>
                    <w:t>1</w:t>
                  </w:r>
                </w:p>
              </w:tc>
            </w:tr>
            <w:tr w14:paraId="4109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9DF6F3">
                  <w:pPr>
                    <w:jc w:val="center"/>
                    <w:rPr>
                      <w:b w:val="0"/>
                      <w:color w:val="000000"/>
                    </w:rPr>
                  </w:pPr>
                </w:p>
              </w:tc>
              <w:tc>
                <w:tcPr>
                  <w:tcW w:w="5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3BBAA0">
                  <w:pPr>
                    <w:jc w:val="center"/>
                    <w:rPr>
                      <w:b w:val="0"/>
                      <w:color w:val="000000"/>
                    </w:rPr>
                  </w:pPr>
                  <w:r>
                    <w:rPr>
                      <w:b w:val="0"/>
                      <w:color w:val="000000"/>
                    </w:rPr>
                    <w:t>噪声</w:t>
                  </w:r>
                </w:p>
              </w:tc>
              <w:tc>
                <w:tcPr>
                  <w:tcW w:w="34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105BF0">
                  <w:pPr>
                    <w:jc w:val="center"/>
                    <w:rPr>
                      <w:b w:val="0"/>
                      <w:color w:val="000000"/>
                    </w:rPr>
                  </w:pPr>
                  <w:r>
                    <w:rPr>
                      <w:rFonts w:hint="eastAsia"/>
                      <w:b w:val="0"/>
                      <w:color w:val="000000"/>
                    </w:rPr>
                    <w:t>高噪声设备设置于室内，采取基础减振、厂房隔声；鼓风机进出口安装消声器</w:t>
                  </w:r>
                </w:p>
              </w:tc>
              <w:tc>
                <w:tcPr>
                  <w:tcW w:w="6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F6675">
                  <w:pPr>
                    <w:jc w:val="center"/>
                    <w:rPr>
                      <w:b w:val="0"/>
                      <w:color w:val="000000"/>
                    </w:rPr>
                  </w:pPr>
                  <w:r>
                    <w:rPr>
                      <w:b w:val="0"/>
                      <w:color w:val="000000"/>
                    </w:rPr>
                    <w:t>1.5</w:t>
                  </w:r>
                </w:p>
              </w:tc>
            </w:tr>
            <w:tr w14:paraId="0805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BB5EB9">
                  <w:pPr>
                    <w:jc w:val="center"/>
                    <w:rPr>
                      <w:b w:val="0"/>
                      <w:color w:val="000000"/>
                    </w:rPr>
                  </w:pPr>
                  <w:r>
                    <w:rPr>
                      <w:b w:val="0"/>
                      <w:color w:val="000000"/>
                    </w:rPr>
                    <w:t>运营期</w:t>
                  </w:r>
                </w:p>
              </w:tc>
              <w:tc>
                <w:tcPr>
                  <w:tcW w:w="5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D65865">
                  <w:pPr>
                    <w:jc w:val="center"/>
                    <w:rPr>
                      <w:b w:val="0"/>
                      <w:color w:val="000000"/>
                    </w:rPr>
                  </w:pPr>
                  <w:r>
                    <w:rPr>
                      <w:b w:val="0"/>
                      <w:color w:val="000000"/>
                    </w:rPr>
                    <w:t>废气</w:t>
                  </w:r>
                </w:p>
              </w:tc>
              <w:tc>
                <w:tcPr>
                  <w:tcW w:w="34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566429">
                  <w:pPr>
                    <w:jc w:val="center"/>
                    <w:rPr>
                      <w:b w:val="0"/>
                      <w:color w:val="000000"/>
                    </w:rPr>
                  </w:pPr>
                  <w:r>
                    <w:rPr>
                      <w:b w:val="0"/>
                      <w:color w:val="000000"/>
                    </w:rPr>
                    <w:t>离子除臭、生物除臭、排气筒</w:t>
                  </w:r>
                </w:p>
              </w:tc>
              <w:tc>
                <w:tcPr>
                  <w:tcW w:w="6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828DA">
                  <w:pPr>
                    <w:jc w:val="center"/>
                    <w:rPr>
                      <w:rFonts w:hint="default" w:eastAsia="宋体"/>
                      <w:b w:val="0"/>
                      <w:color w:val="000000"/>
                      <w:lang w:val="en-US" w:eastAsia="zh-CN"/>
                    </w:rPr>
                  </w:pPr>
                  <w:r>
                    <w:rPr>
                      <w:rFonts w:hint="eastAsia"/>
                      <w:b w:val="0"/>
                      <w:color w:val="000000"/>
                      <w:lang w:val="en-US" w:eastAsia="zh-CN"/>
                    </w:rPr>
                    <w:t>253</w:t>
                  </w:r>
                </w:p>
              </w:tc>
            </w:tr>
            <w:tr w14:paraId="3C24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41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FA0A19">
                  <w:pPr>
                    <w:jc w:val="center"/>
                    <w:rPr>
                      <w:b w:val="0"/>
                      <w:color w:val="000000"/>
                    </w:rPr>
                  </w:pPr>
                </w:p>
              </w:tc>
              <w:tc>
                <w:tcPr>
                  <w:tcW w:w="525" w:type="pct"/>
                  <w:tcBorders>
                    <w:top w:val="single" w:color="000000" w:sz="4" w:space="0"/>
                    <w:left w:val="single" w:color="000000" w:sz="4" w:space="0"/>
                    <w:bottom w:val="single" w:color="auto" w:sz="4" w:space="0"/>
                    <w:right w:val="single" w:color="000000" w:sz="4" w:space="0"/>
                  </w:tcBorders>
                  <w:shd w:val="clear" w:color="auto" w:fill="FFFFFF"/>
                  <w:vAlign w:val="center"/>
                </w:tcPr>
                <w:p w14:paraId="4403CBF1">
                  <w:pPr>
                    <w:jc w:val="center"/>
                    <w:rPr>
                      <w:rFonts w:hint="default"/>
                      <w:b w:val="0"/>
                      <w:color w:val="000000"/>
                      <w:lang w:val="en-US" w:eastAsia="zh-CN"/>
                    </w:rPr>
                  </w:pPr>
                  <w:r>
                    <w:rPr>
                      <w:rFonts w:hint="eastAsia"/>
                      <w:b w:val="0"/>
                      <w:color w:val="000000"/>
                      <w:lang w:val="en-US" w:eastAsia="zh-CN"/>
                    </w:rPr>
                    <w:t>废水</w:t>
                  </w:r>
                </w:p>
              </w:tc>
              <w:tc>
                <w:tcPr>
                  <w:tcW w:w="3432" w:type="pct"/>
                  <w:tcBorders>
                    <w:top w:val="single" w:color="000000" w:sz="4" w:space="0"/>
                    <w:left w:val="single" w:color="000000" w:sz="4" w:space="0"/>
                    <w:bottom w:val="single" w:color="auto" w:sz="4" w:space="0"/>
                    <w:right w:val="single" w:color="000000" w:sz="4" w:space="0"/>
                  </w:tcBorders>
                  <w:shd w:val="clear" w:color="auto" w:fill="FFFFFF"/>
                  <w:vAlign w:val="center"/>
                </w:tcPr>
                <w:p w14:paraId="64BBEB9A">
                  <w:pPr>
                    <w:jc w:val="center"/>
                    <w:rPr>
                      <w:b w:val="0"/>
                      <w:color w:val="000000"/>
                    </w:rPr>
                  </w:pPr>
                  <w:r>
                    <w:rPr>
                      <w:b w:val="0"/>
                      <w:color w:val="000000"/>
                    </w:rPr>
                    <w:t>尾水在线监测系统</w:t>
                  </w:r>
                </w:p>
              </w:tc>
              <w:tc>
                <w:tcPr>
                  <w:tcW w:w="630" w:type="pct"/>
                  <w:tcBorders>
                    <w:top w:val="single" w:color="000000" w:sz="4" w:space="0"/>
                    <w:left w:val="single" w:color="000000" w:sz="4" w:space="0"/>
                    <w:bottom w:val="single" w:color="auto" w:sz="4" w:space="0"/>
                    <w:right w:val="single" w:color="000000" w:sz="4" w:space="0"/>
                  </w:tcBorders>
                  <w:shd w:val="clear" w:color="auto" w:fill="FFFFFF"/>
                  <w:vAlign w:val="center"/>
                </w:tcPr>
                <w:p w14:paraId="00FE23E5">
                  <w:pPr>
                    <w:jc w:val="center"/>
                    <w:rPr>
                      <w:rFonts w:hint="default" w:eastAsia="宋体"/>
                      <w:b w:val="0"/>
                      <w:color w:val="000000"/>
                      <w:lang w:val="en-US" w:eastAsia="zh-CN"/>
                    </w:rPr>
                  </w:pPr>
                  <w:r>
                    <w:rPr>
                      <w:rFonts w:hint="eastAsia"/>
                      <w:b w:val="0"/>
                      <w:color w:val="000000"/>
                      <w:lang w:val="en-US" w:eastAsia="zh-CN"/>
                    </w:rPr>
                    <w:t>22</w:t>
                  </w:r>
                </w:p>
              </w:tc>
            </w:tr>
            <w:tr w14:paraId="5CE6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41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0C559D">
                  <w:pPr>
                    <w:jc w:val="center"/>
                    <w:rPr>
                      <w:b w:val="0"/>
                      <w:color w:val="000000"/>
                    </w:rPr>
                  </w:pPr>
                </w:p>
              </w:tc>
              <w:tc>
                <w:tcPr>
                  <w:tcW w:w="833"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168AD4F">
                  <w:pPr>
                    <w:jc w:val="center"/>
                    <w:rPr>
                      <w:b w:val="0"/>
                      <w:color w:val="000000"/>
                    </w:rPr>
                  </w:pPr>
                  <w:r>
                    <w:rPr>
                      <w:b w:val="0"/>
                      <w:color w:val="000000"/>
                    </w:rPr>
                    <w:t>固废</w:t>
                  </w:r>
                </w:p>
              </w:tc>
              <w:tc>
                <w:tcPr>
                  <w:tcW w:w="5449"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6186BF8">
                  <w:pPr>
                    <w:jc w:val="center"/>
                    <w:rPr>
                      <w:b w:val="0"/>
                      <w:color w:val="000000"/>
                    </w:rPr>
                  </w:pPr>
                  <w:r>
                    <w:rPr>
                      <w:b w:val="0"/>
                      <w:color w:val="000000"/>
                    </w:rPr>
                    <w:t>一般固废垃圾回收、污泥拉运等；</w:t>
                  </w:r>
                </w:p>
                <w:p w14:paraId="523750B5">
                  <w:pPr>
                    <w:jc w:val="center"/>
                    <w:rPr>
                      <w:b w:val="0"/>
                      <w:color w:val="000000"/>
                    </w:rPr>
                  </w:pPr>
                  <w:r>
                    <w:rPr>
                      <w:b w:val="0"/>
                      <w:color w:val="000000"/>
                    </w:rPr>
                    <w:t>15</w:t>
                  </w:r>
                  <w:r>
                    <w:rPr>
                      <w:rFonts w:hint="eastAsia"/>
                      <w:b w:val="0"/>
                      <w:color w:val="000000"/>
                      <w:lang w:val="en-US" w:eastAsia="zh-CN"/>
                    </w:rPr>
                    <w:t>m</w:t>
                  </w:r>
                  <w:r>
                    <w:rPr>
                      <w:rFonts w:hint="eastAsia"/>
                      <w:b w:val="0"/>
                      <w:color w:val="000000"/>
                      <w:vertAlign w:val="superscript"/>
                      <w:lang w:val="en-US" w:eastAsia="zh-CN"/>
                    </w:rPr>
                    <w:t>2</w:t>
                  </w:r>
                  <w:r>
                    <w:rPr>
                      <w:b w:val="0"/>
                      <w:color w:val="000000"/>
                    </w:rPr>
                    <w:t>危废暂存间</w:t>
                  </w:r>
                </w:p>
              </w:tc>
              <w:tc>
                <w:tcPr>
                  <w:tcW w:w="1000" w:type="dxa"/>
                  <w:tcBorders>
                    <w:top w:val="single" w:color="auto" w:sz="4" w:space="0"/>
                    <w:left w:val="single" w:color="000000" w:sz="4" w:space="0"/>
                    <w:bottom w:val="single" w:color="000000" w:sz="4" w:space="0"/>
                    <w:right w:val="single" w:color="000000" w:sz="4" w:space="0"/>
                  </w:tcBorders>
                  <w:shd w:val="clear" w:color="auto" w:fill="FFFFFF"/>
                  <w:vAlign w:val="center"/>
                </w:tcPr>
                <w:p w14:paraId="77F789E5">
                  <w:pPr>
                    <w:jc w:val="center"/>
                    <w:rPr>
                      <w:rFonts w:hint="default" w:eastAsia="宋体"/>
                      <w:b w:val="0"/>
                      <w:color w:val="000000"/>
                      <w:lang w:val="en-US" w:eastAsia="zh-CN"/>
                    </w:rPr>
                  </w:pPr>
                  <w:r>
                    <w:rPr>
                      <w:rFonts w:hint="eastAsia"/>
                      <w:b w:val="0"/>
                      <w:color w:val="000000"/>
                      <w:lang w:val="en-US" w:eastAsia="zh-CN"/>
                    </w:rPr>
                    <w:t>25</w:t>
                  </w:r>
                </w:p>
              </w:tc>
            </w:tr>
            <w:tr w14:paraId="5B8A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6E858A">
                  <w:pPr>
                    <w:jc w:val="center"/>
                    <w:rPr>
                      <w:b w:val="0"/>
                      <w:color w:val="000000"/>
                    </w:rPr>
                  </w:pPr>
                </w:p>
              </w:tc>
              <w:tc>
                <w:tcPr>
                  <w:tcW w:w="5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D8B4DB">
                  <w:pPr>
                    <w:jc w:val="center"/>
                    <w:rPr>
                      <w:b w:val="0"/>
                      <w:color w:val="000000"/>
                    </w:rPr>
                  </w:pPr>
                  <w:r>
                    <w:rPr>
                      <w:b w:val="0"/>
                      <w:color w:val="000000"/>
                    </w:rPr>
                    <w:t>噪声</w:t>
                  </w:r>
                </w:p>
              </w:tc>
              <w:tc>
                <w:tcPr>
                  <w:tcW w:w="34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456DB6">
                  <w:pPr>
                    <w:jc w:val="center"/>
                    <w:rPr>
                      <w:b w:val="0"/>
                      <w:color w:val="000000"/>
                    </w:rPr>
                  </w:pPr>
                  <w:r>
                    <w:rPr>
                      <w:b w:val="0"/>
                      <w:color w:val="000000"/>
                    </w:rPr>
                    <w:t>隔声罩、安装减振基座</w:t>
                  </w:r>
                </w:p>
              </w:tc>
              <w:tc>
                <w:tcPr>
                  <w:tcW w:w="6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6AE93">
                  <w:pPr>
                    <w:jc w:val="center"/>
                    <w:rPr>
                      <w:b w:val="0"/>
                      <w:color w:val="000000"/>
                    </w:rPr>
                  </w:pPr>
                  <w:r>
                    <w:rPr>
                      <w:b w:val="0"/>
                      <w:color w:val="000000"/>
                    </w:rPr>
                    <w:t>4</w:t>
                  </w:r>
                </w:p>
              </w:tc>
            </w:tr>
            <w:tr w14:paraId="2CDB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7BAD07">
                  <w:pPr>
                    <w:jc w:val="center"/>
                    <w:rPr>
                      <w:b w:val="0"/>
                      <w:color w:val="000000"/>
                    </w:rPr>
                  </w:pPr>
                </w:p>
              </w:tc>
              <w:tc>
                <w:tcPr>
                  <w:tcW w:w="5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FD321">
                  <w:pPr>
                    <w:jc w:val="center"/>
                    <w:rPr>
                      <w:b w:val="0"/>
                      <w:color w:val="000000"/>
                    </w:rPr>
                  </w:pPr>
                  <w:r>
                    <w:rPr>
                      <w:b w:val="0"/>
                      <w:color w:val="000000"/>
                    </w:rPr>
                    <w:t>风险防渗</w:t>
                  </w:r>
                </w:p>
              </w:tc>
              <w:tc>
                <w:tcPr>
                  <w:tcW w:w="34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7FAB1E">
                  <w:pPr>
                    <w:jc w:val="center"/>
                    <w:rPr>
                      <w:b w:val="0"/>
                      <w:color w:val="000000"/>
                    </w:rPr>
                  </w:pPr>
                  <w:r>
                    <w:rPr>
                      <w:b w:val="0"/>
                      <w:color w:val="000000"/>
                    </w:rPr>
                    <w:t>对调节池、生物池、二沉池、污泥浓缩池、高效沉淀池等进行重点防渗</w:t>
                  </w:r>
                </w:p>
              </w:tc>
              <w:tc>
                <w:tcPr>
                  <w:tcW w:w="6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0A871">
                  <w:pPr>
                    <w:jc w:val="center"/>
                    <w:rPr>
                      <w:b w:val="0"/>
                      <w:color w:val="000000"/>
                    </w:rPr>
                  </w:pPr>
                  <w:r>
                    <w:rPr>
                      <w:b w:val="0"/>
                      <w:color w:val="000000"/>
                    </w:rPr>
                    <w:t>50</w:t>
                  </w:r>
                </w:p>
              </w:tc>
            </w:tr>
            <w:tr w14:paraId="0835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5F831C">
                  <w:pPr>
                    <w:jc w:val="center"/>
                    <w:rPr>
                      <w:b w:val="0"/>
                      <w:color w:val="000000"/>
                    </w:rPr>
                  </w:pPr>
                  <w:r>
                    <w:rPr>
                      <w:b w:val="0"/>
                      <w:color w:val="000000"/>
                    </w:rPr>
                    <w:t>合计</w:t>
                  </w:r>
                </w:p>
              </w:tc>
              <w:tc>
                <w:tcPr>
                  <w:tcW w:w="5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532220">
                  <w:pPr>
                    <w:jc w:val="center"/>
                    <w:rPr>
                      <w:b w:val="0"/>
                      <w:color w:val="000000"/>
                    </w:rPr>
                  </w:pPr>
                  <w:r>
                    <w:rPr>
                      <w:b w:val="0"/>
                      <w:color w:val="000000"/>
                    </w:rPr>
                    <w:t>/</w:t>
                  </w:r>
                </w:p>
              </w:tc>
              <w:tc>
                <w:tcPr>
                  <w:tcW w:w="34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443C71">
                  <w:pPr>
                    <w:jc w:val="center"/>
                    <w:rPr>
                      <w:b w:val="0"/>
                      <w:color w:val="000000"/>
                    </w:rPr>
                  </w:pPr>
                  <w:r>
                    <w:rPr>
                      <w:b w:val="0"/>
                      <w:color w:val="000000"/>
                    </w:rPr>
                    <w:t>/</w:t>
                  </w:r>
                </w:p>
              </w:tc>
              <w:tc>
                <w:tcPr>
                  <w:tcW w:w="6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409F6">
                  <w:pPr>
                    <w:jc w:val="center"/>
                    <w:rPr>
                      <w:b w:val="0"/>
                      <w:color w:val="000000"/>
                    </w:rPr>
                  </w:pPr>
                  <w:r>
                    <w:rPr>
                      <w:b w:val="0"/>
                      <w:color w:val="000000"/>
                    </w:rPr>
                    <w:t>368</w:t>
                  </w:r>
                </w:p>
              </w:tc>
            </w:tr>
          </w:tbl>
          <w:p w14:paraId="2640F59A">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textAlignment w:val="auto"/>
              <w:rPr>
                <w:rFonts w:hint="eastAsia" w:ascii="Times New Roman" w:hAnsi="Times New Roman" w:eastAsia="宋体" w:cs="Times New Roman"/>
                <w:b/>
                <w:color w:val="000000"/>
                <w:spacing w:val="-10"/>
                <w:kern w:val="2"/>
                <w:sz w:val="24"/>
                <w:szCs w:val="24"/>
                <w:lang w:val="en-US" w:eastAsia="zh-CN" w:bidi="ar-SA"/>
              </w:rPr>
            </w:pPr>
            <w:r>
              <w:rPr>
                <w:rFonts w:hint="eastAsia" w:ascii="Times New Roman" w:hAnsi="Times New Roman" w:eastAsia="宋体" w:cs="Times New Roman"/>
                <w:b/>
                <w:color w:val="000000"/>
                <w:spacing w:val="-10"/>
                <w:kern w:val="2"/>
                <w:sz w:val="24"/>
                <w:szCs w:val="24"/>
                <w:lang w:val="en-US" w:eastAsia="zh-CN" w:bidi="ar-SA"/>
              </w:rPr>
              <w:t>4.4运营期环境影响结论</w:t>
            </w:r>
          </w:p>
          <w:p w14:paraId="668023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本项目运营期在严格落实本报告提出的各项污染防治措施后对周边环境的影响可接受。</w:t>
            </w:r>
          </w:p>
        </w:tc>
      </w:tr>
    </w:tbl>
    <w:p w14:paraId="2931B775">
      <w:pPr>
        <w:adjustRightInd w:val="0"/>
        <w:snapToGrid w:val="0"/>
        <w:spacing w:line="360" w:lineRule="auto"/>
        <w:rPr>
          <w:rFonts w:hint="eastAsia" w:ascii="宋体" w:cs="宋体"/>
          <w:b/>
          <w:kern w:val="0"/>
          <w:sz w:val="28"/>
          <w:szCs w:val="28"/>
          <w:highlight w:val="none"/>
        </w:rPr>
        <w:sectPr>
          <w:pgSz w:w="11907" w:h="16840"/>
          <w:pgMar w:top="1701" w:right="1531" w:bottom="2127" w:left="1531" w:header="851" w:footer="851" w:gutter="0"/>
          <w:pgNumType w:fmt="decimal"/>
          <w:cols w:space="720" w:num="1"/>
          <w:docGrid w:linePitch="312" w:charSpace="0"/>
        </w:sectPr>
      </w:pPr>
    </w:p>
    <w:p w14:paraId="07D38AF7">
      <w:pPr>
        <w:widowControl/>
        <w:kinsoku w:val="0"/>
        <w:autoSpaceDE w:val="0"/>
        <w:autoSpaceDN w:val="0"/>
        <w:adjustRightInd w:val="0"/>
        <w:snapToGrid w:val="0"/>
        <w:spacing w:before="315" w:line="222" w:lineRule="auto"/>
        <w:jc w:val="center"/>
        <w:textAlignment w:val="baseline"/>
        <w:outlineLvl w:val="0"/>
        <w:rPr>
          <w:rFonts w:hint="eastAsia" w:ascii="黑体" w:hAnsi="黑体" w:eastAsia="黑体" w:cs="黑体"/>
          <w:snapToGrid w:val="0"/>
          <w:color w:val="000000"/>
          <w:spacing w:val="-2"/>
          <w:kern w:val="0"/>
          <w:sz w:val="30"/>
          <w:szCs w:val="30"/>
          <w:lang w:eastAsia="en-US"/>
        </w:rPr>
      </w:pPr>
      <w:bookmarkStart w:id="4" w:name="_Hlk54167917"/>
      <w:r>
        <w:rPr>
          <w:rFonts w:hint="eastAsia" w:ascii="黑体" w:hAnsi="黑体" w:eastAsia="黑体" w:cs="黑体"/>
          <w:snapToGrid w:val="0"/>
          <w:color w:val="000000"/>
          <w:spacing w:val="-2"/>
          <w:kern w:val="0"/>
          <w:sz w:val="30"/>
          <w:szCs w:val="30"/>
          <w:lang w:val="en-US" w:eastAsia="zh-CN"/>
        </w:rPr>
        <w:t>五、</w:t>
      </w:r>
      <w:r>
        <w:rPr>
          <w:rFonts w:hint="eastAsia" w:ascii="黑体" w:hAnsi="黑体" w:eastAsia="黑体" w:cs="黑体"/>
          <w:snapToGrid w:val="0"/>
          <w:color w:val="000000"/>
          <w:spacing w:val="-2"/>
          <w:kern w:val="0"/>
          <w:sz w:val="30"/>
          <w:szCs w:val="30"/>
          <w:lang w:eastAsia="en-US"/>
        </w:rPr>
        <w:t>环境保护措施监督检查清单</w:t>
      </w:r>
      <w:bookmarkEnd w:id="4"/>
    </w:p>
    <w:tbl>
      <w:tblPr>
        <w:tblStyle w:val="1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512"/>
        <w:gridCol w:w="930"/>
        <w:gridCol w:w="2444"/>
        <w:gridCol w:w="2136"/>
      </w:tblGrid>
      <w:tr w14:paraId="33D9FF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1778" w:type="dxa"/>
            <w:tcBorders>
              <w:tl2br w:val="single" w:color="auto" w:sz="4" w:space="0"/>
            </w:tcBorders>
            <w:noWrap w:val="0"/>
            <w:vAlign w:val="top"/>
          </w:tcPr>
          <w:p w14:paraId="1C623379">
            <w:pPr>
              <w:adjustRightInd w:val="0"/>
              <w:snapToGrid w:val="0"/>
              <w:ind w:firstLine="840"/>
              <w:rPr>
                <w:rFonts w:hint="default" w:ascii="Times New Roman" w:hAnsi="Times New Roman" w:cs="Times New Roman"/>
                <w:szCs w:val="21"/>
                <w:highlight w:val="none"/>
              </w:rPr>
            </w:pPr>
            <w:r>
              <w:rPr>
                <w:rFonts w:hint="default" w:ascii="Times New Roman" w:hAnsi="Times New Roman" w:cs="Times New Roman"/>
                <w:szCs w:val="21"/>
                <w:highlight w:val="none"/>
              </w:rPr>
              <w:t>内容</w:t>
            </w:r>
          </w:p>
          <w:p w14:paraId="28201051">
            <w:pPr>
              <w:adjustRightInd w:val="0"/>
              <w:snapToGrid w:val="0"/>
              <w:rPr>
                <w:rFonts w:hint="default" w:ascii="Times New Roman" w:hAnsi="Times New Roman" w:cs="Times New Roman"/>
                <w:szCs w:val="21"/>
                <w:highlight w:val="none"/>
              </w:rPr>
            </w:pPr>
            <w:r>
              <w:rPr>
                <w:rFonts w:hint="default" w:ascii="Times New Roman" w:hAnsi="Times New Roman" w:cs="Times New Roman"/>
                <w:szCs w:val="21"/>
                <w:highlight w:val="none"/>
              </w:rPr>
              <w:t>要素</w:t>
            </w:r>
          </w:p>
        </w:tc>
        <w:tc>
          <w:tcPr>
            <w:tcW w:w="1512" w:type="dxa"/>
            <w:noWrap w:val="0"/>
            <w:vAlign w:val="center"/>
          </w:tcPr>
          <w:p w14:paraId="4DB3E0F0">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排放口</w:t>
            </w:r>
            <w:r>
              <w:rPr>
                <w:rFonts w:hint="eastAsia" w:cs="Times New Roman"/>
                <w:szCs w:val="21"/>
                <w:highlight w:val="none"/>
                <w:lang w:eastAsia="zh-CN"/>
              </w:rPr>
              <w:t>（</w:t>
            </w:r>
            <w:r>
              <w:rPr>
                <w:rFonts w:hint="default" w:ascii="Times New Roman" w:hAnsi="Times New Roman" w:cs="Times New Roman"/>
                <w:szCs w:val="21"/>
                <w:highlight w:val="none"/>
              </w:rPr>
              <w:t>编号、</w:t>
            </w:r>
          </w:p>
          <w:p w14:paraId="591A0A74">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名称</w:t>
            </w:r>
            <w:r>
              <w:rPr>
                <w:rFonts w:hint="eastAsia" w:cs="Times New Roman"/>
                <w:szCs w:val="21"/>
                <w:highlight w:val="none"/>
                <w:lang w:eastAsia="zh-CN"/>
              </w:rPr>
              <w:t>）</w:t>
            </w:r>
            <w:r>
              <w:rPr>
                <w:rFonts w:hint="default" w:ascii="Times New Roman" w:hAnsi="Times New Roman" w:cs="Times New Roman"/>
                <w:szCs w:val="21"/>
                <w:highlight w:val="none"/>
              </w:rPr>
              <w:t>/污染源</w:t>
            </w:r>
          </w:p>
        </w:tc>
        <w:tc>
          <w:tcPr>
            <w:tcW w:w="930" w:type="dxa"/>
            <w:noWrap w:val="0"/>
            <w:vAlign w:val="center"/>
          </w:tcPr>
          <w:p w14:paraId="3C32BA8E">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污染物项目</w:t>
            </w:r>
          </w:p>
        </w:tc>
        <w:tc>
          <w:tcPr>
            <w:tcW w:w="2444" w:type="dxa"/>
            <w:noWrap w:val="0"/>
            <w:vAlign w:val="center"/>
          </w:tcPr>
          <w:p w14:paraId="0DCE5DB7">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环境保护措施</w:t>
            </w:r>
          </w:p>
        </w:tc>
        <w:tc>
          <w:tcPr>
            <w:tcW w:w="2136" w:type="dxa"/>
            <w:noWrap w:val="0"/>
            <w:vAlign w:val="center"/>
          </w:tcPr>
          <w:p w14:paraId="7D39A470">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执行标准</w:t>
            </w:r>
          </w:p>
        </w:tc>
      </w:tr>
      <w:tr w14:paraId="0EE26E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restart"/>
            <w:noWrap w:val="0"/>
            <w:vAlign w:val="center"/>
          </w:tcPr>
          <w:p w14:paraId="5E03B1A7">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大气环境</w:t>
            </w:r>
          </w:p>
        </w:tc>
        <w:tc>
          <w:tcPr>
            <w:tcW w:w="1512" w:type="dxa"/>
            <w:noWrap w:val="0"/>
            <w:vAlign w:val="center"/>
          </w:tcPr>
          <w:p w14:paraId="590168AB">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DA001（离子除臭排气筒）</w:t>
            </w:r>
          </w:p>
        </w:tc>
        <w:tc>
          <w:tcPr>
            <w:tcW w:w="930" w:type="dxa"/>
            <w:vMerge w:val="restart"/>
            <w:noWrap w:val="0"/>
            <w:vAlign w:val="center"/>
          </w:tcPr>
          <w:p w14:paraId="5A047FEA">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NH</w:t>
            </w:r>
            <w:r>
              <w:rPr>
                <w:rFonts w:hint="default" w:ascii="Times New Roman" w:hAnsi="Times New Roman" w:cs="Times New Roman"/>
                <w:szCs w:val="21"/>
                <w:highlight w:val="none"/>
                <w:vertAlign w:val="subscript"/>
              </w:rPr>
              <w:t>3</w:t>
            </w:r>
            <w:r>
              <w:rPr>
                <w:rFonts w:hint="default" w:ascii="Times New Roman" w:hAnsi="Times New Roman" w:cs="Times New Roman"/>
                <w:szCs w:val="21"/>
                <w:highlight w:val="none"/>
              </w:rPr>
              <w:t>、H</w:t>
            </w:r>
            <w:r>
              <w:rPr>
                <w:rFonts w:hint="default" w:ascii="Times New Roman" w:hAnsi="Times New Roman" w:cs="Times New Roman"/>
                <w:szCs w:val="21"/>
                <w:highlight w:val="none"/>
                <w:vertAlign w:val="subscript"/>
              </w:rPr>
              <w:t>2</w:t>
            </w:r>
            <w:r>
              <w:rPr>
                <w:rFonts w:hint="default" w:ascii="Times New Roman" w:hAnsi="Times New Roman" w:cs="Times New Roman"/>
                <w:szCs w:val="21"/>
                <w:highlight w:val="none"/>
              </w:rPr>
              <w:t>S、臭气浓度</w:t>
            </w:r>
          </w:p>
        </w:tc>
        <w:tc>
          <w:tcPr>
            <w:tcW w:w="2444" w:type="dxa"/>
            <w:noWrap w:val="0"/>
            <w:vAlign w:val="center"/>
          </w:tcPr>
          <w:p w14:paraId="21BBC1C7">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预处理区（格栅间、调节池、旋流沉砂器）臭气经收集后通过离子除臭装置处理，经15m高排气筒排放</w:t>
            </w:r>
          </w:p>
        </w:tc>
        <w:tc>
          <w:tcPr>
            <w:tcW w:w="2136" w:type="dxa"/>
            <w:vMerge w:val="restart"/>
            <w:noWrap w:val="0"/>
            <w:vAlign w:val="center"/>
          </w:tcPr>
          <w:p w14:paraId="3E3E431F">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《恶臭污染物排放标准》（GB14554-93）表2（15m排气筒：NH</w:t>
            </w:r>
            <w:r>
              <w:rPr>
                <w:rFonts w:hint="eastAsia" w:cs="Times New Roman"/>
                <w:szCs w:val="21"/>
                <w:highlight w:val="none"/>
                <w:vertAlign w:val="subscript"/>
                <w:lang w:val="en-US" w:eastAsia="zh-CN"/>
              </w:rPr>
              <w:t>3</w:t>
            </w:r>
            <w:r>
              <w:rPr>
                <w:rFonts w:hint="default" w:ascii="Times New Roman" w:hAnsi="Times New Roman" w:cs="Times New Roman"/>
                <w:szCs w:val="21"/>
                <w:highlight w:val="none"/>
              </w:rPr>
              <w:t>≤4.9kg/h，H</w:t>
            </w:r>
            <w:r>
              <w:rPr>
                <w:rFonts w:hint="eastAsia" w:cs="Times New Roman"/>
                <w:szCs w:val="21"/>
                <w:highlight w:val="none"/>
                <w:vertAlign w:val="subscript"/>
                <w:lang w:val="en-US" w:eastAsia="zh-CN"/>
              </w:rPr>
              <w:t>2</w:t>
            </w:r>
            <w:r>
              <w:rPr>
                <w:rFonts w:hint="default" w:ascii="Times New Roman" w:hAnsi="Times New Roman" w:cs="Times New Roman"/>
                <w:szCs w:val="21"/>
                <w:highlight w:val="none"/>
              </w:rPr>
              <w:t>S≤0.33kg/h，臭气浓度≤2000（无量纲））</w:t>
            </w:r>
          </w:p>
        </w:tc>
      </w:tr>
      <w:tr w14:paraId="50CB29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05F0CB01">
            <w:pPr>
              <w:adjustRightInd w:val="0"/>
              <w:snapToGrid w:val="0"/>
              <w:jc w:val="center"/>
              <w:rPr>
                <w:rFonts w:hint="default" w:ascii="Times New Roman" w:hAnsi="Times New Roman" w:cs="Times New Roman"/>
                <w:szCs w:val="21"/>
                <w:highlight w:val="none"/>
              </w:rPr>
            </w:pPr>
          </w:p>
        </w:tc>
        <w:tc>
          <w:tcPr>
            <w:tcW w:w="1512" w:type="dxa"/>
            <w:noWrap w:val="0"/>
            <w:vAlign w:val="center"/>
          </w:tcPr>
          <w:p w14:paraId="7EFF0A67">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DA002（生物除臭排气筒）</w:t>
            </w:r>
          </w:p>
        </w:tc>
        <w:tc>
          <w:tcPr>
            <w:tcW w:w="930" w:type="dxa"/>
            <w:vMerge w:val="continue"/>
            <w:noWrap w:val="0"/>
            <w:vAlign w:val="center"/>
          </w:tcPr>
          <w:p w14:paraId="126541B1">
            <w:pPr>
              <w:adjustRightInd w:val="0"/>
              <w:snapToGrid w:val="0"/>
              <w:jc w:val="center"/>
              <w:rPr>
                <w:rFonts w:hint="default" w:ascii="Times New Roman" w:hAnsi="Times New Roman" w:cs="Times New Roman"/>
                <w:szCs w:val="21"/>
                <w:highlight w:val="none"/>
              </w:rPr>
            </w:pPr>
          </w:p>
        </w:tc>
        <w:tc>
          <w:tcPr>
            <w:tcW w:w="2444" w:type="dxa"/>
            <w:noWrap w:val="0"/>
            <w:vAlign w:val="center"/>
          </w:tcPr>
          <w:p w14:paraId="05A73DEB">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生化处理区（AAO池厌氧/缺氧段）及污泥处理区（浓缩池、脱水机房）臭气经收集后通过生物除臭装置处理，经15m高排气筒排放</w:t>
            </w:r>
          </w:p>
        </w:tc>
        <w:tc>
          <w:tcPr>
            <w:tcW w:w="2136" w:type="dxa"/>
            <w:vMerge w:val="continue"/>
            <w:noWrap w:val="0"/>
            <w:vAlign w:val="center"/>
          </w:tcPr>
          <w:p w14:paraId="15AAF74E">
            <w:pPr>
              <w:adjustRightInd w:val="0"/>
              <w:snapToGrid w:val="0"/>
              <w:jc w:val="center"/>
              <w:rPr>
                <w:rFonts w:hint="default" w:ascii="Times New Roman" w:hAnsi="Times New Roman" w:cs="Times New Roman"/>
                <w:szCs w:val="21"/>
                <w:highlight w:val="none"/>
              </w:rPr>
            </w:pPr>
          </w:p>
        </w:tc>
      </w:tr>
      <w:tr w14:paraId="4EE822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6D48106D">
            <w:pPr>
              <w:adjustRightInd w:val="0"/>
              <w:snapToGrid w:val="0"/>
              <w:jc w:val="center"/>
              <w:rPr>
                <w:rFonts w:hint="default" w:ascii="Times New Roman" w:hAnsi="Times New Roman" w:cs="Times New Roman"/>
                <w:szCs w:val="21"/>
                <w:highlight w:val="none"/>
              </w:rPr>
            </w:pPr>
          </w:p>
        </w:tc>
        <w:tc>
          <w:tcPr>
            <w:tcW w:w="1512" w:type="dxa"/>
            <w:noWrap w:val="0"/>
            <w:vAlign w:val="center"/>
          </w:tcPr>
          <w:p w14:paraId="7264E6F5">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厂界（无组织）</w:t>
            </w:r>
          </w:p>
        </w:tc>
        <w:tc>
          <w:tcPr>
            <w:tcW w:w="930" w:type="dxa"/>
            <w:noWrap w:val="0"/>
            <w:vAlign w:val="center"/>
          </w:tcPr>
          <w:p w14:paraId="1356FC08">
            <w:pPr>
              <w:adjustRightInd w:val="0"/>
              <w:snapToGrid w:val="0"/>
              <w:jc w:val="center"/>
              <w:rPr>
                <w:rFonts w:hint="eastAsia" w:ascii="Times New Roman" w:hAnsi="Times New Roman" w:eastAsia="宋体" w:cs="Times New Roman"/>
                <w:szCs w:val="21"/>
                <w:highlight w:val="none"/>
                <w:lang w:val="en-US" w:eastAsia="zh-CN"/>
              </w:rPr>
            </w:pPr>
            <w:r>
              <w:rPr>
                <w:rFonts w:hint="default" w:ascii="Times New Roman" w:hAnsi="Times New Roman" w:cs="Times New Roman"/>
                <w:szCs w:val="21"/>
                <w:highlight w:val="none"/>
              </w:rPr>
              <w:t>NH</w:t>
            </w:r>
            <w:r>
              <w:rPr>
                <w:rFonts w:hint="default" w:ascii="Times New Roman" w:hAnsi="Times New Roman" w:cs="Times New Roman"/>
                <w:szCs w:val="21"/>
                <w:highlight w:val="none"/>
                <w:vertAlign w:val="subscript"/>
              </w:rPr>
              <w:t>3</w:t>
            </w:r>
            <w:r>
              <w:rPr>
                <w:rFonts w:hint="default" w:ascii="Times New Roman" w:hAnsi="Times New Roman" w:cs="Times New Roman"/>
                <w:szCs w:val="21"/>
                <w:highlight w:val="none"/>
              </w:rPr>
              <w:t>、H</w:t>
            </w:r>
            <w:r>
              <w:rPr>
                <w:rFonts w:hint="default" w:ascii="Times New Roman" w:hAnsi="Times New Roman" w:cs="Times New Roman"/>
                <w:szCs w:val="21"/>
                <w:highlight w:val="none"/>
                <w:vertAlign w:val="subscript"/>
              </w:rPr>
              <w:t>2</w:t>
            </w:r>
            <w:r>
              <w:rPr>
                <w:rFonts w:hint="default" w:ascii="Times New Roman" w:hAnsi="Times New Roman" w:cs="Times New Roman"/>
                <w:szCs w:val="21"/>
                <w:highlight w:val="none"/>
              </w:rPr>
              <w:t>S、臭气浓度</w:t>
            </w:r>
            <w:r>
              <w:rPr>
                <w:rFonts w:hint="eastAsia" w:cs="Times New Roman"/>
                <w:szCs w:val="21"/>
                <w:highlight w:val="none"/>
                <w:lang w:eastAsia="zh-CN"/>
              </w:rPr>
              <w:t>、</w:t>
            </w:r>
            <w:r>
              <w:rPr>
                <w:rFonts w:hint="eastAsia"/>
                <w:lang w:val="en-US" w:eastAsia="zh-CN"/>
              </w:rPr>
              <w:t>甲烷</w:t>
            </w:r>
          </w:p>
        </w:tc>
        <w:tc>
          <w:tcPr>
            <w:tcW w:w="2444" w:type="dxa"/>
            <w:noWrap w:val="0"/>
            <w:vAlign w:val="center"/>
          </w:tcPr>
          <w:p w14:paraId="722970AF">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各产臭单元密闭管理；定期喷洒除臭剂；栅渣、污泥及时清运；加强厂区绿化</w:t>
            </w:r>
          </w:p>
        </w:tc>
        <w:tc>
          <w:tcPr>
            <w:tcW w:w="2136" w:type="dxa"/>
            <w:noWrap w:val="0"/>
            <w:vAlign w:val="center"/>
          </w:tcPr>
          <w:p w14:paraId="03C6D55F">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《城镇污水处理厂污染物排放标准》（GB18918-2002）</w:t>
            </w:r>
            <w:r>
              <w:rPr>
                <w:rFonts w:hint="default" w:ascii="Times New Roman" w:hAnsi="Times New Roman" w:cs="Times New Roman"/>
                <w:szCs w:val="21"/>
                <w:highlight w:val="none"/>
                <w:lang w:val="en-US" w:eastAsia="zh-CN"/>
              </w:rPr>
              <w:t>及其修改单</w:t>
            </w:r>
            <w:r>
              <w:rPr>
                <w:rFonts w:hint="default" w:ascii="Times New Roman" w:hAnsi="Times New Roman" w:cs="Times New Roman"/>
                <w:szCs w:val="21"/>
                <w:highlight w:val="none"/>
              </w:rPr>
              <w:t>表4二级标准（NH</w:t>
            </w:r>
            <w:r>
              <w:rPr>
                <w:rFonts w:hint="eastAsia" w:cs="Times New Roman"/>
                <w:szCs w:val="21"/>
                <w:highlight w:val="none"/>
                <w:vertAlign w:val="subscript"/>
                <w:lang w:val="en-US" w:eastAsia="zh-CN"/>
              </w:rPr>
              <w:t>3</w:t>
            </w:r>
            <w:r>
              <w:rPr>
                <w:rFonts w:hint="default" w:ascii="Times New Roman" w:hAnsi="Times New Roman" w:cs="Times New Roman"/>
                <w:szCs w:val="21"/>
                <w:highlight w:val="none"/>
              </w:rPr>
              <w:t>≤1.5mg/m</w:t>
            </w:r>
            <w:r>
              <w:rPr>
                <w:rFonts w:hint="default" w:ascii="Times New Roman" w:hAnsi="Times New Roman" w:cs="Times New Roman"/>
                <w:szCs w:val="21"/>
                <w:highlight w:val="none"/>
                <w:vertAlign w:val="superscript"/>
              </w:rPr>
              <w:t>3</w:t>
            </w:r>
            <w:r>
              <w:rPr>
                <w:rFonts w:hint="default" w:ascii="Times New Roman" w:hAnsi="Times New Roman" w:cs="Times New Roman"/>
                <w:szCs w:val="21"/>
                <w:highlight w:val="none"/>
              </w:rPr>
              <w:t>，H</w:t>
            </w:r>
            <w:r>
              <w:rPr>
                <w:rFonts w:hint="eastAsia" w:cs="Times New Roman"/>
                <w:szCs w:val="21"/>
                <w:highlight w:val="none"/>
                <w:vertAlign w:val="subscript"/>
                <w:lang w:val="en-US" w:eastAsia="zh-CN"/>
              </w:rPr>
              <w:t>2</w:t>
            </w:r>
            <w:r>
              <w:rPr>
                <w:rFonts w:hint="default" w:ascii="Times New Roman" w:hAnsi="Times New Roman" w:cs="Times New Roman"/>
                <w:szCs w:val="21"/>
                <w:highlight w:val="none"/>
              </w:rPr>
              <w:t>S≤0.06mg/m</w:t>
            </w:r>
            <w:r>
              <w:rPr>
                <w:rFonts w:hint="default" w:ascii="Times New Roman" w:hAnsi="Times New Roman" w:cs="Times New Roman"/>
                <w:szCs w:val="21"/>
                <w:highlight w:val="none"/>
                <w:vertAlign w:val="superscript"/>
              </w:rPr>
              <w:t>3</w:t>
            </w:r>
            <w:r>
              <w:rPr>
                <w:rFonts w:hint="default" w:ascii="Times New Roman" w:hAnsi="Times New Roman" w:cs="Times New Roman"/>
                <w:szCs w:val="21"/>
                <w:highlight w:val="none"/>
              </w:rPr>
              <w:t>，臭气浓度≤20（无量纲），甲烷≤1%）</w:t>
            </w:r>
          </w:p>
        </w:tc>
      </w:tr>
      <w:tr w14:paraId="210741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50CDB416">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地表水环境</w:t>
            </w:r>
          </w:p>
        </w:tc>
        <w:tc>
          <w:tcPr>
            <w:tcW w:w="1512" w:type="dxa"/>
            <w:noWrap w:val="0"/>
            <w:vAlign w:val="center"/>
          </w:tcPr>
          <w:p w14:paraId="360705C4">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厂区废水（生活污水、生产废水）</w:t>
            </w:r>
          </w:p>
        </w:tc>
        <w:tc>
          <w:tcPr>
            <w:tcW w:w="930" w:type="dxa"/>
            <w:noWrap w:val="0"/>
            <w:vAlign w:val="center"/>
          </w:tcPr>
          <w:p w14:paraId="76EC25C0">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CODcr、BOD</w:t>
            </w:r>
            <w:r>
              <w:rPr>
                <w:rFonts w:hint="eastAsia" w:cs="Times New Roman"/>
                <w:szCs w:val="21"/>
                <w:highlight w:val="none"/>
                <w:vertAlign w:val="subscript"/>
                <w:lang w:val="en-US" w:eastAsia="zh-CN"/>
              </w:rPr>
              <w:t>5</w:t>
            </w:r>
            <w:r>
              <w:rPr>
                <w:rFonts w:hint="default" w:ascii="Times New Roman" w:hAnsi="Times New Roman" w:cs="Times New Roman"/>
                <w:szCs w:val="21"/>
                <w:highlight w:val="none"/>
              </w:rPr>
              <w:t>、SS、NH</w:t>
            </w:r>
            <w:r>
              <w:rPr>
                <w:rFonts w:hint="default" w:ascii="Times New Roman" w:hAnsi="Times New Roman" w:cs="Times New Roman"/>
                <w:szCs w:val="21"/>
                <w:highlight w:val="none"/>
                <w:vertAlign w:val="subscript"/>
              </w:rPr>
              <w:t>3</w:t>
            </w:r>
            <w:r>
              <w:rPr>
                <w:rFonts w:hint="default" w:ascii="Times New Roman" w:hAnsi="Times New Roman" w:cs="Times New Roman"/>
                <w:szCs w:val="21"/>
                <w:highlight w:val="none"/>
              </w:rPr>
              <w:t>-N、TN、TP</w:t>
            </w:r>
          </w:p>
        </w:tc>
        <w:tc>
          <w:tcPr>
            <w:tcW w:w="2444" w:type="dxa"/>
            <w:noWrap w:val="0"/>
            <w:vAlign w:val="center"/>
          </w:tcPr>
          <w:p w14:paraId="5579251C">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污泥脱水滤液、设备冲洗水、员工生活污水等全部经厂区污水管网收集后回流至调节池，纳入污水处理系统处理</w:t>
            </w:r>
          </w:p>
        </w:tc>
        <w:tc>
          <w:tcPr>
            <w:tcW w:w="2136" w:type="dxa"/>
            <w:noWrap w:val="0"/>
            <w:vAlign w:val="center"/>
          </w:tcPr>
          <w:p w14:paraId="0D69FA31">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尾水执行《城镇污水处理厂污染物排放标准》（GB18918-2002）</w:t>
            </w:r>
            <w:r>
              <w:rPr>
                <w:rFonts w:hint="default" w:ascii="Times New Roman" w:hAnsi="Times New Roman" w:cs="Times New Roman"/>
                <w:szCs w:val="21"/>
                <w:highlight w:val="none"/>
                <w:lang w:val="en-US" w:eastAsia="zh-CN"/>
              </w:rPr>
              <w:t>及其修改单</w:t>
            </w:r>
            <w:r>
              <w:rPr>
                <w:rFonts w:hint="default" w:ascii="Times New Roman" w:hAnsi="Times New Roman" w:cs="Times New Roman"/>
                <w:szCs w:val="21"/>
                <w:highlight w:val="none"/>
              </w:rPr>
              <w:t>一级A标准；回用于工业用水时同时执行《城市污水再生利用 工业用水水质》（GB/T 19923-2024）；回用于绿化灌溉时同时执行《城市污水再生利用 城市杂用水水质》（GB/T 18920-2020）</w:t>
            </w:r>
          </w:p>
        </w:tc>
      </w:tr>
      <w:tr w14:paraId="0B02AF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60F6C87F">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声环境</w:t>
            </w:r>
          </w:p>
        </w:tc>
        <w:tc>
          <w:tcPr>
            <w:tcW w:w="1512" w:type="dxa"/>
            <w:noWrap w:val="0"/>
            <w:vAlign w:val="center"/>
          </w:tcPr>
          <w:p w14:paraId="06C9846E">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各类水泵、鼓风机、压滤机等生产设备</w:t>
            </w:r>
          </w:p>
        </w:tc>
        <w:tc>
          <w:tcPr>
            <w:tcW w:w="930" w:type="dxa"/>
            <w:noWrap w:val="0"/>
            <w:vAlign w:val="center"/>
          </w:tcPr>
          <w:p w14:paraId="0A9D0231">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等效连续A声级</w:t>
            </w:r>
          </w:p>
        </w:tc>
        <w:tc>
          <w:tcPr>
            <w:tcW w:w="2444" w:type="dxa"/>
            <w:noWrap w:val="0"/>
            <w:vAlign w:val="center"/>
          </w:tcPr>
          <w:p w14:paraId="08D39A60">
            <w:pPr>
              <w:adjustRightInd w:val="0"/>
              <w:snapToGrid w:val="0"/>
              <w:jc w:val="both"/>
              <w:rPr>
                <w:rFonts w:hint="default" w:ascii="Times New Roman" w:hAnsi="Times New Roman" w:cs="Times New Roman"/>
                <w:szCs w:val="21"/>
                <w:highlight w:val="none"/>
              </w:rPr>
            </w:pPr>
            <w:r>
              <w:rPr>
                <w:rFonts w:hint="default" w:ascii="Times New Roman" w:hAnsi="Times New Roman" w:cs="Times New Roman"/>
                <w:szCs w:val="21"/>
                <w:highlight w:val="none"/>
              </w:rPr>
              <w:t>①源头控制：优先选用高效节能、低噪声的先进设备，水泵选用低噪声潜污泵，风机选用磁悬浮离心鼓风机；</w:t>
            </w:r>
          </w:p>
          <w:p w14:paraId="11468D83">
            <w:pPr>
              <w:adjustRightInd w:val="0"/>
              <w:snapToGrid w:val="0"/>
              <w:jc w:val="both"/>
              <w:rPr>
                <w:rFonts w:hint="default" w:ascii="Times New Roman" w:hAnsi="Times New Roman" w:cs="Times New Roman"/>
                <w:szCs w:val="21"/>
                <w:highlight w:val="none"/>
              </w:rPr>
            </w:pPr>
            <w:r>
              <w:rPr>
                <w:rFonts w:hint="default" w:ascii="Times New Roman" w:hAnsi="Times New Roman" w:cs="Times New Roman"/>
                <w:szCs w:val="21"/>
                <w:highlight w:val="none"/>
              </w:rPr>
              <w:t>②水下安装：潜水搅拌器、潜水推进器、内回流泵、潜污泵等设备置于水面以下，利用水体隔声；</w:t>
            </w:r>
          </w:p>
          <w:p w14:paraId="17F105A5">
            <w:pPr>
              <w:adjustRightInd w:val="0"/>
              <w:snapToGrid w:val="0"/>
              <w:jc w:val="both"/>
              <w:rPr>
                <w:rFonts w:hint="default" w:ascii="Times New Roman" w:hAnsi="Times New Roman" w:cs="Times New Roman"/>
                <w:szCs w:val="21"/>
                <w:highlight w:val="none"/>
              </w:rPr>
            </w:pPr>
            <w:r>
              <w:rPr>
                <w:rFonts w:hint="default" w:ascii="Times New Roman" w:hAnsi="Times New Roman" w:cs="Times New Roman"/>
                <w:szCs w:val="21"/>
                <w:highlight w:val="none"/>
              </w:rPr>
              <w:t>③隔声减振：高噪声设备设置于室内，利用厂房围护结构隔声；所有转动设备安装时加装减振元件（减震器、橡胶隔振垫）；水泵吸水管和出水管加设可曲绕橡胶接头；</w:t>
            </w:r>
          </w:p>
          <w:p w14:paraId="0882C770">
            <w:pPr>
              <w:adjustRightInd w:val="0"/>
              <w:snapToGrid w:val="0"/>
              <w:jc w:val="both"/>
              <w:rPr>
                <w:rFonts w:hint="default" w:ascii="Times New Roman" w:hAnsi="Times New Roman" w:cs="Times New Roman"/>
                <w:szCs w:val="21"/>
                <w:highlight w:val="none"/>
              </w:rPr>
            </w:pPr>
            <w:r>
              <w:rPr>
                <w:rFonts w:hint="default" w:ascii="Times New Roman" w:hAnsi="Times New Roman" w:cs="Times New Roman"/>
                <w:szCs w:val="21"/>
                <w:highlight w:val="none"/>
              </w:rPr>
              <w:t>④消声措施：鼓风机、空压机等设备的进、出气口设阻抗复合式消声器，消声量≥20dB；风机设置隔声罩；</w:t>
            </w:r>
          </w:p>
          <w:p w14:paraId="751FC4DE">
            <w:pPr>
              <w:adjustRightInd w:val="0"/>
              <w:snapToGrid w:val="0"/>
              <w:jc w:val="both"/>
              <w:rPr>
                <w:rFonts w:hint="default" w:ascii="Times New Roman" w:hAnsi="Times New Roman" w:cs="Times New Roman"/>
                <w:szCs w:val="21"/>
                <w:highlight w:val="none"/>
              </w:rPr>
            </w:pPr>
            <w:r>
              <w:rPr>
                <w:rFonts w:hint="default" w:ascii="Times New Roman" w:hAnsi="Times New Roman" w:cs="Times New Roman"/>
                <w:szCs w:val="21"/>
                <w:highlight w:val="none"/>
              </w:rPr>
              <w:t>⑤日常管理：定期检修维护，建立设备保养台账；合理规划运输路线，厂区内限速行驶、禁止鸣笛；</w:t>
            </w:r>
          </w:p>
          <w:p w14:paraId="585EE896">
            <w:pPr>
              <w:adjustRightInd w:val="0"/>
              <w:snapToGrid w:val="0"/>
              <w:jc w:val="both"/>
              <w:rPr>
                <w:rFonts w:hint="default" w:ascii="Times New Roman" w:hAnsi="Times New Roman" w:cs="Times New Roman"/>
                <w:szCs w:val="21"/>
                <w:highlight w:val="none"/>
              </w:rPr>
            </w:pPr>
            <w:r>
              <w:rPr>
                <w:rFonts w:hint="default" w:ascii="Times New Roman" w:hAnsi="Times New Roman" w:cs="Times New Roman"/>
                <w:szCs w:val="21"/>
                <w:highlight w:val="none"/>
              </w:rPr>
              <w:t>⑥厂区绿化：沿厂区围墙内外侧种植高大乔木和灌木相结合的绿化带，绿化带宽度≥5m</w:t>
            </w:r>
          </w:p>
        </w:tc>
        <w:tc>
          <w:tcPr>
            <w:tcW w:w="2136" w:type="dxa"/>
            <w:noWrap w:val="0"/>
            <w:vAlign w:val="center"/>
          </w:tcPr>
          <w:p w14:paraId="1E8948F7">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《工业企业厂界环境噪声排放标准》（GB12348-2008）3类标准（昼间≤65dB</w:t>
            </w:r>
            <w:r>
              <w:rPr>
                <w:rFonts w:hint="eastAsia" w:cs="Times New Roman"/>
                <w:szCs w:val="21"/>
                <w:highlight w:val="none"/>
                <w:lang w:eastAsia="zh-CN"/>
              </w:rPr>
              <w:t>（</w:t>
            </w:r>
            <w:r>
              <w:rPr>
                <w:rFonts w:hint="default" w:ascii="Times New Roman" w:hAnsi="Times New Roman" w:cs="Times New Roman"/>
                <w:szCs w:val="21"/>
                <w:highlight w:val="none"/>
              </w:rPr>
              <w:t>A</w:t>
            </w:r>
            <w:r>
              <w:rPr>
                <w:rFonts w:hint="eastAsia" w:cs="Times New Roman"/>
                <w:szCs w:val="21"/>
                <w:highlight w:val="none"/>
                <w:lang w:eastAsia="zh-CN"/>
              </w:rPr>
              <w:t>）</w:t>
            </w:r>
            <w:r>
              <w:rPr>
                <w:rFonts w:hint="default" w:ascii="Times New Roman" w:hAnsi="Times New Roman" w:cs="Times New Roman"/>
                <w:szCs w:val="21"/>
                <w:highlight w:val="none"/>
              </w:rPr>
              <w:t>，夜间≤55dB</w:t>
            </w:r>
            <w:r>
              <w:rPr>
                <w:rFonts w:hint="eastAsia" w:cs="Times New Roman"/>
                <w:szCs w:val="21"/>
                <w:highlight w:val="none"/>
                <w:lang w:eastAsia="zh-CN"/>
              </w:rPr>
              <w:t>（</w:t>
            </w:r>
            <w:r>
              <w:rPr>
                <w:rFonts w:hint="default" w:ascii="Times New Roman" w:hAnsi="Times New Roman" w:cs="Times New Roman"/>
                <w:szCs w:val="21"/>
                <w:highlight w:val="none"/>
              </w:rPr>
              <w:t>A</w:t>
            </w:r>
            <w:r>
              <w:rPr>
                <w:rFonts w:hint="eastAsia" w:cs="Times New Roman"/>
                <w:szCs w:val="21"/>
                <w:highlight w:val="none"/>
                <w:lang w:eastAsia="zh-CN"/>
              </w:rPr>
              <w:t>）</w:t>
            </w:r>
            <w:r>
              <w:rPr>
                <w:rFonts w:hint="default" w:ascii="Times New Roman" w:hAnsi="Times New Roman" w:cs="Times New Roman"/>
                <w:szCs w:val="21"/>
                <w:highlight w:val="none"/>
              </w:rPr>
              <w:t>）</w:t>
            </w:r>
          </w:p>
        </w:tc>
      </w:tr>
      <w:tr w14:paraId="2DD6FC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5F088850">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电磁辐射</w:t>
            </w:r>
          </w:p>
        </w:tc>
        <w:tc>
          <w:tcPr>
            <w:tcW w:w="7022" w:type="dxa"/>
            <w:gridSpan w:val="4"/>
            <w:noWrap w:val="0"/>
            <w:vAlign w:val="center"/>
          </w:tcPr>
          <w:p w14:paraId="7A3CB9C4">
            <w:pPr>
              <w:adjustRightInd w:val="0"/>
              <w:snapToGrid w:val="0"/>
              <w:jc w:val="center"/>
              <w:rPr>
                <w:rFonts w:hint="eastAsia" w:ascii="Times New Roman" w:hAnsi="Times New Roman" w:eastAsia="宋体" w:cs="Times New Roman"/>
                <w:szCs w:val="21"/>
                <w:highlight w:val="none"/>
                <w:lang w:val="en-US" w:eastAsia="zh-CN"/>
              </w:rPr>
            </w:pPr>
            <w:r>
              <w:rPr>
                <w:rFonts w:hint="eastAsia" w:cs="Times New Roman"/>
                <w:szCs w:val="21"/>
                <w:highlight w:val="none"/>
                <w:lang w:val="en-US" w:eastAsia="zh-CN"/>
              </w:rPr>
              <w:t>/</w:t>
            </w:r>
          </w:p>
        </w:tc>
      </w:tr>
      <w:tr w14:paraId="7FF85D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567A710D">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固体废物</w:t>
            </w:r>
          </w:p>
        </w:tc>
        <w:tc>
          <w:tcPr>
            <w:tcW w:w="7022" w:type="dxa"/>
            <w:gridSpan w:val="4"/>
            <w:noWrap w:val="0"/>
            <w:vAlign w:val="center"/>
          </w:tcPr>
          <w:p w14:paraId="0B5BD016">
            <w:pPr>
              <w:keepNext w:val="0"/>
              <w:keepLines w:val="0"/>
              <w:pageBreakBefore w:val="0"/>
              <w:widowControl w:val="0"/>
              <w:kinsoku/>
              <w:wordWrap/>
              <w:overflowPunct/>
              <w:topLinePunct w:val="0"/>
              <w:autoSpaceDE/>
              <w:autoSpaceDN/>
              <w:bidi w:val="0"/>
              <w:adjustRightInd w:val="0"/>
              <w:snapToGrid w:val="0"/>
              <w:spacing w:before="157" w:beforeLines="50"/>
              <w:ind w:firstLine="420" w:firstLineChars="200"/>
              <w:jc w:val="both"/>
              <w:textAlignment w:val="auto"/>
              <w:rPr>
                <w:rFonts w:hint="default" w:ascii="Times New Roman" w:hAnsi="Times New Roman" w:eastAsia="宋体" w:cs="Times New Roman"/>
                <w:szCs w:val="21"/>
                <w:highlight w:val="none"/>
                <w:lang w:eastAsia="zh-CN"/>
              </w:rPr>
            </w:pPr>
            <w:r>
              <w:rPr>
                <w:rFonts w:hint="default" w:ascii="Times New Roman" w:hAnsi="Times New Roman" w:cs="Times New Roman"/>
                <w:szCs w:val="21"/>
                <w:highlight w:val="none"/>
              </w:rPr>
              <w:t>脱水污泥</w:t>
            </w:r>
            <w:r>
              <w:rPr>
                <w:rFonts w:hint="default" w:ascii="Times New Roman" w:hAnsi="Times New Roman" w:cs="Times New Roman"/>
                <w:szCs w:val="21"/>
                <w:highlight w:val="none"/>
                <w:lang w:eastAsia="zh-CN"/>
              </w:rPr>
              <w:t>含水率≤60%后，外运至垃圾填埋场填埋，</w:t>
            </w:r>
            <w:r>
              <w:rPr>
                <w:rFonts w:hint="default" w:ascii="Times New Roman" w:hAnsi="Times New Roman" w:cs="Times New Roman"/>
                <w:szCs w:val="21"/>
                <w:highlight w:val="none"/>
                <w:lang w:val="en-US" w:eastAsia="zh-CN"/>
              </w:rPr>
              <w:t>执行</w:t>
            </w:r>
            <w:r>
              <w:rPr>
                <w:rFonts w:hint="default" w:ascii="Times New Roman" w:hAnsi="Times New Roman" w:cs="Times New Roman"/>
                <w:szCs w:val="21"/>
                <w:highlight w:val="none"/>
              </w:rPr>
              <w:t>《城镇污水处理厂污染物排放标准》（GB18918-2002）污泥控制标准</w:t>
            </w:r>
            <w:r>
              <w:rPr>
                <w:rFonts w:hint="default" w:ascii="Times New Roman" w:hAnsi="Times New Roman" w:cs="Times New Roman"/>
                <w:szCs w:val="21"/>
                <w:highlight w:val="none"/>
                <w:lang w:eastAsia="zh-CN"/>
              </w:rPr>
              <w:t>；</w:t>
            </w:r>
          </w:p>
          <w:p w14:paraId="011D035F">
            <w:pPr>
              <w:adjustRightInd w:val="0"/>
              <w:snapToGrid w:val="0"/>
              <w:ind w:firstLine="420" w:firstLineChars="200"/>
              <w:jc w:val="both"/>
              <w:rPr>
                <w:rFonts w:hint="default" w:ascii="Times New Roman" w:hAnsi="Times New Roman" w:cs="Times New Roman"/>
                <w:szCs w:val="21"/>
                <w:highlight w:val="none"/>
                <w:lang w:eastAsia="zh-CN"/>
              </w:rPr>
            </w:pPr>
            <w:r>
              <w:rPr>
                <w:rFonts w:hint="default" w:ascii="Times New Roman" w:hAnsi="Times New Roman" w:cs="Times New Roman"/>
                <w:szCs w:val="21"/>
                <w:highlight w:val="none"/>
              </w:rPr>
              <w:t>栅渣</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rPr>
              <w:t>沉砂</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rPr>
              <w:t>废包装袋</w:t>
            </w:r>
            <w:r>
              <w:rPr>
                <w:rFonts w:hint="default" w:ascii="Times New Roman" w:hAnsi="Times New Roman" w:cs="Times New Roman"/>
                <w:szCs w:val="21"/>
                <w:highlight w:val="none"/>
                <w:lang w:val="en-US" w:eastAsia="zh-CN"/>
              </w:rPr>
              <w:t>执行</w:t>
            </w:r>
            <w:r>
              <w:rPr>
                <w:rFonts w:hint="default" w:ascii="Times New Roman" w:hAnsi="Times New Roman" w:cs="Times New Roman"/>
                <w:szCs w:val="21"/>
                <w:highlight w:val="none"/>
                <w:lang w:eastAsia="zh-CN"/>
              </w:rPr>
              <w:t>《一般工业固体废物贮存和填埋污染控制标准》（GB18599-2020）；</w:t>
            </w:r>
          </w:p>
          <w:p w14:paraId="41F981DC">
            <w:pPr>
              <w:adjustRightInd w:val="0"/>
              <w:snapToGrid w:val="0"/>
              <w:ind w:firstLine="420" w:firstLineChars="200"/>
              <w:jc w:val="both"/>
              <w:rPr>
                <w:rFonts w:hint="default" w:ascii="Times New Roman" w:hAnsi="Times New Roman" w:cs="Times New Roman"/>
                <w:szCs w:val="21"/>
                <w:highlight w:val="none"/>
                <w:lang w:eastAsia="zh-CN"/>
              </w:rPr>
            </w:pPr>
            <w:r>
              <w:rPr>
                <w:rFonts w:hint="default" w:ascii="Times New Roman" w:hAnsi="Times New Roman" w:cs="Times New Roman"/>
                <w:szCs w:val="21"/>
                <w:highlight w:val="none"/>
              </w:rPr>
              <w:t>化验废液、废样品废机油、含油废抹布</w:t>
            </w:r>
            <w:r>
              <w:rPr>
                <w:rFonts w:hint="default" w:ascii="Times New Roman" w:hAnsi="Times New Roman" w:cs="Times New Roman"/>
                <w:szCs w:val="21"/>
                <w:highlight w:val="none"/>
                <w:lang w:val="en-US" w:eastAsia="zh-CN"/>
              </w:rPr>
              <w:t>执行</w:t>
            </w:r>
            <w:r>
              <w:rPr>
                <w:rFonts w:hint="default" w:ascii="Times New Roman" w:hAnsi="Times New Roman" w:cs="Times New Roman"/>
                <w:szCs w:val="21"/>
                <w:highlight w:val="none"/>
                <w:lang w:eastAsia="zh-CN"/>
              </w:rPr>
              <w:t>《危险废物贮存污染控制标准》（GB18597-2023）；</w:t>
            </w:r>
          </w:p>
          <w:p w14:paraId="446780CE">
            <w:pPr>
              <w:keepNext w:val="0"/>
              <w:keepLines w:val="0"/>
              <w:pageBreakBefore w:val="0"/>
              <w:widowControl w:val="0"/>
              <w:kinsoku/>
              <w:wordWrap/>
              <w:overflowPunct/>
              <w:topLinePunct w:val="0"/>
              <w:autoSpaceDE/>
              <w:autoSpaceDN/>
              <w:bidi w:val="0"/>
              <w:adjustRightInd w:val="0"/>
              <w:snapToGrid w:val="0"/>
              <w:spacing w:after="157" w:afterLines="50"/>
              <w:ind w:firstLine="420" w:firstLineChars="200"/>
              <w:jc w:val="both"/>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生活垃圾环卫部门清运</w:t>
            </w:r>
            <w:r>
              <w:rPr>
                <w:rFonts w:hint="default" w:ascii="Times New Roman" w:hAnsi="Times New Roman" w:cs="Times New Roman"/>
                <w:szCs w:val="21"/>
                <w:highlight w:val="none"/>
                <w:lang w:eastAsia="zh-CN"/>
              </w:rPr>
              <w:t>。</w:t>
            </w:r>
          </w:p>
        </w:tc>
      </w:tr>
      <w:tr w14:paraId="6BEE80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2C39CA5F">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土壤及地下水</w:t>
            </w:r>
          </w:p>
          <w:p w14:paraId="106BA915">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污染防治措施</w:t>
            </w:r>
          </w:p>
        </w:tc>
        <w:tc>
          <w:tcPr>
            <w:tcW w:w="7022" w:type="dxa"/>
            <w:gridSpan w:val="4"/>
            <w:noWrap w:val="0"/>
            <w:vAlign w:val="center"/>
          </w:tcPr>
          <w:p w14:paraId="628E823B">
            <w:pPr>
              <w:adjustRightInd w:val="0"/>
              <w:snapToGrid w:val="0"/>
              <w:jc w:val="both"/>
              <w:rPr>
                <w:rFonts w:hint="default" w:ascii="Times New Roman" w:hAnsi="Times New Roman" w:eastAsia="宋体" w:cs="Times New Roman"/>
                <w:szCs w:val="21"/>
                <w:highlight w:val="none"/>
                <w:lang w:eastAsia="zh-CN"/>
              </w:rPr>
            </w:pPr>
            <w:r>
              <w:rPr>
                <w:rFonts w:hint="default" w:ascii="Times New Roman" w:hAnsi="Times New Roman" w:cs="Times New Roman"/>
                <w:spacing w:val="-6"/>
                <w:sz w:val="21"/>
                <w:szCs w:val="21"/>
                <w:highlight w:val="none"/>
              </w:rPr>
              <w:t>分区防渗，满足《环境影响评价技术导则 地下水环境》（HJ610-2016）要求</w:t>
            </w:r>
            <w:r>
              <w:rPr>
                <w:rFonts w:hint="default" w:ascii="Times New Roman" w:hAnsi="Times New Roman" w:cs="Times New Roman"/>
                <w:spacing w:val="-6"/>
                <w:sz w:val="21"/>
                <w:szCs w:val="21"/>
                <w:highlight w:val="none"/>
                <w:lang w:eastAsia="zh-CN"/>
              </w:rPr>
              <w:t>。</w:t>
            </w:r>
          </w:p>
        </w:tc>
      </w:tr>
      <w:tr w14:paraId="1E7B6F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53A5CFE8">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生态保护措施</w:t>
            </w:r>
          </w:p>
        </w:tc>
        <w:tc>
          <w:tcPr>
            <w:tcW w:w="7022" w:type="dxa"/>
            <w:gridSpan w:val="4"/>
            <w:noWrap w:val="0"/>
            <w:vAlign w:val="center"/>
          </w:tcPr>
          <w:p w14:paraId="17FCA23D">
            <w:pPr>
              <w:adjustRightInd w:val="0"/>
              <w:snapToGrid w:val="0"/>
              <w:jc w:val="center"/>
              <w:rPr>
                <w:rFonts w:hint="eastAsia" w:ascii="Times New Roman" w:hAnsi="Times New Roman" w:eastAsia="宋体" w:cs="Times New Roman"/>
                <w:szCs w:val="21"/>
                <w:highlight w:val="none"/>
                <w:lang w:eastAsia="zh-CN"/>
              </w:rPr>
            </w:pPr>
            <w:r>
              <w:rPr>
                <w:rFonts w:hint="default" w:ascii="Times New Roman" w:hAnsi="Times New Roman" w:eastAsia="宋体" w:cs="Times New Roman"/>
                <w:szCs w:val="21"/>
                <w:highlight w:val="none"/>
              </w:rPr>
              <w:t>对施工场地产生的施工迹地及时恢复、平整，及时进行水土保持防治措施</w:t>
            </w:r>
            <w:r>
              <w:rPr>
                <w:rFonts w:hint="eastAsia" w:eastAsia="宋体" w:cs="Times New Roman"/>
                <w:szCs w:val="21"/>
                <w:highlight w:val="none"/>
                <w:lang w:eastAsia="zh-CN"/>
              </w:rPr>
              <w:t>；</w:t>
            </w:r>
            <w:r>
              <w:rPr>
                <w:rFonts w:hint="default" w:ascii="Times New Roman" w:hAnsi="Times New Roman" w:eastAsia="宋体" w:cs="Times New Roman"/>
                <w:szCs w:val="21"/>
                <w:highlight w:val="none"/>
              </w:rPr>
              <w:t>对于建筑物及道路周围的空地，进行植树种草，进行绿化</w:t>
            </w:r>
            <w:r>
              <w:rPr>
                <w:rFonts w:hint="eastAsia" w:eastAsia="宋体" w:cs="Times New Roman"/>
                <w:szCs w:val="21"/>
                <w:highlight w:val="none"/>
                <w:lang w:eastAsia="zh-CN"/>
              </w:rPr>
              <w:t>。</w:t>
            </w:r>
          </w:p>
        </w:tc>
      </w:tr>
      <w:tr w14:paraId="35E442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2D9A68A2">
            <w:pPr>
              <w:adjustRightInd w:val="0"/>
              <w:snapToGrid w:val="0"/>
              <w:jc w:val="center"/>
              <w:rPr>
                <w:rFonts w:hint="default" w:ascii="Times New Roman" w:hAnsi="Times New Roman" w:cs="Times New Roman"/>
                <w:spacing w:val="-8"/>
                <w:szCs w:val="21"/>
                <w:highlight w:val="none"/>
              </w:rPr>
            </w:pPr>
            <w:r>
              <w:rPr>
                <w:rFonts w:hint="default" w:ascii="Times New Roman" w:hAnsi="Times New Roman" w:cs="Times New Roman"/>
                <w:spacing w:val="-8"/>
                <w:szCs w:val="21"/>
                <w:highlight w:val="none"/>
              </w:rPr>
              <w:t>环境风险</w:t>
            </w:r>
          </w:p>
          <w:p w14:paraId="406961EE">
            <w:pPr>
              <w:adjustRightInd w:val="0"/>
              <w:snapToGrid w:val="0"/>
              <w:jc w:val="center"/>
              <w:rPr>
                <w:rFonts w:hint="default" w:ascii="Times New Roman" w:hAnsi="Times New Roman" w:cs="Times New Roman"/>
                <w:spacing w:val="-8"/>
                <w:szCs w:val="21"/>
                <w:highlight w:val="none"/>
              </w:rPr>
            </w:pPr>
            <w:r>
              <w:rPr>
                <w:rFonts w:hint="default" w:ascii="Times New Roman" w:hAnsi="Times New Roman" w:cs="Times New Roman"/>
                <w:spacing w:val="-8"/>
                <w:szCs w:val="21"/>
                <w:highlight w:val="none"/>
              </w:rPr>
              <w:t>防范措施</w:t>
            </w:r>
          </w:p>
        </w:tc>
        <w:tc>
          <w:tcPr>
            <w:tcW w:w="7022" w:type="dxa"/>
            <w:gridSpan w:val="4"/>
            <w:noWrap w:val="0"/>
            <w:vAlign w:val="center"/>
          </w:tcPr>
          <w:p w14:paraId="532E376F">
            <w:pPr>
              <w:keepNext w:val="0"/>
              <w:keepLines w:val="0"/>
              <w:pageBreakBefore w:val="0"/>
              <w:widowControl w:val="0"/>
              <w:kinsoku/>
              <w:wordWrap/>
              <w:overflowPunct/>
              <w:topLinePunct w:val="0"/>
              <w:autoSpaceDE/>
              <w:autoSpaceDN/>
              <w:bidi w:val="0"/>
              <w:adjustRightInd w:val="0"/>
              <w:snapToGrid w:val="0"/>
              <w:spacing w:before="157" w:beforeLines="50"/>
              <w:jc w:val="both"/>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①化学品储罐防护：次氯酸钠储罐区设置围堰（有效容积≥单罐容积），配备液位计和泄漏报警系统，围堰内壁进行防腐防渗处理；</w:t>
            </w:r>
          </w:p>
          <w:p w14:paraId="32CAC201">
            <w:pPr>
              <w:adjustRightInd w:val="0"/>
              <w:snapToGrid w:val="0"/>
              <w:jc w:val="both"/>
              <w:rPr>
                <w:rFonts w:hint="default" w:ascii="Times New Roman" w:hAnsi="Times New Roman" w:cs="Times New Roman"/>
                <w:szCs w:val="21"/>
                <w:highlight w:val="none"/>
              </w:rPr>
            </w:pPr>
            <w:r>
              <w:rPr>
                <w:rFonts w:hint="default" w:ascii="Times New Roman" w:hAnsi="Times New Roman" w:cs="Times New Roman"/>
                <w:szCs w:val="21"/>
                <w:highlight w:val="none"/>
              </w:rPr>
              <w:t>②危险废物管理：危废贮存点按照《危险废物贮存污染控制标准》（GB18597-2023）建设，做到“防风、防晒、防雨、防漏、防渗、防腐”，地面及墙裙进行防渗处理（K≤1.0×10⁻¹⁰cm/s），液态危废贮存区设置围堰（有效容积≥单桶容积），不同类别危险废物分区存放；</w:t>
            </w:r>
          </w:p>
          <w:p w14:paraId="4A3CD4AE">
            <w:pPr>
              <w:adjustRightInd w:val="0"/>
              <w:snapToGrid w:val="0"/>
              <w:jc w:val="both"/>
              <w:rPr>
                <w:rFonts w:hint="default" w:ascii="Times New Roman" w:hAnsi="Times New Roman" w:cs="Times New Roman"/>
                <w:szCs w:val="21"/>
                <w:highlight w:val="none"/>
              </w:rPr>
            </w:pPr>
            <w:r>
              <w:rPr>
                <w:rFonts w:hint="default" w:ascii="Times New Roman" w:hAnsi="Times New Roman" w:cs="Times New Roman"/>
                <w:szCs w:val="21"/>
                <w:highlight w:val="none"/>
              </w:rPr>
              <w:t>③应急物资配备：配备吸油毡（50kg）、干砂（2t）、耐腐蚀容器（5个）、防毒面具（5套）、耐酸手套（10副）、防护服（5套）、便携式H</w:t>
            </w:r>
            <w:r>
              <w:rPr>
                <w:rFonts w:hint="eastAsia" w:ascii="Times New Roman" w:hAnsi="Times New Roman" w:cs="Times New Roman"/>
                <w:szCs w:val="21"/>
                <w:highlight w:val="none"/>
                <w:vertAlign w:val="subscript"/>
                <w:lang w:val="en-US" w:eastAsia="zh-CN"/>
              </w:rPr>
              <w:t>2</w:t>
            </w:r>
            <w:r>
              <w:rPr>
                <w:rFonts w:hint="default" w:ascii="Times New Roman" w:hAnsi="Times New Roman" w:cs="Times New Roman"/>
                <w:szCs w:val="21"/>
                <w:highlight w:val="none"/>
              </w:rPr>
              <w:t>S</w:t>
            </w:r>
            <w:r>
              <w:rPr>
                <w:rFonts w:hint="eastAsia" w:ascii="Times New Roman" w:hAnsi="Times New Roman" w:cs="Times New Roman"/>
                <w:szCs w:val="21"/>
                <w:highlight w:val="none"/>
                <w:lang w:val="en-US" w:eastAsia="zh-CN"/>
              </w:rPr>
              <w:t>、</w:t>
            </w:r>
            <w:r>
              <w:rPr>
                <w:rFonts w:hint="default" w:ascii="Times New Roman" w:hAnsi="Times New Roman" w:cs="Times New Roman"/>
                <w:szCs w:val="21"/>
                <w:highlight w:val="none"/>
              </w:rPr>
              <w:t>NH</w:t>
            </w:r>
            <w:r>
              <w:rPr>
                <w:rFonts w:hint="eastAsia" w:ascii="Times New Roman" w:hAnsi="Times New Roman" w:cs="Times New Roman"/>
                <w:szCs w:val="21"/>
                <w:highlight w:val="none"/>
                <w:vertAlign w:val="subscript"/>
                <w:lang w:val="en-US" w:eastAsia="zh-CN"/>
              </w:rPr>
              <w:t>3</w:t>
            </w:r>
            <w:r>
              <w:rPr>
                <w:rFonts w:hint="default" w:ascii="Times New Roman" w:hAnsi="Times New Roman" w:cs="Times New Roman"/>
                <w:szCs w:val="21"/>
                <w:highlight w:val="none"/>
              </w:rPr>
              <w:t>检测仪等应急物资；</w:t>
            </w:r>
          </w:p>
          <w:p w14:paraId="10DB66DB">
            <w:pPr>
              <w:adjustRightInd w:val="0"/>
              <w:snapToGrid w:val="0"/>
              <w:jc w:val="both"/>
              <w:rPr>
                <w:rFonts w:hint="default" w:ascii="Times New Roman" w:hAnsi="Times New Roman" w:cs="Times New Roman"/>
                <w:spacing w:val="6"/>
                <w:sz w:val="21"/>
                <w:szCs w:val="21"/>
                <w:highlight w:val="none"/>
              </w:rPr>
            </w:pPr>
            <w:r>
              <w:rPr>
                <w:rFonts w:hint="default" w:ascii="Times New Roman" w:hAnsi="Times New Roman" w:cs="Times New Roman"/>
                <w:spacing w:val="6"/>
                <w:sz w:val="21"/>
                <w:szCs w:val="21"/>
                <w:highlight w:val="none"/>
              </w:rPr>
              <w:t>④电力保障：采用双路10kV电源供电，一用一备，关键设备均配置备用机组；</w:t>
            </w:r>
          </w:p>
          <w:p w14:paraId="57142D1F">
            <w:pPr>
              <w:adjustRightInd w:val="0"/>
              <w:snapToGrid w:val="0"/>
              <w:jc w:val="both"/>
              <w:rPr>
                <w:rFonts w:hint="default" w:ascii="Times New Roman" w:hAnsi="Times New Roman" w:cs="Times New Roman"/>
                <w:szCs w:val="21"/>
                <w:highlight w:val="none"/>
              </w:rPr>
            </w:pPr>
            <w:r>
              <w:rPr>
                <w:rFonts w:hint="default" w:ascii="Times New Roman" w:hAnsi="Times New Roman" w:cs="Times New Roman"/>
                <w:szCs w:val="21"/>
                <w:highlight w:val="none"/>
              </w:rPr>
              <w:t>⑤事故废水暂存：依托调节池（910m</w:t>
            </w:r>
            <w:r>
              <w:rPr>
                <w:rFonts w:hint="eastAsia" w:ascii="Times New Roman" w:hAnsi="Times New Roman" w:cs="Times New Roman"/>
                <w:szCs w:val="21"/>
                <w:highlight w:val="none"/>
                <w:vertAlign w:val="superscript"/>
                <w:lang w:val="en-US" w:eastAsia="zh-CN"/>
              </w:rPr>
              <w:t>3</w:t>
            </w:r>
            <w:r>
              <w:rPr>
                <w:rFonts w:hint="default" w:ascii="Times New Roman" w:hAnsi="Times New Roman" w:cs="Times New Roman"/>
                <w:szCs w:val="21"/>
                <w:highlight w:val="none"/>
              </w:rPr>
              <w:t>）作为事故废水临时暂存设施，关闭进水阀门后可暂存约7h来水；</w:t>
            </w:r>
          </w:p>
          <w:p w14:paraId="6D94A310">
            <w:pPr>
              <w:adjustRightInd w:val="0"/>
              <w:snapToGrid w:val="0"/>
              <w:jc w:val="both"/>
              <w:rPr>
                <w:rFonts w:hint="default" w:ascii="Times New Roman" w:hAnsi="Times New Roman" w:cs="Times New Roman"/>
                <w:szCs w:val="21"/>
                <w:highlight w:val="none"/>
              </w:rPr>
            </w:pPr>
            <w:r>
              <w:rPr>
                <w:rFonts w:hint="default" w:ascii="Times New Roman" w:hAnsi="Times New Roman" w:cs="Times New Roman"/>
                <w:szCs w:val="21"/>
                <w:highlight w:val="none"/>
              </w:rPr>
              <w:t>⑥消防系统：厂区设置火灾自动报警系统，各建筑物按规范配置磷酸铵盐干粉灭火器，高低压配电室设计防雷措施；</w:t>
            </w:r>
          </w:p>
          <w:p w14:paraId="5F635E33">
            <w:pPr>
              <w:adjustRightInd w:val="0"/>
              <w:snapToGrid w:val="0"/>
              <w:jc w:val="both"/>
              <w:rPr>
                <w:rFonts w:hint="default" w:ascii="Times New Roman" w:hAnsi="Times New Roman" w:cs="Times New Roman"/>
                <w:szCs w:val="21"/>
                <w:highlight w:val="none"/>
              </w:rPr>
            </w:pPr>
            <w:r>
              <w:rPr>
                <w:rFonts w:hint="default" w:ascii="Times New Roman" w:hAnsi="Times New Roman" w:cs="Times New Roman"/>
                <w:szCs w:val="21"/>
                <w:highlight w:val="none"/>
              </w:rPr>
              <w:t>⑦应急预案：编制突发环境事件应急预案并报生态环境主管部门备案，每年至少组织一次应急演练；</w:t>
            </w:r>
          </w:p>
          <w:p w14:paraId="7CF110FF">
            <w:pPr>
              <w:keepNext w:val="0"/>
              <w:keepLines w:val="0"/>
              <w:pageBreakBefore w:val="0"/>
              <w:widowControl w:val="0"/>
              <w:kinsoku/>
              <w:wordWrap/>
              <w:overflowPunct/>
              <w:topLinePunct w:val="0"/>
              <w:autoSpaceDE/>
              <w:autoSpaceDN/>
              <w:bidi w:val="0"/>
              <w:adjustRightInd w:val="0"/>
              <w:snapToGrid w:val="0"/>
              <w:spacing w:after="157" w:afterLines="50"/>
              <w:jc w:val="both"/>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⑧地下水监控：依托一期工程3眼地下水监控井，定期开展跟踪监测，发现异常立即排查</w:t>
            </w:r>
          </w:p>
        </w:tc>
      </w:tr>
      <w:tr w14:paraId="1D0EA9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78" w:type="dxa"/>
            <w:noWrap w:val="0"/>
            <w:vAlign w:val="center"/>
          </w:tcPr>
          <w:p w14:paraId="7D0DEEB9">
            <w:pPr>
              <w:adjustRightInd w:val="0"/>
              <w:snapToGrid w:val="0"/>
              <w:jc w:val="center"/>
              <w:rPr>
                <w:rFonts w:hint="default" w:ascii="Times New Roman" w:hAnsi="Times New Roman" w:cs="Times New Roman"/>
                <w:spacing w:val="-8"/>
                <w:szCs w:val="21"/>
                <w:highlight w:val="none"/>
              </w:rPr>
            </w:pPr>
            <w:r>
              <w:rPr>
                <w:rFonts w:hint="default" w:ascii="Times New Roman" w:hAnsi="Times New Roman" w:cs="Times New Roman"/>
                <w:spacing w:val="-8"/>
                <w:szCs w:val="21"/>
                <w:highlight w:val="none"/>
              </w:rPr>
              <w:t>其他环境</w:t>
            </w:r>
          </w:p>
          <w:p w14:paraId="35C59ACF">
            <w:pPr>
              <w:adjustRightInd w:val="0"/>
              <w:snapToGrid w:val="0"/>
              <w:jc w:val="center"/>
              <w:rPr>
                <w:rFonts w:hint="default" w:ascii="Times New Roman" w:hAnsi="Times New Roman" w:cs="Times New Roman"/>
                <w:spacing w:val="-8"/>
                <w:szCs w:val="21"/>
                <w:highlight w:val="none"/>
              </w:rPr>
            </w:pPr>
            <w:r>
              <w:rPr>
                <w:rFonts w:hint="default" w:ascii="Times New Roman" w:hAnsi="Times New Roman" w:cs="Times New Roman"/>
                <w:spacing w:val="-8"/>
                <w:szCs w:val="21"/>
                <w:highlight w:val="none"/>
              </w:rPr>
              <w:t>管理要求</w:t>
            </w:r>
          </w:p>
        </w:tc>
        <w:tc>
          <w:tcPr>
            <w:tcW w:w="7022" w:type="dxa"/>
            <w:gridSpan w:val="4"/>
            <w:noWrap w:val="0"/>
            <w:vAlign w:val="center"/>
          </w:tcPr>
          <w:p w14:paraId="646DC261">
            <w:pPr>
              <w:keepNext w:val="0"/>
              <w:keepLines w:val="0"/>
              <w:pageBreakBefore w:val="0"/>
              <w:widowControl w:val="0"/>
              <w:kinsoku/>
              <w:wordWrap/>
              <w:overflowPunct/>
              <w:topLinePunct w:val="0"/>
              <w:autoSpaceDE/>
              <w:autoSpaceDN/>
              <w:bidi w:val="0"/>
              <w:adjustRightInd w:val="0"/>
              <w:snapToGrid w:val="0"/>
              <w:spacing w:before="157" w:beforeLines="50"/>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①配置环境管理机构和人员；</w:t>
            </w:r>
          </w:p>
          <w:p w14:paraId="62B38E1D">
            <w:pPr>
              <w:adjustRightInd w:val="0"/>
              <w:snapToGrid w:val="0"/>
              <w:rPr>
                <w:rFonts w:hint="default" w:ascii="Times New Roman" w:hAnsi="Times New Roman" w:cs="Times New Roman"/>
                <w:szCs w:val="21"/>
                <w:highlight w:val="none"/>
              </w:rPr>
            </w:pPr>
            <w:r>
              <w:rPr>
                <w:rFonts w:hint="default" w:ascii="Times New Roman" w:hAnsi="Times New Roman" w:cs="Times New Roman"/>
                <w:szCs w:val="21"/>
                <w:highlight w:val="none"/>
              </w:rPr>
              <w:t>②加强各工艺单元水质水量监控，确保系统稳定运行；</w:t>
            </w:r>
          </w:p>
          <w:p w14:paraId="4D295619">
            <w:pPr>
              <w:keepNext w:val="0"/>
              <w:keepLines w:val="0"/>
              <w:pageBreakBefore w:val="0"/>
              <w:widowControl w:val="0"/>
              <w:kinsoku/>
              <w:wordWrap/>
              <w:overflowPunct/>
              <w:topLinePunct w:val="0"/>
              <w:autoSpaceDE/>
              <w:autoSpaceDN/>
              <w:bidi w:val="0"/>
              <w:adjustRightInd w:val="0"/>
              <w:snapToGrid w:val="0"/>
              <w:spacing w:after="157" w:afterLines="50"/>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③建立环保设施运行管理制度和污染源管理档案，保证处理设施正常运行，杜绝事故排放</w:t>
            </w:r>
          </w:p>
        </w:tc>
      </w:tr>
    </w:tbl>
    <w:p w14:paraId="769597A0">
      <w:pPr>
        <w:widowControl/>
        <w:numPr>
          <w:ilvl w:val="0"/>
          <w:numId w:val="0"/>
        </w:numPr>
        <w:kinsoku w:val="0"/>
        <w:autoSpaceDE w:val="0"/>
        <w:autoSpaceDN w:val="0"/>
        <w:adjustRightInd w:val="0"/>
        <w:snapToGrid w:val="0"/>
        <w:spacing w:before="315" w:line="222" w:lineRule="auto"/>
        <w:jc w:val="center"/>
        <w:textAlignment w:val="baseline"/>
        <w:outlineLvl w:val="0"/>
        <w:rPr>
          <w:rFonts w:hint="eastAsia" w:ascii="黑体" w:hAnsi="黑体" w:eastAsia="黑体" w:cs="黑体"/>
          <w:snapToGrid w:val="0"/>
          <w:color w:val="000000"/>
          <w:spacing w:val="-2"/>
          <w:kern w:val="0"/>
          <w:sz w:val="30"/>
          <w:szCs w:val="30"/>
          <w:lang w:val="en-US" w:eastAsia="zh-CN"/>
        </w:rPr>
      </w:pPr>
      <w:r>
        <w:rPr>
          <w:snapToGrid w:val="0"/>
          <w:highlight w:val="none"/>
        </w:rPr>
        <w:br w:type="page"/>
      </w:r>
      <w:r>
        <w:rPr>
          <w:rFonts w:hint="eastAsia" w:ascii="黑体" w:hAnsi="黑体" w:eastAsia="黑体" w:cs="黑体"/>
          <w:snapToGrid w:val="0"/>
          <w:color w:val="000000"/>
          <w:spacing w:val="-2"/>
          <w:kern w:val="0"/>
          <w:sz w:val="30"/>
          <w:szCs w:val="30"/>
          <w:lang w:val="en-US" w:eastAsia="zh-CN" w:bidi="ar-SA"/>
        </w:rPr>
        <w:t>六、</w:t>
      </w:r>
      <w:r>
        <w:rPr>
          <w:rFonts w:hint="eastAsia" w:ascii="黑体" w:hAnsi="黑体" w:eastAsia="黑体" w:cs="黑体"/>
          <w:snapToGrid w:val="0"/>
          <w:color w:val="000000"/>
          <w:spacing w:val="-2"/>
          <w:kern w:val="0"/>
          <w:sz w:val="30"/>
          <w:szCs w:val="30"/>
          <w:lang w:val="en-US" w:eastAsia="zh-CN"/>
        </w:rPr>
        <w:t>结论</w:t>
      </w:r>
    </w:p>
    <w:tbl>
      <w:tblPr>
        <w:tblStyle w:val="1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531E5F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653C1D9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sz w:val="24"/>
                <w:highlight w:val="none"/>
                <w:lang w:val="en-US" w:eastAsia="zh-CN"/>
              </w:rPr>
            </w:pPr>
            <w:r>
              <w:rPr>
                <w:rFonts w:hint="default" w:ascii="Times New Roman" w:hAnsi="Times New Roman" w:cs="Times New Roman"/>
                <w:sz w:val="24"/>
                <w:highlight w:val="none"/>
              </w:rPr>
              <w:t>在采取本报告表提出的各项污染防治措施后，废气、噪声均能达标排放，废水实现零排放，固体废物得到妥善处置，环境风险可控，对区域环境质量的影响可接受。</w:t>
            </w:r>
          </w:p>
          <w:p w14:paraId="7BC89E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cs="宋体"/>
                <w:sz w:val="24"/>
                <w:highlight w:val="none"/>
              </w:rPr>
            </w:pPr>
            <w:r>
              <w:rPr>
                <w:rFonts w:hint="default" w:ascii="Times New Roman" w:hAnsi="Times New Roman" w:cs="Times New Roman"/>
                <w:sz w:val="24"/>
                <w:highlight w:val="none"/>
              </w:rPr>
              <w:t>从环境保护角度分析，本项目的建设可行。</w:t>
            </w:r>
          </w:p>
        </w:tc>
      </w:tr>
    </w:tbl>
    <w:p w14:paraId="1828EAED">
      <w:pPr>
        <w:sectPr>
          <w:footerReference r:id="rId10" w:type="default"/>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2139F2A3">
      <w:pPr>
        <w:pStyle w:val="2"/>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b/>
          <w:sz w:val="28"/>
          <w:szCs w:val="28"/>
        </w:rPr>
      </w:pPr>
      <w:r>
        <w:rPr>
          <w:rFonts w:hint="eastAsia"/>
          <w:b/>
          <w:sz w:val="28"/>
          <w:szCs w:val="28"/>
        </w:rPr>
        <w:t>附表</w:t>
      </w:r>
    </w:p>
    <w:p w14:paraId="7C13CBEB">
      <w:pPr>
        <w:pStyle w:val="14"/>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1"/>
        <w:rPr>
          <w:rFonts w:hint="eastAsia" w:ascii="方正小标宋_GBK" w:hAnsi="黑体" w:eastAsia="方正小标宋_GBK"/>
          <w:snapToGrid w:val="0"/>
          <w:sz w:val="38"/>
          <w:szCs w:val="38"/>
          <w:highlight w:val="none"/>
        </w:rPr>
      </w:pPr>
      <w:r>
        <w:rPr>
          <w:rFonts w:hint="eastAsia" w:ascii="方正小标宋_GBK" w:hAnsi="黑体" w:eastAsia="方正小标宋_GBK"/>
          <w:snapToGrid w:val="0"/>
          <w:sz w:val="38"/>
          <w:szCs w:val="38"/>
          <w:highlight w:val="none"/>
        </w:rPr>
        <w:t>建设项目污染物排放量汇总表</w:t>
      </w:r>
    </w:p>
    <w:tbl>
      <w:tblPr>
        <w:tblStyle w:val="15"/>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71"/>
        <w:gridCol w:w="1312"/>
        <w:gridCol w:w="1576"/>
        <w:gridCol w:w="1182"/>
        <w:gridCol w:w="1576"/>
        <w:gridCol w:w="1444"/>
        <w:gridCol w:w="1630"/>
        <w:gridCol w:w="1614"/>
        <w:gridCol w:w="1682"/>
      </w:tblGrid>
      <w:tr w14:paraId="62EFDD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45" w:type="pct"/>
            <w:tcBorders>
              <w:tl2br w:val="single" w:color="auto" w:sz="4" w:space="0"/>
            </w:tcBorders>
            <w:noWrap w:val="0"/>
            <w:tcMar>
              <w:left w:w="28" w:type="dxa"/>
              <w:right w:w="28" w:type="dxa"/>
            </w:tcMar>
            <w:vAlign w:val="center"/>
          </w:tcPr>
          <w:p w14:paraId="62658991">
            <w:pPr>
              <w:jc w:val="center"/>
              <w:rPr>
                <w:rFonts w:hint="default" w:ascii="Times New Roman" w:hAnsi="Times New Roman" w:eastAsia="宋体" w:cs="Times New Roman"/>
                <w:sz w:val="21"/>
                <w:szCs w:val="21"/>
              </w:rPr>
            </w:pPr>
          </w:p>
        </w:tc>
        <w:tc>
          <w:tcPr>
            <w:tcW w:w="486" w:type="pct"/>
            <w:noWrap w:val="0"/>
            <w:tcMar>
              <w:left w:w="28" w:type="dxa"/>
              <w:right w:w="28" w:type="dxa"/>
            </w:tcMar>
            <w:vAlign w:val="center"/>
          </w:tcPr>
          <w:p w14:paraId="7C9B5E41">
            <w:pPr>
              <w:pStyle w:val="25"/>
              <w:spacing w:beforeLines="0" w:afterLines="0" w:line="240" w:lineRule="auto"/>
              <w:jc w:val="center"/>
              <w:rPr>
                <w:rFonts w:hint="default" w:ascii="Times New Roman" w:hAnsi="Times New Roman" w:eastAsia="宋体" w:cs="Times New Roman"/>
                <w:snapToGrid w:val="0"/>
                <w:color w:val="000000"/>
                <w:spacing w:val="-6"/>
                <w:kern w:val="21"/>
                <w:sz w:val="21"/>
                <w:szCs w:val="21"/>
                <w:highlight w:val="none"/>
              </w:rPr>
            </w:pPr>
            <w:r>
              <w:rPr>
                <w:rFonts w:hint="default" w:ascii="Times New Roman" w:hAnsi="Times New Roman" w:eastAsia="宋体" w:cs="Times New Roman"/>
                <w:snapToGrid w:val="0"/>
                <w:color w:val="000000"/>
                <w:spacing w:val="-6"/>
                <w:kern w:val="21"/>
                <w:sz w:val="21"/>
                <w:szCs w:val="21"/>
                <w:highlight w:val="none"/>
              </w:rPr>
              <w:t>污染物名称</w:t>
            </w:r>
          </w:p>
        </w:tc>
        <w:tc>
          <w:tcPr>
            <w:tcW w:w="584" w:type="pct"/>
            <w:noWrap w:val="0"/>
            <w:tcMar>
              <w:left w:w="28" w:type="dxa"/>
              <w:right w:w="28" w:type="dxa"/>
            </w:tcMar>
            <w:vAlign w:val="center"/>
          </w:tcPr>
          <w:p w14:paraId="72D2FF31">
            <w:pPr>
              <w:pStyle w:val="25"/>
              <w:spacing w:beforeLines="0" w:afterLines="0" w:line="240" w:lineRule="auto"/>
              <w:jc w:val="center"/>
              <w:rPr>
                <w:rFonts w:hint="default" w:ascii="Times New Roman" w:hAnsi="Times New Roman" w:eastAsia="宋体" w:cs="Times New Roman"/>
                <w:snapToGrid w:val="0"/>
                <w:color w:val="000000"/>
                <w:spacing w:val="-6"/>
                <w:kern w:val="21"/>
                <w:sz w:val="21"/>
                <w:szCs w:val="21"/>
                <w:highlight w:val="none"/>
              </w:rPr>
            </w:pPr>
            <w:r>
              <w:rPr>
                <w:rFonts w:hint="default" w:ascii="Times New Roman" w:hAnsi="Times New Roman" w:eastAsia="宋体" w:cs="Times New Roman"/>
                <w:snapToGrid w:val="0"/>
                <w:color w:val="000000"/>
                <w:spacing w:val="-6"/>
                <w:kern w:val="21"/>
                <w:sz w:val="21"/>
                <w:szCs w:val="21"/>
                <w:highlight w:val="none"/>
              </w:rPr>
              <w:t>现有工程</w:t>
            </w:r>
          </w:p>
          <w:p w14:paraId="6B023412">
            <w:pPr>
              <w:pStyle w:val="25"/>
              <w:spacing w:beforeLines="0" w:afterLines="0" w:line="240" w:lineRule="auto"/>
              <w:jc w:val="center"/>
              <w:rPr>
                <w:rFonts w:hint="default" w:ascii="Times New Roman" w:hAnsi="Times New Roman" w:eastAsia="宋体" w:cs="Times New Roman"/>
                <w:snapToGrid w:val="0"/>
                <w:color w:val="000000"/>
                <w:spacing w:val="-6"/>
                <w:kern w:val="21"/>
                <w:sz w:val="21"/>
                <w:szCs w:val="21"/>
                <w:highlight w:val="none"/>
              </w:rPr>
            </w:pPr>
            <w:r>
              <w:rPr>
                <w:rFonts w:hint="default" w:ascii="Times New Roman" w:hAnsi="Times New Roman" w:eastAsia="宋体" w:cs="Times New Roman"/>
                <w:snapToGrid w:val="0"/>
                <w:color w:val="000000"/>
                <w:spacing w:val="-6"/>
                <w:kern w:val="21"/>
                <w:sz w:val="21"/>
                <w:szCs w:val="21"/>
                <w:highlight w:val="none"/>
              </w:rPr>
              <w:t>排放量（固体废物产生量）</w:t>
            </w:r>
            <w:r>
              <w:rPr>
                <w:rFonts w:hint="default" w:ascii="Times New Roman" w:hAnsi="Times New Roman" w:eastAsia="宋体" w:cs="Times New Roman"/>
                <w:snapToGrid w:val="0"/>
                <w:color w:val="000000"/>
                <w:spacing w:val="-6"/>
                <w:kern w:val="21"/>
                <w:sz w:val="21"/>
                <w:szCs w:val="21"/>
                <w:highlight w:val="none"/>
              </w:rPr>
              <w:fldChar w:fldCharType="begin"/>
            </w:r>
            <w:r>
              <w:rPr>
                <w:rFonts w:hint="default" w:ascii="Times New Roman" w:hAnsi="Times New Roman" w:eastAsia="宋体" w:cs="Times New Roman"/>
                <w:snapToGrid w:val="0"/>
                <w:color w:val="000000"/>
                <w:spacing w:val="-6"/>
                <w:kern w:val="21"/>
                <w:sz w:val="21"/>
                <w:szCs w:val="21"/>
                <w:highlight w:val="none"/>
              </w:rPr>
              <w:instrText xml:space="preserve"> = 1 \* GB3 \* MERGEFORMAT </w:instrText>
            </w:r>
            <w:r>
              <w:rPr>
                <w:rFonts w:hint="default" w:ascii="Times New Roman" w:hAnsi="Times New Roman" w:eastAsia="宋体" w:cs="Times New Roman"/>
                <w:snapToGrid w:val="0"/>
                <w:color w:val="000000"/>
                <w:spacing w:val="-6"/>
                <w:kern w:val="21"/>
                <w:sz w:val="21"/>
                <w:szCs w:val="21"/>
                <w:highlight w:val="none"/>
              </w:rPr>
              <w:fldChar w:fldCharType="separate"/>
            </w:r>
            <w:r>
              <w:rPr>
                <w:rFonts w:hint="default" w:ascii="Times New Roman" w:hAnsi="Times New Roman" w:eastAsia="宋体" w:cs="Times New Roman"/>
                <w:snapToGrid w:val="0"/>
                <w:color w:val="000000"/>
                <w:spacing w:val="-6"/>
                <w:kern w:val="21"/>
                <w:sz w:val="21"/>
                <w:szCs w:val="21"/>
                <w:highlight w:val="none"/>
              </w:rPr>
              <w:t>①</w:t>
            </w:r>
            <w:r>
              <w:rPr>
                <w:rFonts w:hint="default" w:ascii="Times New Roman" w:hAnsi="Times New Roman" w:eastAsia="宋体" w:cs="Times New Roman"/>
                <w:snapToGrid w:val="0"/>
                <w:color w:val="000000"/>
                <w:spacing w:val="-6"/>
                <w:kern w:val="21"/>
                <w:sz w:val="21"/>
                <w:szCs w:val="21"/>
                <w:highlight w:val="none"/>
              </w:rPr>
              <w:fldChar w:fldCharType="end"/>
            </w:r>
          </w:p>
        </w:tc>
        <w:tc>
          <w:tcPr>
            <w:tcW w:w="438" w:type="pct"/>
            <w:noWrap w:val="0"/>
            <w:tcMar>
              <w:left w:w="28" w:type="dxa"/>
              <w:right w:w="28" w:type="dxa"/>
            </w:tcMar>
            <w:vAlign w:val="center"/>
          </w:tcPr>
          <w:p w14:paraId="73B53657">
            <w:pPr>
              <w:pStyle w:val="25"/>
              <w:spacing w:beforeLines="0" w:afterLines="0" w:line="240" w:lineRule="auto"/>
              <w:jc w:val="center"/>
              <w:rPr>
                <w:rFonts w:hint="default" w:ascii="Times New Roman" w:hAnsi="Times New Roman" w:eastAsia="宋体" w:cs="Times New Roman"/>
                <w:snapToGrid w:val="0"/>
                <w:color w:val="000000"/>
                <w:spacing w:val="-6"/>
                <w:kern w:val="21"/>
                <w:sz w:val="21"/>
                <w:szCs w:val="21"/>
                <w:highlight w:val="none"/>
              </w:rPr>
            </w:pPr>
            <w:r>
              <w:rPr>
                <w:rFonts w:hint="eastAsia" w:ascii="Times New Roman" w:cs="Times New Roman"/>
                <w:snapToGrid w:val="0"/>
                <w:color w:val="000000"/>
                <w:spacing w:val="-6"/>
                <w:kern w:val="21"/>
                <w:sz w:val="21"/>
                <w:szCs w:val="21"/>
                <w:highlight w:val="none"/>
                <w:lang w:eastAsia="zh-CN"/>
              </w:rPr>
              <w:t>（</w:t>
            </w:r>
            <w:r>
              <w:rPr>
                <w:rFonts w:hint="eastAsia" w:ascii="Times New Roman" w:cs="Times New Roman"/>
                <w:snapToGrid w:val="0"/>
                <w:color w:val="000000"/>
                <w:spacing w:val="-6"/>
                <w:kern w:val="21"/>
                <w:sz w:val="21"/>
                <w:szCs w:val="21"/>
                <w:highlight w:val="none"/>
                <w:lang w:val="en-US" w:eastAsia="zh-CN"/>
              </w:rPr>
              <w:t>一期</w:t>
            </w:r>
            <w:r>
              <w:rPr>
                <w:rFonts w:hint="eastAsia" w:ascii="Times New Roman" w:cs="Times New Roman"/>
                <w:snapToGrid w:val="0"/>
                <w:color w:val="000000"/>
                <w:spacing w:val="-6"/>
                <w:kern w:val="21"/>
                <w:sz w:val="21"/>
                <w:szCs w:val="21"/>
                <w:highlight w:val="none"/>
                <w:lang w:eastAsia="zh-CN"/>
              </w:rPr>
              <w:t>）</w:t>
            </w:r>
            <w:r>
              <w:rPr>
                <w:rFonts w:hint="default" w:ascii="Times New Roman" w:hAnsi="Times New Roman" w:eastAsia="宋体" w:cs="Times New Roman"/>
                <w:snapToGrid w:val="0"/>
                <w:color w:val="000000"/>
                <w:spacing w:val="-6"/>
                <w:kern w:val="21"/>
                <w:sz w:val="21"/>
                <w:szCs w:val="21"/>
                <w:highlight w:val="none"/>
              </w:rPr>
              <w:t>现有工程</w:t>
            </w:r>
          </w:p>
          <w:p w14:paraId="3F750363">
            <w:pPr>
              <w:pStyle w:val="25"/>
              <w:spacing w:beforeLines="0" w:afterLines="0" w:line="240" w:lineRule="auto"/>
              <w:jc w:val="center"/>
              <w:rPr>
                <w:rFonts w:hint="default" w:ascii="Times New Roman" w:hAnsi="Times New Roman" w:eastAsia="宋体" w:cs="Times New Roman"/>
                <w:snapToGrid w:val="0"/>
                <w:color w:val="000000"/>
                <w:spacing w:val="-6"/>
                <w:kern w:val="21"/>
                <w:sz w:val="21"/>
                <w:szCs w:val="21"/>
                <w:highlight w:val="none"/>
              </w:rPr>
            </w:pPr>
            <w:r>
              <w:rPr>
                <w:rFonts w:hint="default" w:ascii="Times New Roman" w:hAnsi="Times New Roman" w:eastAsia="宋体" w:cs="Times New Roman"/>
                <w:snapToGrid w:val="0"/>
                <w:color w:val="000000"/>
                <w:spacing w:val="-6"/>
                <w:kern w:val="21"/>
                <w:sz w:val="21"/>
                <w:szCs w:val="21"/>
                <w:highlight w:val="none"/>
              </w:rPr>
              <w:t>许可排放量</w:t>
            </w:r>
          </w:p>
          <w:p w14:paraId="3554F1F1">
            <w:pPr>
              <w:pStyle w:val="25"/>
              <w:spacing w:beforeLines="0" w:afterLines="0" w:line="240" w:lineRule="auto"/>
              <w:jc w:val="center"/>
              <w:rPr>
                <w:rFonts w:hint="default" w:ascii="Times New Roman" w:hAnsi="Times New Roman" w:eastAsia="宋体" w:cs="Times New Roman"/>
                <w:snapToGrid w:val="0"/>
                <w:color w:val="000000"/>
                <w:spacing w:val="-6"/>
                <w:kern w:val="21"/>
                <w:sz w:val="21"/>
                <w:szCs w:val="21"/>
                <w:highlight w:val="none"/>
              </w:rPr>
            </w:pPr>
            <w:r>
              <w:rPr>
                <w:rFonts w:hint="default" w:ascii="Times New Roman" w:hAnsi="Times New Roman" w:eastAsia="宋体" w:cs="Times New Roman"/>
                <w:snapToGrid w:val="0"/>
                <w:color w:val="000000"/>
                <w:spacing w:val="-6"/>
                <w:kern w:val="21"/>
                <w:sz w:val="21"/>
                <w:szCs w:val="21"/>
                <w:highlight w:val="none"/>
              </w:rPr>
              <w:fldChar w:fldCharType="begin"/>
            </w:r>
            <w:r>
              <w:rPr>
                <w:rFonts w:hint="default" w:ascii="Times New Roman" w:hAnsi="Times New Roman" w:eastAsia="宋体" w:cs="Times New Roman"/>
                <w:snapToGrid w:val="0"/>
                <w:color w:val="000000"/>
                <w:spacing w:val="-6"/>
                <w:kern w:val="21"/>
                <w:sz w:val="21"/>
                <w:szCs w:val="21"/>
                <w:highlight w:val="none"/>
              </w:rPr>
              <w:instrText xml:space="preserve"> = 2 \* GB3 \* MERGEFORMAT </w:instrText>
            </w:r>
            <w:r>
              <w:rPr>
                <w:rFonts w:hint="default" w:ascii="Times New Roman" w:hAnsi="Times New Roman" w:eastAsia="宋体" w:cs="Times New Roman"/>
                <w:snapToGrid w:val="0"/>
                <w:color w:val="000000"/>
                <w:spacing w:val="-6"/>
                <w:kern w:val="21"/>
                <w:sz w:val="21"/>
                <w:szCs w:val="21"/>
                <w:highlight w:val="none"/>
              </w:rPr>
              <w:fldChar w:fldCharType="separate"/>
            </w:r>
            <w:r>
              <w:rPr>
                <w:rFonts w:hint="default" w:ascii="Times New Roman" w:hAnsi="Times New Roman" w:eastAsia="宋体" w:cs="Times New Roman"/>
                <w:snapToGrid w:val="0"/>
                <w:color w:val="000000"/>
                <w:spacing w:val="-6"/>
                <w:kern w:val="21"/>
                <w:sz w:val="21"/>
                <w:szCs w:val="21"/>
                <w:highlight w:val="none"/>
              </w:rPr>
              <w:t>②</w:t>
            </w:r>
            <w:r>
              <w:rPr>
                <w:rFonts w:hint="default" w:ascii="Times New Roman" w:hAnsi="Times New Roman" w:eastAsia="宋体" w:cs="Times New Roman"/>
                <w:snapToGrid w:val="0"/>
                <w:color w:val="000000"/>
                <w:spacing w:val="-6"/>
                <w:kern w:val="21"/>
                <w:sz w:val="21"/>
                <w:szCs w:val="21"/>
                <w:highlight w:val="none"/>
              </w:rPr>
              <w:fldChar w:fldCharType="end"/>
            </w:r>
          </w:p>
        </w:tc>
        <w:tc>
          <w:tcPr>
            <w:tcW w:w="584" w:type="pct"/>
            <w:noWrap w:val="0"/>
            <w:tcMar>
              <w:left w:w="28" w:type="dxa"/>
              <w:right w:w="28" w:type="dxa"/>
            </w:tcMar>
            <w:vAlign w:val="center"/>
          </w:tcPr>
          <w:p w14:paraId="70C8DB0D">
            <w:pPr>
              <w:pStyle w:val="25"/>
              <w:spacing w:beforeLines="0" w:afterLines="0" w:line="240" w:lineRule="auto"/>
              <w:jc w:val="center"/>
              <w:rPr>
                <w:rFonts w:hint="default" w:ascii="Times New Roman" w:hAnsi="Times New Roman" w:eastAsia="宋体" w:cs="Times New Roman"/>
                <w:snapToGrid w:val="0"/>
                <w:color w:val="000000"/>
                <w:spacing w:val="-6"/>
                <w:kern w:val="21"/>
                <w:sz w:val="21"/>
                <w:szCs w:val="21"/>
                <w:highlight w:val="none"/>
              </w:rPr>
            </w:pPr>
            <w:r>
              <w:rPr>
                <w:rFonts w:hint="default" w:ascii="Times New Roman" w:hAnsi="Times New Roman" w:eastAsia="宋体" w:cs="Times New Roman"/>
                <w:snapToGrid w:val="0"/>
                <w:color w:val="000000"/>
                <w:spacing w:val="-6"/>
                <w:kern w:val="21"/>
                <w:sz w:val="21"/>
                <w:szCs w:val="21"/>
                <w:highlight w:val="none"/>
              </w:rPr>
              <w:t>在建工程</w:t>
            </w:r>
          </w:p>
          <w:p w14:paraId="5A76C1DF">
            <w:pPr>
              <w:pStyle w:val="25"/>
              <w:spacing w:beforeLines="0" w:afterLines="0" w:line="240" w:lineRule="auto"/>
              <w:jc w:val="center"/>
              <w:rPr>
                <w:rFonts w:hint="default" w:ascii="Times New Roman" w:hAnsi="Times New Roman" w:eastAsia="宋体" w:cs="Times New Roman"/>
                <w:snapToGrid w:val="0"/>
                <w:color w:val="000000"/>
                <w:spacing w:val="-6"/>
                <w:kern w:val="21"/>
                <w:sz w:val="21"/>
                <w:szCs w:val="21"/>
                <w:highlight w:val="none"/>
              </w:rPr>
            </w:pPr>
            <w:r>
              <w:rPr>
                <w:rFonts w:hint="default" w:ascii="Times New Roman" w:hAnsi="Times New Roman" w:eastAsia="宋体" w:cs="Times New Roman"/>
                <w:snapToGrid w:val="0"/>
                <w:color w:val="000000"/>
                <w:spacing w:val="-6"/>
                <w:kern w:val="21"/>
                <w:sz w:val="21"/>
                <w:szCs w:val="21"/>
                <w:highlight w:val="none"/>
              </w:rPr>
              <w:t>排放量（固体废物产生量）</w:t>
            </w:r>
            <w:r>
              <w:rPr>
                <w:rFonts w:hint="default" w:ascii="Times New Roman" w:hAnsi="Times New Roman" w:eastAsia="宋体" w:cs="Times New Roman"/>
                <w:snapToGrid w:val="0"/>
                <w:color w:val="000000"/>
                <w:spacing w:val="-6"/>
                <w:kern w:val="21"/>
                <w:sz w:val="21"/>
                <w:szCs w:val="21"/>
                <w:highlight w:val="none"/>
              </w:rPr>
              <w:fldChar w:fldCharType="begin"/>
            </w:r>
            <w:r>
              <w:rPr>
                <w:rFonts w:hint="default" w:ascii="Times New Roman" w:hAnsi="Times New Roman" w:eastAsia="宋体" w:cs="Times New Roman"/>
                <w:snapToGrid w:val="0"/>
                <w:color w:val="000000"/>
                <w:spacing w:val="-6"/>
                <w:kern w:val="21"/>
                <w:sz w:val="21"/>
                <w:szCs w:val="21"/>
                <w:highlight w:val="none"/>
              </w:rPr>
              <w:instrText xml:space="preserve"> = 3 \* GB3 \* MERGEFORMAT </w:instrText>
            </w:r>
            <w:r>
              <w:rPr>
                <w:rFonts w:hint="default" w:ascii="Times New Roman" w:hAnsi="Times New Roman" w:eastAsia="宋体" w:cs="Times New Roman"/>
                <w:snapToGrid w:val="0"/>
                <w:color w:val="000000"/>
                <w:spacing w:val="-6"/>
                <w:kern w:val="21"/>
                <w:sz w:val="21"/>
                <w:szCs w:val="21"/>
                <w:highlight w:val="none"/>
              </w:rPr>
              <w:fldChar w:fldCharType="separate"/>
            </w:r>
            <w:r>
              <w:rPr>
                <w:rFonts w:hint="default" w:ascii="Times New Roman" w:hAnsi="Times New Roman" w:eastAsia="宋体" w:cs="Times New Roman"/>
                <w:kern w:val="2"/>
                <w:sz w:val="21"/>
                <w:szCs w:val="21"/>
                <w:highlight w:val="none"/>
              </w:rPr>
              <w:t>③</w:t>
            </w:r>
            <w:r>
              <w:rPr>
                <w:rFonts w:hint="default" w:ascii="Times New Roman" w:hAnsi="Times New Roman" w:eastAsia="宋体" w:cs="Times New Roman"/>
                <w:snapToGrid w:val="0"/>
                <w:color w:val="000000"/>
                <w:spacing w:val="-6"/>
                <w:kern w:val="21"/>
                <w:sz w:val="21"/>
                <w:szCs w:val="21"/>
                <w:highlight w:val="none"/>
              </w:rPr>
              <w:fldChar w:fldCharType="end"/>
            </w:r>
          </w:p>
        </w:tc>
        <w:tc>
          <w:tcPr>
            <w:tcW w:w="535" w:type="pct"/>
            <w:noWrap w:val="0"/>
            <w:tcMar>
              <w:left w:w="28" w:type="dxa"/>
              <w:right w:w="28" w:type="dxa"/>
            </w:tcMar>
            <w:vAlign w:val="center"/>
          </w:tcPr>
          <w:p w14:paraId="4AE633A2">
            <w:pPr>
              <w:pStyle w:val="25"/>
              <w:spacing w:beforeLines="0" w:afterLines="0" w:line="240" w:lineRule="auto"/>
              <w:jc w:val="center"/>
              <w:rPr>
                <w:rFonts w:hint="default" w:ascii="Times New Roman" w:hAnsi="Times New Roman" w:eastAsia="宋体" w:cs="Times New Roman"/>
                <w:snapToGrid w:val="0"/>
                <w:color w:val="000000"/>
                <w:spacing w:val="-6"/>
                <w:kern w:val="21"/>
                <w:sz w:val="21"/>
                <w:szCs w:val="21"/>
                <w:highlight w:val="none"/>
              </w:rPr>
            </w:pPr>
            <w:r>
              <w:rPr>
                <w:rFonts w:hint="default" w:ascii="Times New Roman" w:hAnsi="Times New Roman" w:eastAsia="宋体" w:cs="Times New Roman"/>
                <w:snapToGrid w:val="0"/>
                <w:color w:val="000000"/>
                <w:spacing w:val="-6"/>
                <w:kern w:val="21"/>
                <w:sz w:val="21"/>
                <w:szCs w:val="21"/>
                <w:highlight w:val="none"/>
              </w:rPr>
              <w:t>本项目</w:t>
            </w:r>
          </w:p>
          <w:p w14:paraId="0E0AED2F">
            <w:pPr>
              <w:pStyle w:val="25"/>
              <w:spacing w:beforeLines="0" w:afterLines="0" w:line="240" w:lineRule="auto"/>
              <w:jc w:val="center"/>
              <w:rPr>
                <w:rFonts w:hint="default" w:ascii="Times New Roman" w:hAnsi="Times New Roman" w:eastAsia="宋体" w:cs="Times New Roman"/>
                <w:snapToGrid w:val="0"/>
                <w:color w:val="000000"/>
                <w:spacing w:val="-6"/>
                <w:kern w:val="21"/>
                <w:sz w:val="21"/>
                <w:szCs w:val="21"/>
                <w:highlight w:val="none"/>
              </w:rPr>
            </w:pPr>
            <w:r>
              <w:rPr>
                <w:rFonts w:hint="default" w:ascii="Times New Roman" w:hAnsi="Times New Roman" w:eastAsia="宋体" w:cs="Times New Roman"/>
                <w:snapToGrid w:val="0"/>
                <w:color w:val="000000"/>
                <w:spacing w:val="-6"/>
                <w:kern w:val="21"/>
                <w:sz w:val="21"/>
                <w:szCs w:val="21"/>
                <w:highlight w:val="none"/>
              </w:rPr>
              <w:t>排放量（固体废物产生量）</w:t>
            </w:r>
            <w:r>
              <w:rPr>
                <w:rFonts w:hint="default" w:ascii="Times New Roman" w:hAnsi="Times New Roman" w:eastAsia="宋体" w:cs="Times New Roman"/>
                <w:snapToGrid w:val="0"/>
                <w:color w:val="000000"/>
                <w:spacing w:val="-6"/>
                <w:kern w:val="21"/>
                <w:sz w:val="21"/>
                <w:szCs w:val="21"/>
                <w:highlight w:val="none"/>
              </w:rPr>
              <w:fldChar w:fldCharType="begin"/>
            </w:r>
            <w:r>
              <w:rPr>
                <w:rFonts w:hint="default" w:ascii="Times New Roman" w:hAnsi="Times New Roman" w:eastAsia="宋体" w:cs="Times New Roman"/>
                <w:snapToGrid w:val="0"/>
                <w:color w:val="000000"/>
                <w:spacing w:val="-6"/>
                <w:kern w:val="21"/>
                <w:sz w:val="21"/>
                <w:szCs w:val="21"/>
                <w:highlight w:val="none"/>
              </w:rPr>
              <w:instrText xml:space="preserve"> = 4 \* GB3 \* MERGEFORMAT </w:instrText>
            </w:r>
            <w:r>
              <w:rPr>
                <w:rFonts w:hint="default" w:ascii="Times New Roman" w:hAnsi="Times New Roman" w:eastAsia="宋体" w:cs="Times New Roman"/>
                <w:snapToGrid w:val="0"/>
                <w:color w:val="000000"/>
                <w:spacing w:val="-6"/>
                <w:kern w:val="21"/>
                <w:sz w:val="21"/>
                <w:szCs w:val="21"/>
                <w:highlight w:val="none"/>
              </w:rPr>
              <w:fldChar w:fldCharType="separate"/>
            </w:r>
            <w:r>
              <w:rPr>
                <w:rFonts w:hint="default" w:ascii="Times New Roman" w:hAnsi="Times New Roman" w:eastAsia="宋体" w:cs="Times New Roman"/>
                <w:kern w:val="2"/>
                <w:sz w:val="21"/>
                <w:szCs w:val="21"/>
                <w:highlight w:val="none"/>
              </w:rPr>
              <w:t>④</w:t>
            </w:r>
            <w:r>
              <w:rPr>
                <w:rFonts w:hint="default" w:ascii="Times New Roman" w:hAnsi="Times New Roman" w:eastAsia="宋体" w:cs="Times New Roman"/>
                <w:snapToGrid w:val="0"/>
                <w:color w:val="000000"/>
                <w:spacing w:val="-6"/>
                <w:kern w:val="21"/>
                <w:sz w:val="21"/>
                <w:szCs w:val="21"/>
                <w:highlight w:val="none"/>
              </w:rPr>
              <w:fldChar w:fldCharType="end"/>
            </w:r>
          </w:p>
        </w:tc>
        <w:tc>
          <w:tcPr>
            <w:tcW w:w="604" w:type="pct"/>
            <w:noWrap w:val="0"/>
            <w:tcMar>
              <w:left w:w="28" w:type="dxa"/>
              <w:right w:w="28" w:type="dxa"/>
            </w:tcMar>
            <w:vAlign w:val="center"/>
          </w:tcPr>
          <w:p w14:paraId="0CEDC075">
            <w:pPr>
              <w:pStyle w:val="25"/>
              <w:spacing w:beforeLines="0" w:afterLines="0" w:line="240" w:lineRule="auto"/>
              <w:jc w:val="center"/>
              <w:rPr>
                <w:rFonts w:hint="default" w:ascii="Times New Roman" w:hAnsi="Times New Roman" w:eastAsia="宋体" w:cs="Times New Roman"/>
                <w:snapToGrid w:val="0"/>
                <w:color w:val="000000"/>
                <w:spacing w:val="-16"/>
                <w:kern w:val="21"/>
                <w:sz w:val="21"/>
                <w:szCs w:val="21"/>
                <w:highlight w:val="none"/>
              </w:rPr>
            </w:pPr>
            <w:r>
              <w:rPr>
                <w:rFonts w:hint="default" w:ascii="Times New Roman" w:hAnsi="Times New Roman" w:eastAsia="宋体" w:cs="Times New Roman"/>
                <w:snapToGrid w:val="0"/>
                <w:color w:val="000000"/>
                <w:spacing w:val="-16"/>
                <w:kern w:val="21"/>
                <w:sz w:val="21"/>
                <w:szCs w:val="21"/>
                <w:highlight w:val="none"/>
              </w:rPr>
              <w:t>以新带老削减量</w:t>
            </w:r>
          </w:p>
          <w:p w14:paraId="23E6C382">
            <w:pPr>
              <w:pStyle w:val="25"/>
              <w:spacing w:beforeLines="0" w:afterLines="0" w:line="240" w:lineRule="auto"/>
              <w:jc w:val="center"/>
              <w:rPr>
                <w:rFonts w:hint="default" w:ascii="Times New Roman" w:hAnsi="Times New Roman" w:eastAsia="宋体" w:cs="Times New Roman"/>
                <w:snapToGrid w:val="0"/>
                <w:color w:val="000000"/>
                <w:spacing w:val="-16"/>
                <w:kern w:val="21"/>
                <w:sz w:val="21"/>
                <w:szCs w:val="21"/>
                <w:highlight w:val="none"/>
              </w:rPr>
            </w:pPr>
            <w:r>
              <w:rPr>
                <w:rFonts w:hint="default" w:ascii="Times New Roman" w:hAnsi="Times New Roman" w:eastAsia="宋体" w:cs="Times New Roman"/>
                <w:snapToGrid w:val="0"/>
                <w:color w:val="000000"/>
                <w:spacing w:val="-16"/>
                <w:kern w:val="21"/>
                <w:sz w:val="21"/>
                <w:szCs w:val="21"/>
                <w:highlight w:val="none"/>
              </w:rPr>
              <w:t>（新建项目不填）</w:t>
            </w:r>
            <w:r>
              <w:rPr>
                <w:rFonts w:hint="default" w:ascii="Times New Roman" w:hAnsi="Times New Roman" w:eastAsia="宋体" w:cs="Times New Roman"/>
                <w:snapToGrid w:val="0"/>
                <w:color w:val="000000"/>
                <w:spacing w:val="-16"/>
                <w:kern w:val="21"/>
                <w:sz w:val="21"/>
                <w:szCs w:val="21"/>
                <w:highlight w:val="none"/>
              </w:rPr>
              <w:fldChar w:fldCharType="begin"/>
            </w:r>
            <w:r>
              <w:rPr>
                <w:rFonts w:hint="default" w:ascii="Times New Roman" w:hAnsi="Times New Roman" w:eastAsia="宋体" w:cs="Times New Roman"/>
                <w:snapToGrid w:val="0"/>
                <w:color w:val="000000"/>
                <w:spacing w:val="-16"/>
                <w:kern w:val="21"/>
                <w:sz w:val="21"/>
                <w:szCs w:val="21"/>
                <w:highlight w:val="none"/>
              </w:rPr>
              <w:instrText xml:space="preserve"> = 5 \* GB3 \* MERGEFORMAT </w:instrText>
            </w:r>
            <w:r>
              <w:rPr>
                <w:rFonts w:hint="default" w:ascii="Times New Roman" w:hAnsi="Times New Roman" w:eastAsia="宋体" w:cs="Times New Roman"/>
                <w:snapToGrid w:val="0"/>
                <w:color w:val="000000"/>
                <w:spacing w:val="-16"/>
                <w:kern w:val="21"/>
                <w:sz w:val="21"/>
                <w:szCs w:val="21"/>
                <w:highlight w:val="none"/>
              </w:rPr>
              <w:fldChar w:fldCharType="separate"/>
            </w:r>
            <w:r>
              <w:rPr>
                <w:rFonts w:hint="default" w:ascii="Times New Roman" w:hAnsi="Times New Roman" w:eastAsia="宋体" w:cs="Times New Roman"/>
                <w:kern w:val="2"/>
                <w:sz w:val="21"/>
                <w:szCs w:val="21"/>
                <w:highlight w:val="none"/>
              </w:rPr>
              <w:t>⑤</w:t>
            </w:r>
            <w:r>
              <w:rPr>
                <w:rFonts w:hint="default" w:ascii="Times New Roman" w:hAnsi="Times New Roman" w:eastAsia="宋体" w:cs="Times New Roman"/>
                <w:snapToGrid w:val="0"/>
                <w:color w:val="000000"/>
                <w:spacing w:val="-16"/>
                <w:kern w:val="21"/>
                <w:sz w:val="21"/>
                <w:szCs w:val="21"/>
                <w:highlight w:val="none"/>
              </w:rPr>
              <w:fldChar w:fldCharType="end"/>
            </w:r>
          </w:p>
        </w:tc>
        <w:tc>
          <w:tcPr>
            <w:tcW w:w="598" w:type="pct"/>
            <w:noWrap w:val="0"/>
            <w:tcMar>
              <w:left w:w="28" w:type="dxa"/>
              <w:right w:w="28" w:type="dxa"/>
            </w:tcMar>
            <w:vAlign w:val="center"/>
          </w:tcPr>
          <w:p w14:paraId="4BF643FE">
            <w:pPr>
              <w:pStyle w:val="25"/>
              <w:spacing w:beforeLines="0" w:afterLines="0" w:line="240" w:lineRule="auto"/>
              <w:jc w:val="center"/>
              <w:rPr>
                <w:rFonts w:hint="default" w:ascii="Times New Roman" w:hAnsi="Times New Roman" w:eastAsia="宋体" w:cs="Times New Roman"/>
                <w:snapToGrid w:val="0"/>
                <w:color w:val="000000"/>
                <w:spacing w:val="-16"/>
                <w:kern w:val="21"/>
                <w:sz w:val="21"/>
                <w:szCs w:val="21"/>
                <w:highlight w:val="none"/>
              </w:rPr>
            </w:pPr>
            <w:r>
              <w:rPr>
                <w:rFonts w:hint="default" w:ascii="Times New Roman" w:hAnsi="Times New Roman" w:eastAsia="宋体" w:cs="Times New Roman"/>
                <w:snapToGrid w:val="0"/>
                <w:color w:val="000000"/>
                <w:spacing w:val="-16"/>
                <w:kern w:val="21"/>
                <w:sz w:val="21"/>
                <w:szCs w:val="21"/>
                <w:highlight w:val="none"/>
              </w:rPr>
              <w:t>本项目建成后</w:t>
            </w:r>
          </w:p>
          <w:p w14:paraId="0066285F">
            <w:pPr>
              <w:pStyle w:val="25"/>
              <w:spacing w:beforeLines="0" w:afterLines="0" w:line="240" w:lineRule="auto"/>
              <w:jc w:val="center"/>
              <w:rPr>
                <w:rFonts w:hint="default" w:ascii="Times New Roman" w:hAnsi="Times New Roman" w:eastAsia="宋体" w:cs="Times New Roman"/>
                <w:snapToGrid w:val="0"/>
                <w:color w:val="000000"/>
                <w:spacing w:val="-16"/>
                <w:kern w:val="21"/>
                <w:sz w:val="21"/>
                <w:szCs w:val="21"/>
                <w:highlight w:val="none"/>
              </w:rPr>
            </w:pPr>
            <w:r>
              <w:rPr>
                <w:rFonts w:hint="default" w:ascii="Times New Roman" w:hAnsi="Times New Roman" w:eastAsia="宋体" w:cs="Times New Roman"/>
                <w:snapToGrid w:val="0"/>
                <w:color w:val="000000"/>
                <w:spacing w:val="-16"/>
                <w:kern w:val="21"/>
                <w:sz w:val="21"/>
                <w:szCs w:val="21"/>
                <w:highlight w:val="none"/>
              </w:rPr>
              <w:t>全厂排放量（固体废物产生量）</w:t>
            </w:r>
            <w:r>
              <w:rPr>
                <w:rFonts w:hint="default" w:ascii="Times New Roman" w:hAnsi="Times New Roman" w:eastAsia="宋体" w:cs="Times New Roman"/>
                <w:snapToGrid w:val="0"/>
                <w:color w:val="000000"/>
                <w:spacing w:val="-16"/>
                <w:kern w:val="21"/>
                <w:sz w:val="21"/>
                <w:szCs w:val="21"/>
                <w:highlight w:val="none"/>
              </w:rPr>
              <w:fldChar w:fldCharType="begin"/>
            </w:r>
            <w:r>
              <w:rPr>
                <w:rFonts w:hint="default" w:ascii="Times New Roman" w:hAnsi="Times New Roman" w:eastAsia="宋体" w:cs="Times New Roman"/>
                <w:snapToGrid w:val="0"/>
                <w:color w:val="000000"/>
                <w:spacing w:val="-16"/>
                <w:kern w:val="21"/>
                <w:sz w:val="21"/>
                <w:szCs w:val="21"/>
                <w:highlight w:val="none"/>
              </w:rPr>
              <w:instrText xml:space="preserve"> = 6 \* GB3 \* MERGEFORMAT </w:instrText>
            </w:r>
            <w:r>
              <w:rPr>
                <w:rFonts w:hint="default" w:ascii="Times New Roman" w:hAnsi="Times New Roman" w:eastAsia="宋体" w:cs="Times New Roman"/>
                <w:snapToGrid w:val="0"/>
                <w:color w:val="000000"/>
                <w:spacing w:val="-16"/>
                <w:kern w:val="21"/>
                <w:sz w:val="21"/>
                <w:szCs w:val="21"/>
                <w:highlight w:val="none"/>
              </w:rPr>
              <w:fldChar w:fldCharType="separate"/>
            </w:r>
            <w:r>
              <w:rPr>
                <w:rFonts w:hint="default" w:ascii="Times New Roman" w:hAnsi="Times New Roman" w:eastAsia="宋体" w:cs="Times New Roman"/>
                <w:kern w:val="2"/>
                <w:sz w:val="21"/>
                <w:szCs w:val="21"/>
                <w:highlight w:val="none"/>
              </w:rPr>
              <w:t>⑥</w:t>
            </w:r>
            <w:r>
              <w:rPr>
                <w:rFonts w:hint="default" w:ascii="Times New Roman" w:hAnsi="Times New Roman" w:eastAsia="宋体" w:cs="Times New Roman"/>
                <w:snapToGrid w:val="0"/>
                <w:color w:val="000000"/>
                <w:spacing w:val="-16"/>
                <w:kern w:val="21"/>
                <w:sz w:val="21"/>
                <w:szCs w:val="21"/>
                <w:highlight w:val="none"/>
              </w:rPr>
              <w:fldChar w:fldCharType="end"/>
            </w:r>
          </w:p>
        </w:tc>
        <w:tc>
          <w:tcPr>
            <w:tcW w:w="623" w:type="pct"/>
            <w:noWrap w:val="0"/>
            <w:tcMar>
              <w:left w:w="28" w:type="dxa"/>
              <w:right w:w="28" w:type="dxa"/>
            </w:tcMar>
            <w:vAlign w:val="center"/>
          </w:tcPr>
          <w:p w14:paraId="08A651BF">
            <w:pPr>
              <w:pStyle w:val="25"/>
              <w:spacing w:beforeLines="0" w:afterLines="0" w:line="240" w:lineRule="auto"/>
              <w:jc w:val="center"/>
              <w:rPr>
                <w:rFonts w:hint="default" w:ascii="Times New Roman" w:hAnsi="Times New Roman" w:eastAsia="宋体" w:cs="Times New Roman"/>
                <w:snapToGrid w:val="0"/>
                <w:color w:val="000000"/>
                <w:spacing w:val="-6"/>
                <w:kern w:val="21"/>
                <w:sz w:val="21"/>
                <w:szCs w:val="21"/>
                <w:highlight w:val="none"/>
              </w:rPr>
            </w:pPr>
            <w:r>
              <w:rPr>
                <w:rFonts w:hint="default" w:ascii="Times New Roman" w:hAnsi="Times New Roman" w:eastAsia="宋体" w:cs="Times New Roman"/>
                <w:snapToGrid w:val="0"/>
                <w:color w:val="000000"/>
                <w:spacing w:val="-6"/>
                <w:kern w:val="21"/>
                <w:sz w:val="21"/>
                <w:szCs w:val="21"/>
                <w:highlight w:val="none"/>
              </w:rPr>
              <w:t>变化量</w:t>
            </w:r>
          </w:p>
          <w:p w14:paraId="0FB3739D">
            <w:pPr>
              <w:pStyle w:val="25"/>
              <w:spacing w:beforeLines="0" w:afterLines="0" w:line="240" w:lineRule="auto"/>
              <w:jc w:val="center"/>
              <w:rPr>
                <w:rFonts w:hint="default" w:ascii="Times New Roman" w:hAnsi="Times New Roman" w:eastAsia="宋体" w:cs="Times New Roman"/>
                <w:snapToGrid w:val="0"/>
                <w:color w:val="000000"/>
                <w:spacing w:val="-6"/>
                <w:kern w:val="21"/>
                <w:sz w:val="21"/>
                <w:szCs w:val="21"/>
                <w:highlight w:val="none"/>
              </w:rPr>
            </w:pPr>
            <w:r>
              <w:rPr>
                <w:rFonts w:hint="default" w:ascii="Times New Roman" w:hAnsi="Times New Roman" w:eastAsia="宋体" w:cs="Times New Roman"/>
                <w:snapToGrid w:val="0"/>
                <w:color w:val="000000"/>
                <w:spacing w:val="-6"/>
                <w:kern w:val="21"/>
                <w:sz w:val="21"/>
                <w:szCs w:val="21"/>
                <w:highlight w:val="none"/>
              </w:rPr>
              <w:fldChar w:fldCharType="begin"/>
            </w:r>
            <w:r>
              <w:rPr>
                <w:rFonts w:hint="default" w:ascii="Times New Roman" w:hAnsi="Times New Roman" w:eastAsia="宋体" w:cs="Times New Roman"/>
                <w:snapToGrid w:val="0"/>
                <w:color w:val="000000"/>
                <w:spacing w:val="-6"/>
                <w:kern w:val="21"/>
                <w:sz w:val="21"/>
                <w:szCs w:val="21"/>
                <w:highlight w:val="none"/>
              </w:rPr>
              <w:instrText xml:space="preserve"> = 7 \* GB3 \* MERGEFORMAT </w:instrText>
            </w:r>
            <w:r>
              <w:rPr>
                <w:rFonts w:hint="default" w:ascii="Times New Roman" w:hAnsi="Times New Roman" w:eastAsia="宋体" w:cs="Times New Roman"/>
                <w:snapToGrid w:val="0"/>
                <w:color w:val="000000"/>
                <w:spacing w:val="-6"/>
                <w:kern w:val="21"/>
                <w:sz w:val="21"/>
                <w:szCs w:val="21"/>
                <w:highlight w:val="none"/>
              </w:rPr>
              <w:fldChar w:fldCharType="separate"/>
            </w:r>
            <w:r>
              <w:rPr>
                <w:rFonts w:hint="default" w:ascii="Times New Roman" w:hAnsi="Times New Roman" w:eastAsia="宋体" w:cs="Times New Roman"/>
                <w:kern w:val="2"/>
                <w:sz w:val="21"/>
                <w:szCs w:val="21"/>
                <w:highlight w:val="none"/>
              </w:rPr>
              <w:t>⑦</w:t>
            </w:r>
            <w:r>
              <w:rPr>
                <w:rFonts w:hint="default" w:ascii="Times New Roman" w:hAnsi="Times New Roman" w:eastAsia="宋体" w:cs="Times New Roman"/>
                <w:snapToGrid w:val="0"/>
                <w:color w:val="000000"/>
                <w:spacing w:val="-6"/>
                <w:kern w:val="21"/>
                <w:sz w:val="21"/>
                <w:szCs w:val="21"/>
                <w:highlight w:val="none"/>
              </w:rPr>
              <w:fldChar w:fldCharType="end"/>
            </w:r>
          </w:p>
        </w:tc>
      </w:tr>
      <w:tr w14:paraId="3D0702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545" w:type="pct"/>
            <w:vMerge w:val="restart"/>
            <w:noWrap w:val="0"/>
            <w:vAlign w:val="center"/>
          </w:tcPr>
          <w:p w14:paraId="1E9EA928">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废气</w:t>
            </w:r>
          </w:p>
        </w:tc>
        <w:tc>
          <w:tcPr>
            <w:tcW w:w="486" w:type="pct"/>
            <w:noWrap w:val="0"/>
            <w:vAlign w:val="center"/>
          </w:tcPr>
          <w:p w14:paraId="6DA7789D">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lang w:val="en-US" w:eastAsia="zh-CN"/>
              </w:rPr>
              <w:t>NH</w:t>
            </w:r>
            <w:r>
              <w:rPr>
                <w:rFonts w:hint="default" w:ascii="Times New Roman" w:hAnsi="Times New Roman" w:eastAsia="宋体" w:cs="Times New Roman"/>
                <w:snapToGrid w:val="0"/>
                <w:color w:val="000000"/>
                <w:kern w:val="21"/>
                <w:sz w:val="21"/>
                <w:szCs w:val="21"/>
                <w:highlight w:val="none"/>
                <w:vertAlign w:val="subscript"/>
              </w:rPr>
              <w:t>3</w:t>
            </w:r>
          </w:p>
        </w:tc>
        <w:tc>
          <w:tcPr>
            <w:tcW w:w="584" w:type="pct"/>
            <w:noWrap w:val="0"/>
            <w:vAlign w:val="center"/>
          </w:tcPr>
          <w:p w14:paraId="4EB84A2B">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438" w:type="pct"/>
            <w:noWrap w:val="0"/>
            <w:vAlign w:val="center"/>
          </w:tcPr>
          <w:p w14:paraId="0A2A8F48">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84" w:type="pct"/>
            <w:noWrap w:val="0"/>
            <w:vAlign w:val="center"/>
          </w:tcPr>
          <w:p w14:paraId="03A09E77">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35" w:type="pct"/>
            <w:noWrap w:val="0"/>
            <w:vAlign w:val="center"/>
          </w:tcPr>
          <w:p w14:paraId="15EC04E5">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0.0936t/a</w:t>
            </w:r>
          </w:p>
        </w:tc>
        <w:tc>
          <w:tcPr>
            <w:tcW w:w="604" w:type="pct"/>
            <w:noWrap w:val="0"/>
            <w:vAlign w:val="center"/>
          </w:tcPr>
          <w:p w14:paraId="17421786">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98" w:type="pct"/>
            <w:shd w:val="clear" w:color="auto" w:fill="auto"/>
            <w:noWrap w:val="0"/>
            <w:vAlign w:val="center"/>
          </w:tcPr>
          <w:p w14:paraId="318C49B4">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0.0936t/a</w:t>
            </w:r>
          </w:p>
        </w:tc>
        <w:tc>
          <w:tcPr>
            <w:tcW w:w="623" w:type="pct"/>
            <w:shd w:val="clear" w:color="auto" w:fill="auto"/>
            <w:noWrap w:val="0"/>
            <w:vAlign w:val="center"/>
          </w:tcPr>
          <w:p w14:paraId="667196A0">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lang w:val="en-US" w:eastAsia="zh-CN"/>
              </w:rPr>
              <w:t>+</w:t>
            </w:r>
            <w:r>
              <w:rPr>
                <w:rFonts w:hint="default" w:ascii="Times New Roman" w:hAnsi="Times New Roman" w:eastAsia="宋体" w:cs="Times New Roman"/>
                <w:snapToGrid w:val="0"/>
                <w:color w:val="000000"/>
                <w:kern w:val="21"/>
                <w:sz w:val="21"/>
                <w:szCs w:val="21"/>
                <w:highlight w:val="none"/>
              </w:rPr>
              <w:t>0.0936t/a</w:t>
            </w:r>
          </w:p>
        </w:tc>
      </w:tr>
      <w:tr w14:paraId="4D1336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545" w:type="pct"/>
            <w:vMerge w:val="continue"/>
            <w:noWrap w:val="0"/>
            <w:vAlign w:val="center"/>
          </w:tcPr>
          <w:p w14:paraId="39E6A91D">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p>
        </w:tc>
        <w:tc>
          <w:tcPr>
            <w:tcW w:w="486" w:type="pct"/>
            <w:noWrap w:val="0"/>
            <w:vAlign w:val="center"/>
          </w:tcPr>
          <w:p w14:paraId="764329B2">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lang w:val="en-US" w:eastAsia="zh-CN"/>
              </w:rPr>
              <w:t>H</w:t>
            </w:r>
            <w:r>
              <w:rPr>
                <w:rFonts w:hint="default" w:ascii="Times New Roman" w:hAnsi="Times New Roman" w:eastAsia="宋体" w:cs="Times New Roman"/>
                <w:snapToGrid w:val="0"/>
                <w:color w:val="000000"/>
                <w:kern w:val="21"/>
                <w:sz w:val="21"/>
                <w:szCs w:val="21"/>
                <w:highlight w:val="none"/>
                <w:vertAlign w:val="subscript"/>
              </w:rPr>
              <w:t>2</w:t>
            </w:r>
            <w:r>
              <w:rPr>
                <w:rFonts w:hint="default" w:ascii="Times New Roman" w:hAnsi="Times New Roman" w:eastAsia="宋体" w:cs="Times New Roman"/>
                <w:snapToGrid w:val="0"/>
                <w:color w:val="000000"/>
                <w:kern w:val="21"/>
                <w:sz w:val="21"/>
                <w:szCs w:val="21"/>
                <w:highlight w:val="none"/>
                <w:lang w:val="en-US" w:eastAsia="zh-CN"/>
              </w:rPr>
              <w:t>S</w:t>
            </w:r>
          </w:p>
        </w:tc>
        <w:tc>
          <w:tcPr>
            <w:tcW w:w="584" w:type="pct"/>
            <w:noWrap w:val="0"/>
            <w:vAlign w:val="center"/>
          </w:tcPr>
          <w:p w14:paraId="7FFF2725">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438" w:type="pct"/>
            <w:noWrap w:val="0"/>
            <w:vAlign w:val="center"/>
          </w:tcPr>
          <w:p w14:paraId="12A83976">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84" w:type="pct"/>
            <w:noWrap w:val="0"/>
            <w:vAlign w:val="center"/>
          </w:tcPr>
          <w:p w14:paraId="27A267CA">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35" w:type="pct"/>
            <w:noWrap w:val="0"/>
            <w:vAlign w:val="center"/>
          </w:tcPr>
          <w:p w14:paraId="1BFE25F7">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0.00801t/a</w:t>
            </w:r>
          </w:p>
        </w:tc>
        <w:tc>
          <w:tcPr>
            <w:tcW w:w="604" w:type="pct"/>
            <w:noWrap w:val="0"/>
            <w:vAlign w:val="center"/>
          </w:tcPr>
          <w:p w14:paraId="3D1A3A62">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98" w:type="pct"/>
            <w:shd w:val="clear" w:color="auto" w:fill="auto"/>
            <w:noWrap w:val="0"/>
            <w:vAlign w:val="center"/>
          </w:tcPr>
          <w:p w14:paraId="7BD8D010">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0.00801t/a</w:t>
            </w:r>
          </w:p>
        </w:tc>
        <w:tc>
          <w:tcPr>
            <w:tcW w:w="623" w:type="pct"/>
            <w:shd w:val="clear" w:color="auto" w:fill="auto"/>
            <w:noWrap w:val="0"/>
            <w:vAlign w:val="center"/>
          </w:tcPr>
          <w:p w14:paraId="5CD0EBD6">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lang w:val="en-US" w:eastAsia="zh-CN"/>
              </w:rPr>
              <w:t>+</w:t>
            </w:r>
            <w:r>
              <w:rPr>
                <w:rFonts w:hint="default" w:ascii="Times New Roman" w:hAnsi="Times New Roman" w:eastAsia="宋体" w:cs="Times New Roman"/>
                <w:snapToGrid w:val="0"/>
                <w:color w:val="000000"/>
                <w:kern w:val="21"/>
                <w:sz w:val="21"/>
                <w:szCs w:val="21"/>
                <w:highlight w:val="none"/>
              </w:rPr>
              <w:t>0.00801t/a</w:t>
            </w:r>
          </w:p>
        </w:tc>
      </w:tr>
      <w:tr w14:paraId="3A62FA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545" w:type="pct"/>
            <w:vMerge w:val="restart"/>
            <w:noWrap w:val="0"/>
            <w:vAlign w:val="center"/>
          </w:tcPr>
          <w:p w14:paraId="76FA8E12">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废水</w:t>
            </w:r>
          </w:p>
        </w:tc>
        <w:tc>
          <w:tcPr>
            <w:tcW w:w="486" w:type="pct"/>
            <w:noWrap w:val="0"/>
            <w:vAlign w:val="center"/>
          </w:tcPr>
          <w:p w14:paraId="79595B99">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lang w:val="en-US" w:eastAsia="zh-CN"/>
              </w:rPr>
              <w:t>COD</w:t>
            </w:r>
          </w:p>
        </w:tc>
        <w:tc>
          <w:tcPr>
            <w:tcW w:w="1616" w:type="dxa"/>
            <w:noWrap w:val="0"/>
            <w:vAlign w:val="center"/>
          </w:tcPr>
          <w:p w14:paraId="004AF672">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9.125t/a</w:t>
            </w:r>
          </w:p>
        </w:tc>
        <w:tc>
          <w:tcPr>
            <w:tcW w:w="1212" w:type="dxa"/>
            <w:noWrap w:val="0"/>
            <w:vAlign w:val="center"/>
          </w:tcPr>
          <w:p w14:paraId="4336AE5F">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9.125t/a</w:t>
            </w:r>
          </w:p>
        </w:tc>
        <w:tc>
          <w:tcPr>
            <w:tcW w:w="584" w:type="pct"/>
            <w:noWrap w:val="0"/>
            <w:vAlign w:val="center"/>
          </w:tcPr>
          <w:p w14:paraId="26978820">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35" w:type="pct"/>
            <w:noWrap w:val="0"/>
            <w:vAlign w:val="center"/>
          </w:tcPr>
          <w:p w14:paraId="7D9B55EB">
            <w:pPr>
              <w:pStyle w:val="25"/>
              <w:spacing w:beforeLines="0" w:afterLines="0" w:line="240" w:lineRule="auto"/>
              <w:jc w:val="center"/>
              <w:rPr>
                <w:rFonts w:hint="eastAsia" w:ascii="Times New Roman" w:hAnsi="Times New Roman" w:eastAsia="宋体" w:cs="Times New Roman"/>
                <w:snapToGrid w:val="0"/>
                <w:color w:val="000000"/>
                <w:kern w:val="21"/>
                <w:sz w:val="21"/>
                <w:szCs w:val="21"/>
                <w:highlight w:val="none"/>
                <w:lang w:val="en-US" w:eastAsia="zh-CN"/>
              </w:rPr>
            </w:pPr>
            <w:r>
              <w:rPr>
                <w:rFonts w:hint="eastAsia" w:ascii="Times New Roman" w:cs="Times New Roman"/>
                <w:snapToGrid w:val="0"/>
                <w:color w:val="000000"/>
                <w:kern w:val="21"/>
                <w:sz w:val="21"/>
                <w:szCs w:val="21"/>
                <w:highlight w:val="none"/>
                <w:lang w:val="en-US" w:eastAsia="zh-CN"/>
              </w:rPr>
              <w:t>0</w:t>
            </w:r>
            <w:r>
              <w:rPr>
                <w:rFonts w:hint="default" w:ascii="Times New Roman" w:hAnsi="Times New Roman" w:eastAsia="宋体" w:cs="Times New Roman"/>
                <w:snapToGrid w:val="0"/>
                <w:color w:val="000000"/>
                <w:kern w:val="21"/>
                <w:sz w:val="21"/>
                <w:szCs w:val="21"/>
                <w:highlight w:val="none"/>
              </w:rPr>
              <w:t>t/a</w:t>
            </w:r>
          </w:p>
        </w:tc>
        <w:tc>
          <w:tcPr>
            <w:tcW w:w="604" w:type="pct"/>
            <w:noWrap w:val="0"/>
            <w:vAlign w:val="center"/>
          </w:tcPr>
          <w:p w14:paraId="72EA1CCA">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1655" w:type="dxa"/>
            <w:noWrap w:val="0"/>
            <w:vAlign w:val="center"/>
          </w:tcPr>
          <w:p w14:paraId="23D8F296">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9.125t/a</w:t>
            </w:r>
          </w:p>
        </w:tc>
        <w:tc>
          <w:tcPr>
            <w:tcW w:w="623" w:type="pct"/>
            <w:noWrap w:val="0"/>
            <w:vAlign w:val="center"/>
          </w:tcPr>
          <w:p w14:paraId="16C96557">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eastAsia" w:ascii="Times New Roman" w:cs="Times New Roman"/>
                <w:snapToGrid w:val="0"/>
                <w:color w:val="000000"/>
                <w:kern w:val="21"/>
                <w:sz w:val="21"/>
                <w:szCs w:val="21"/>
                <w:highlight w:val="none"/>
                <w:lang w:val="en-US" w:eastAsia="zh-CN"/>
              </w:rPr>
              <w:t>0</w:t>
            </w:r>
            <w:r>
              <w:rPr>
                <w:rFonts w:hint="default" w:ascii="Times New Roman" w:hAnsi="Times New Roman" w:eastAsia="宋体" w:cs="Times New Roman"/>
                <w:snapToGrid w:val="0"/>
                <w:color w:val="000000"/>
                <w:kern w:val="21"/>
                <w:sz w:val="21"/>
                <w:szCs w:val="21"/>
                <w:highlight w:val="none"/>
              </w:rPr>
              <w:t>t/a</w:t>
            </w:r>
          </w:p>
        </w:tc>
      </w:tr>
      <w:tr w14:paraId="15EEA0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545" w:type="pct"/>
            <w:vMerge w:val="continue"/>
            <w:noWrap w:val="0"/>
            <w:vAlign w:val="center"/>
          </w:tcPr>
          <w:p w14:paraId="2A009172">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p>
        </w:tc>
        <w:tc>
          <w:tcPr>
            <w:tcW w:w="486" w:type="pct"/>
            <w:noWrap w:val="0"/>
            <w:vAlign w:val="center"/>
          </w:tcPr>
          <w:p w14:paraId="6208BA6A">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NH</w:t>
            </w:r>
            <w:r>
              <w:rPr>
                <w:rFonts w:hint="eastAsia" w:ascii="Times New Roman" w:cs="Times New Roman"/>
                <w:snapToGrid w:val="0"/>
                <w:color w:val="000000"/>
                <w:kern w:val="21"/>
                <w:sz w:val="21"/>
                <w:szCs w:val="21"/>
                <w:highlight w:val="none"/>
                <w:vertAlign w:val="subscript"/>
                <w:lang w:val="en-US" w:eastAsia="zh-CN"/>
              </w:rPr>
              <w:t>3</w:t>
            </w:r>
            <w:r>
              <w:rPr>
                <w:rFonts w:hint="default" w:ascii="Times New Roman" w:hAnsi="Times New Roman" w:eastAsia="宋体" w:cs="Times New Roman"/>
                <w:snapToGrid w:val="0"/>
                <w:color w:val="000000"/>
                <w:kern w:val="21"/>
                <w:sz w:val="21"/>
                <w:szCs w:val="21"/>
                <w:highlight w:val="none"/>
              </w:rPr>
              <w:t>-N</w:t>
            </w:r>
          </w:p>
        </w:tc>
        <w:tc>
          <w:tcPr>
            <w:tcW w:w="1616" w:type="dxa"/>
            <w:noWrap w:val="0"/>
            <w:vAlign w:val="center"/>
          </w:tcPr>
          <w:p w14:paraId="102FFBA9">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1.048t/a</w:t>
            </w:r>
          </w:p>
        </w:tc>
        <w:tc>
          <w:tcPr>
            <w:tcW w:w="1212" w:type="dxa"/>
            <w:noWrap w:val="0"/>
            <w:vAlign w:val="center"/>
          </w:tcPr>
          <w:p w14:paraId="0F2744CC">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1.048t/a</w:t>
            </w:r>
          </w:p>
        </w:tc>
        <w:tc>
          <w:tcPr>
            <w:tcW w:w="584" w:type="pct"/>
            <w:noWrap w:val="0"/>
            <w:vAlign w:val="center"/>
          </w:tcPr>
          <w:p w14:paraId="547FE211">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35" w:type="pct"/>
            <w:noWrap w:val="0"/>
            <w:vAlign w:val="center"/>
          </w:tcPr>
          <w:p w14:paraId="56F9A3BD">
            <w:pPr>
              <w:pStyle w:val="25"/>
              <w:spacing w:beforeLines="0" w:afterLines="0" w:line="240" w:lineRule="auto"/>
              <w:jc w:val="center"/>
              <w:rPr>
                <w:rFonts w:hint="eastAsia" w:ascii="Times New Roman" w:hAnsi="Times New Roman" w:eastAsia="宋体" w:cs="Times New Roman"/>
                <w:snapToGrid w:val="0"/>
                <w:color w:val="000000"/>
                <w:kern w:val="21"/>
                <w:sz w:val="21"/>
                <w:szCs w:val="21"/>
                <w:highlight w:val="none"/>
                <w:lang w:val="en-US" w:eastAsia="zh-CN"/>
              </w:rPr>
            </w:pPr>
            <w:r>
              <w:rPr>
                <w:rFonts w:hint="eastAsia" w:ascii="Times New Roman" w:cs="Times New Roman"/>
                <w:snapToGrid w:val="0"/>
                <w:color w:val="000000"/>
                <w:kern w:val="21"/>
                <w:sz w:val="21"/>
                <w:szCs w:val="21"/>
                <w:highlight w:val="none"/>
                <w:lang w:val="en-US" w:eastAsia="zh-CN"/>
              </w:rPr>
              <w:t>0</w:t>
            </w:r>
            <w:r>
              <w:rPr>
                <w:rFonts w:hint="default" w:ascii="Times New Roman" w:hAnsi="Times New Roman" w:eastAsia="宋体" w:cs="Times New Roman"/>
                <w:snapToGrid w:val="0"/>
                <w:color w:val="000000"/>
                <w:kern w:val="21"/>
                <w:sz w:val="21"/>
                <w:szCs w:val="21"/>
                <w:highlight w:val="none"/>
              </w:rPr>
              <w:t>t/a</w:t>
            </w:r>
          </w:p>
        </w:tc>
        <w:tc>
          <w:tcPr>
            <w:tcW w:w="604" w:type="pct"/>
            <w:noWrap w:val="0"/>
            <w:vAlign w:val="center"/>
          </w:tcPr>
          <w:p w14:paraId="17A04D72">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1655" w:type="dxa"/>
            <w:noWrap w:val="0"/>
            <w:vAlign w:val="center"/>
          </w:tcPr>
          <w:p w14:paraId="3A5C0FD8">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1.048t/a</w:t>
            </w:r>
          </w:p>
        </w:tc>
        <w:tc>
          <w:tcPr>
            <w:tcW w:w="623" w:type="pct"/>
            <w:noWrap w:val="0"/>
            <w:vAlign w:val="center"/>
          </w:tcPr>
          <w:p w14:paraId="4A36FE52">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eastAsia" w:ascii="Times New Roman" w:cs="Times New Roman"/>
                <w:snapToGrid w:val="0"/>
                <w:color w:val="000000"/>
                <w:kern w:val="21"/>
                <w:sz w:val="21"/>
                <w:szCs w:val="21"/>
                <w:highlight w:val="none"/>
                <w:lang w:val="en-US" w:eastAsia="zh-CN"/>
              </w:rPr>
              <w:t>0</w:t>
            </w:r>
            <w:r>
              <w:rPr>
                <w:rFonts w:hint="default" w:ascii="Times New Roman" w:hAnsi="Times New Roman" w:eastAsia="宋体" w:cs="Times New Roman"/>
                <w:snapToGrid w:val="0"/>
                <w:color w:val="000000"/>
                <w:kern w:val="21"/>
                <w:sz w:val="21"/>
                <w:szCs w:val="21"/>
                <w:highlight w:val="none"/>
              </w:rPr>
              <w:t>t/a</w:t>
            </w:r>
          </w:p>
        </w:tc>
      </w:tr>
      <w:tr w14:paraId="58C3D2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45" w:type="pct"/>
            <w:vMerge w:val="restart"/>
            <w:noWrap w:val="0"/>
            <w:vAlign w:val="center"/>
          </w:tcPr>
          <w:p w14:paraId="70B999EC">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一般工业</w:t>
            </w:r>
          </w:p>
          <w:p w14:paraId="79740BBF">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固体废物</w:t>
            </w:r>
          </w:p>
        </w:tc>
        <w:tc>
          <w:tcPr>
            <w:tcW w:w="486" w:type="pct"/>
            <w:shd w:val="clear" w:color="auto" w:fill="auto"/>
            <w:noWrap w:val="0"/>
            <w:vAlign w:val="center"/>
          </w:tcPr>
          <w:p w14:paraId="15820CDB">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污泥</w:t>
            </w:r>
          </w:p>
        </w:tc>
        <w:tc>
          <w:tcPr>
            <w:tcW w:w="584" w:type="pct"/>
            <w:shd w:val="clear" w:color="auto" w:fill="auto"/>
            <w:noWrap w:val="0"/>
            <w:vAlign w:val="center"/>
          </w:tcPr>
          <w:p w14:paraId="499ADF05">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438" w:type="pct"/>
            <w:shd w:val="clear" w:color="auto" w:fill="auto"/>
            <w:noWrap w:val="0"/>
            <w:vAlign w:val="center"/>
          </w:tcPr>
          <w:p w14:paraId="348E74F0">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84" w:type="pct"/>
            <w:shd w:val="clear" w:color="auto" w:fill="auto"/>
            <w:noWrap w:val="0"/>
            <w:vAlign w:val="center"/>
          </w:tcPr>
          <w:p w14:paraId="107A1841">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35" w:type="pct"/>
            <w:shd w:val="clear" w:color="auto" w:fill="auto"/>
            <w:noWrap w:val="0"/>
            <w:vAlign w:val="center"/>
          </w:tcPr>
          <w:p w14:paraId="599CBC79">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eastAsia" w:ascii="Times New Roman" w:cs="Times New Roman"/>
                <w:snapToGrid w:val="0"/>
                <w:color w:val="000000"/>
                <w:kern w:val="21"/>
                <w:sz w:val="21"/>
                <w:szCs w:val="21"/>
                <w:highlight w:val="none"/>
                <w:lang w:eastAsia="zh-CN"/>
              </w:rPr>
              <w:t>866.04</w:t>
            </w:r>
            <w:r>
              <w:rPr>
                <w:rFonts w:hint="default" w:ascii="Times New Roman" w:hAnsi="Times New Roman" w:eastAsia="宋体" w:cs="Times New Roman"/>
                <w:snapToGrid w:val="0"/>
                <w:color w:val="000000"/>
                <w:kern w:val="21"/>
                <w:sz w:val="21"/>
                <w:szCs w:val="21"/>
                <w:highlight w:val="none"/>
              </w:rPr>
              <w:t>t/a</w:t>
            </w:r>
          </w:p>
        </w:tc>
        <w:tc>
          <w:tcPr>
            <w:tcW w:w="604" w:type="pct"/>
            <w:noWrap w:val="0"/>
            <w:vAlign w:val="center"/>
          </w:tcPr>
          <w:p w14:paraId="3A2F4DAB">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98" w:type="pct"/>
            <w:shd w:val="clear" w:color="auto" w:fill="auto"/>
            <w:noWrap w:val="0"/>
            <w:vAlign w:val="center"/>
          </w:tcPr>
          <w:p w14:paraId="4CBFCF66">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eastAsia" w:ascii="Times New Roman" w:cs="Times New Roman"/>
                <w:snapToGrid w:val="0"/>
                <w:color w:val="000000"/>
                <w:kern w:val="21"/>
                <w:sz w:val="21"/>
                <w:szCs w:val="21"/>
                <w:highlight w:val="none"/>
                <w:lang w:eastAsia="zh-CN"/>
              </w:rPr>
              <w:t>866.04</w:t>
            </w:r>
            <w:r>
              <w:rPr>
                <w:rFonts w:hint="default" w:ascii="Times New Roman" w:hAnsi="Times New Roman" w:eastAsia="宋体" w:cs="Times New Roman"/>
                <w:snapToGrid w:val="0"/>
                <w:color w:val="000000"/>
                <w:kern w:val="21"/>
                <w:sz w:val="21"/>
                <w:szCs w:val="21"/>
                <w:highlight w:val="none"/>
              </w:rPr>
              <w:t>t/a</w:t>
            </w:r>
          </w:p>
        </w:tc>
        <w:tc>
          <w:tcPr>
            <w:tcW w:w="623" w:type="pct"/>
            <w:shd w:val="clear" w:color="auto" w:fill="auto"/>
            <w:noWrap w:val="0"/>
            <w:vAlign w:val="center"/>
          </w:tcPr>
          <w:p w14:paraId="1EA5076F">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lang w:val="en-US" w:eastAsia="zh-CN"/>
              </w:rPr>
              <w:t>+</w:t>
            </w:r>
            <w:r>
              <w:rPr>
                <w:rFonts w:hint="eastAsia" w:ascii="Times New Roman" w:cs="Times New Roman"/>
                <w:snapToGrid w:val="0"/>
                <w:color w:val="000000"/>
                <w:kern w:val="21"/>
                <w:sz w:val="21"/>
                <w:szCs w:val="21"/>
                <w:highlight w:val="none"/>
                <w:lang w:eastAsia="zh-CN"/>
              </w:rPr>
              <w:t>866.04</w:t>
            </w:r>
            <w:r>
              <w:rPr>
                <w:rFonts w:hint="default" w:ascii="Times New Roman" w:hAnsi="Times New Roman" w:eastAsia="宋体" w:cs="Times New Roman"/>
                <w:snapToGrid w:val="0"/>
                <w:color w:val="000000"/>
                <w:kern w:val="21"/>
                <w:sz w:val="21"/>
                <w:szCs w:val="21"/>
                <w:highlight w:val="none"/>
              </w:rPr>
              <w:t>t/a</w:t>
            </w:r>
          </w:p>
        </w:tc>
      </w:tr>
      <w:tr w14:paraId="518AF1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545" w:type="pct"/>
            <w:vMerge w:val="continue"/>
            <w:noWrap w:val="0"/>
            <w:vAlign w:val="center"/>
          </w:tcPr>
          <w:p w14:paraId="10608686">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p>
        </w:tc>
        <w:tc>
          <w:tcPr>
            <w:tcW w:w="486" w:type="pct"/>
            <w:shd w:val="clear" w:color="auto" w:fill="auto"/>
            <w:noWrap w:val="0"/>
            <w:vAlign w:val="center"/>
          </w:tcPr>
          <w:p w14:paraId="22EBDE4F">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栅渣</w:t>
            </w:r>
          </w:p>
        </w:tc>
        <w:tc>
          <w:tcPr>
            <w:tcW w:w="584" w:type="pct"/>
            <w:shd w:val="clear" w:color="auto" w:fill="auto"/>
            <w:noWrap w:val="0"/>
            <w:vAlign w:val="center"/>
          </w:tcPr>
          <w:p w14:paraId="18E35E20">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438" w:type="pct"/>
            <w:shd w:val="clear" w:color="auto" w:fill="auto"/>
            <w:noWrap w:val="0"/>
            <w:vAlign w:val="center"/>
          </w:tcPr>
          <w:p w14:paraId="467A677D">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84" w:type="pct"/>
            <w:shd w:val="clear" w:color="auto" w:fill="auto"/>
            <w:noWrap w:val="0"/>
            <w:vAlign w:val="center"/>
          </w:tcPr>
          <w:p w14:paraId="57A6F82A">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35" w:type="pct"/>
            <w:shd w:val="clear" w:color="auto" w:fill="auto"/>
            <w:noWrap w:val="0"/>
            <w:vAlign w:val="center"/>
          </w:tcPr>
          <w:p w14:paraId="3088FB86">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eastAsia" w:ascii="Times New Roman" w:cs="Times New Roman"/>
                <w:snapToGrid w:val="0"/>
                <w:color w:val="000000"/>
                <w:kern w:val="21"/>
                <w:sz w:val="21"/>
                <w:szCs w:val="21"/>
                <w:highlight w:val="none"/>
                <w:lang w:eastAsia="zh-CN"/>
              </w:rPr>
              <w:t>73.58</w:t>
            </w:r>
            <w:r>
              <w:rPr>
                <w:rFonts w:hint="default" w:ascii="Times New Roman" w:hAnsi="Times New Roman" w:eastAsia="宋体" w:cs="Times New Roman"/>
                <w:snapToGrid w:val="0"/>
                <w:color w:val="000000"/>
                <w:kern w:val="21"/>
                <w:sz w:val="21"/>
                <w:szCs w:val="21"/>
                <w:highlight w:val="none"/>
              </w:rPr>
              <w:t>t/a</w:t>
            </w:r>
          </w:p>
        </w:tc>
        <w:tc>
          <w:tcPr>
            <w:tcW w:w="604" w:type="pct"/>
            <w:noWrap w:val="0"/>
            <w:vAlign w:val="center"/>
          </w:tcPr>
          <w:p w14:paraId="6B718C8F">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98" w:type="pct"/>
            <w:shd w:val="clear" w:color="auto" w:fill="auto"/>
            <w:noWrap w:val="0"/>
            <w:vAlign w:val="center"/>
          </w:tcPr>
          <w:p w14:paraId="41080554">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eastAsia" w:ascii="Times New Roman" w:cs="Times New Roman"/>
                <w:snapToGrid w:val="0"/>
                <w:color w:val="000000"/>
                <w:kern w:val="21"/>
                <w:sz w:val="21"/>
                <w:szCs w:val="21"/>
                <w:highlight w:val="none"/>
                <w:lang w:eastAsia="zh-CN"/>
              </w:rPr>
              <w:t>73.58</w:t>
            </w:r>
            <w:r>
              <w:rPr>
                <w:rFonts w:hint="default" w:ascii="Times New Roman" w:hAnsi="Times New Roman" w:eastAsia="宋体" w:cs="Times New Roman"/>
                <w:snapToGrid w:val="0"/>
                <w:color w:val="000000"/>
                <w:kern w:val="21"/>
                <w:sz w:val="21"/>
                <w:szCs w:val="21"/>
                <w:highlight w:val="none"/>
              </w:rPr>
              <w:t>t/a</w:t>
            </w:r>
          </w:p>
        </w:tc>
        <w:tc>
          <w:tcPr>
            <w:tcW w:w="623" w:type="pct"/>
            <w:shd w:val="clear" w:color="auto" w:fill="auto"/>
            <w:noWrap w:val="0"/>
            <w:vAlign w:val="center"/>
          </w:tcPr>
          <w:p w14:paraId="1E82A2F5">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lang w:val="en-US" w:eastAsia="zh-CN"/>
              </w:rPr>
              <w:t>+</w:t>
            </w:r>
            <w:r>
              <w:rPr>
                <w:rFonts w:hint="eastAsia" w:ascii="Times New Roman" w:cs="Times New Roman"/>
                <w:snapToGrid w:val="0"/>
                <w:color w:val="000000"/>
                <w:kern w:val="21"/>
                <w:sz w:val="21"/>
                <w:szCs w:val="21"/>
                <w:highlight w:val="none"/>
                <w:lang w:eastAsia="zh-CN"/>
              </w:rPr>
              <w:t>73.58</w:t>
            </w:r>
            <w:r>
              <w:rPr>
                <w:rFonts w:hint="default" w:ascii="Times New Roman" w:hAnsi="Times New Roman" w:eastAsia="宋体" w:cs="Times New Roman"/>
                <w:snapToGrid w:val="0"/>
                <w:color w:val="000000"/>
                <w:kern w:val="21"/>
                <w:sz w:val="21"/>
                <w:szCs w:val="21"/>
                <w:highlight w:val="none"/>
              </w:rPr>
              <w:t>t/a</w:t>
            </w:r>
          </w:p>
        </w:tc>
      </w:tr>
      <w:tr w14:paraId="49D73F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45" w:type="pct"/>
            <w:vMerge w:val="continue"/>
            <w:noWrap w:val="0"/>
            <w:vAlign w:val="center"/>
          </w:tcPr>
          <w:p w14:paraId="78A4FECC">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p>
        </w:tc>
        <w:tc>
          <w:tcPr>
            <w:tcW w:w="486" w:type="pct"/>
            <w:shd w:val="clear" w:color="auto" w:fill="auto"/>
            <w:noWrap w:val="0"/>
            <w:vAlign w:val="center"/>
          </w:tcPr>
          <w:p w14:paraId="7FC35C11">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沉砂</w:t>
            </w:r>
          </w:p>
        </w:tc>
        <w:tc>
          <w:tcPr>
            <w:tcW w:w="584" w:type="pct"/>
            <w:shd w:val="clear" w:color="auto" w:fill="auto"/>
            <w:noWrap w:val="0"/>
            <w:vAlign w:val="center"/>
          </w:tcPr>
          <w:p w14:paraId="1021750E">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438" w:type="pct"/>
            <w:shd w:val="clear" w:color="auto" w:fill="auto"/>
            <w:noWrap w:val="0"/>
            <w:vAlign w:val="center"/>
          </w:tcPr>
          <w:p w14:paraId="5F7C1E9F">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84" w:type="pct"/>
            <w:shd w:val="clear" w:color="auto" w:fill="auto"/>
            <w:noWrap w:val="0"/>
            <w:vAlign w:val="center"/>
          </w:tcPr>
          <w:p w14:paraId="1111FA98">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35" w:type="pct"/>
            <w:shd w:val="clear" w:color="auto" w:fill="auto"/>
            <w:noWrap w:val="0"/>
            <w:vAlign w:val="center"/>
          </w:tcPr>
          <w:p w14:paraId="26C6CB80">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eastAsia" w:ascii="Times New Roman" w:cs="Times New Roman"/>
                <w:snapToGrid w:val="0"/>
                <w:color w:val="000000"/>
                <w:kern w:val="21"/>
                <w:sz w:val="21"/>
                <w:szCs w:val="21"/>
                <w:highlight w:val="none"/>
                <w:lang w:eastAsia="zh-CN"/>
              </w:rPr>
              <w:t>48.28</w:t>
            </w:r>
            <w:r>
              <w:rPr>
                <w:rFonts w:hint="default" w:ascii="Times New Roman" w:hAnsi="Times New Roman" w:eastAsia="宋体" w:cs="Times New Roman"/>
                <w:snapToGrid w:val="0"/>
                <w:color w:val="000000"/>
                <w:kern w:val="21"/>
                <w:sz w:val="21"/>
                <w:szCs w:val="21"/>
                <w:highlight w:val="none"/>
              </w:rPr>
              <w:t>t/a</w:t>
            </w:r>
          </w:p>
        </w:tc>
        <w:tc>
          <w:tcPr>
            <w:tcW w:w="604" w:type="pct"/>
            <w:noWrap w:val="0"/>
            <w:vAlign w:val="center"/>
          </w:tcPr>
          <w:p w14:paraId="0F63EA88">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98" w:type="pct"/>
            <w:shd w:val="clear" w:color="auto" w:fill="auto"/>
            <w:noWrap w:val="0"/>
            <w:vAlign w:val="center"/>
          </w:tcPr>
          <w:p w14:paraId="255640E0">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eastAsia" w:ascii="Times New Roman" w:cs="Times New Roman"/>
                <w:snapToGrid w:val="0"/>
                <w:color w:val="000000"/>
                <w:kern w:val="21"/>
                <w:sz w:val="21"/>
                <w:szCs w:val="21"/>
                <w:highlight w:val="none"/>
                <w:lang w:eastAsia="zh-CN"/>
              </w:rPr>
              <w:t>48.28</w:t>
            </w:r>
            <w:r>
              <w:rPr>
                <w:rFonts w:hint="default" w:ascii="Times New Roman" w:hAnsi="Times New Roman" w:eastAsia="宋体" w:cs="Times New Roman"/>
                <w:snapToGrid w:val="0"/>
                <w:color w:val="000000"/>
                <w:kern w:val="21"/>
                <w:sz w:val="21"/>
                <w:szCs w:val="21"/>
                <w:highlight w:val="none"/>
              </w:rPr>
              <w:t>t/a</w:t>
            </w:r>
          </w:p>
        </w:tc>
        <w:tc>
          <w:tcPr>
            <w:tcW w:w="623" w:type="pct"/>
            <w:shd w:val="clear" w:color="auto" w:fill="auto"/>
            <w:noWrap w:val="0"/>
            <w:vAlign w:val="center"/>
          </w:tcPr>
          <w:p w14:paraId="05AA1134">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lang w:val="en-US" w:eastAsia="zh-CN"/>
              </w:rPr>
              <w:t>+</w:t>
            </w:r>
            <w:r>
              <w:rPr>
                <w:rFonts w:hint="eastAsia" w:ascii="Times New Roman" w:cs="Times New Roman"/>
                <w:snapToGrid w:val="0"/>
                <w:color w:val="000000"/>
                <w:kern w:val="21"/>
                <w:sz w:val="21"/>
                <w:szCs w:val="21"/>
                <w:highlight w:val="none"/>
                <w:lang w:eastAsia="zh-CN"/>
              </w:rPr>
              <w:t>48.28</w:t>
            </w:r>
            <w:r>
              <w:rPr>
                <w:rFonts w:hint="default" w:ascii="Times New Roman" w:hAnsi="Times New Roman" w:eastAsia="宋体" w:cs="Times New Roman"/>
                <w:snapToGrid w:val="0"/>
                <w:color w:val="000000"/>
                <w:kern w:val="21"/>
                <w:sz w:val="21"/>
                <w:szCs w:val="21"/>
                <w:highlight w:val="none"/>
              </w:rPr>
              <w:t>t/a</w:t>
            </w:r>
          </w:p>
        </w:tc>
      </w:tr>
      <w:tr w14:paraId="76053D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5" w:type="pct"/>
            <w:vMerge w:val="continue"/>
            <w:noWrap w:val="0"/>
            <w:vAlign w:val="center"/>
          </w:tcPr>
          <w:p w14:paraId="0C708AA5">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p>
        </w:tc>
        <w:tc>
          <w:tcPr>
            <w:tcW w:w="486" w:type="pct"/>
            <w:shd w:val="clear" w:color="auto" w:fill="auto"/>
            <w:noWrap w:val="0"/>
            <w:vAlign w:val="center"/>
          </w:tcPr>
          <w:p w14:paraId="54E5DC19">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废包装袋</w:t>
            </w:r>
          </w:p>
        </w:tc>
        <w:tc>
          <w:tcPr>
            <w:tcW w:w="584" w:type="pct"/>
            <w:shd w:val="clear" w:color="auto" w:fill="auto"/>
            <w:noWrap w:val="0"/>
            <w:vAlign w:val="center"/>
          </w:tcPr>
          <w:p w14:paraId="7141DA50">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438" w:type="pct"/>
            <w:shd w:val="clear" w:color="auto" w:fill="auto"/>
            <w:noWrap w:val="0"/>
            <w:vAlign w:val="center"/>
          </w:tcPr>
          <w:p w14:paraId="63073DF2">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84" w:type="pct"/>
            <w:shd w:val="clear" w:color="auto" w:fill="auto"/>
            <w:noWrap w:val="0"/>
            <w:vAlign w:val="center"/>
          </w:tcPr>
          <w:p w14:paraId="032221A3">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35" w:type="pct"/>
            <w:shd w:val="clear" w:color="auto" w:fill="auto"/>
            <w:noWrap w:val="0"/>
            <w:vAlign w:val="center"/>
          </w:tcPr>
          <w:p w14:paraId="03595109">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eastAsia" w:ascii="Times New Roman" w:cs="Times New Roman"/>
                <w:snapToGrid w:val="0"/>
                <w:color w:val="000000"/>
                <w:kern w:val="21"/>
                <w:sz w:val="21"/>
                <w:szCs w:val="21"/>
                <w:highlight w:val="none"/>
                <w:lang w:eastAsia="zh-CN"/>
              </w:rPr>
              <w:t>0.05</w:t>
            </w:r>
            <w:r>
              <w:rPr>
                <w:rFonts w:hint="default" w:ascii="Times New Roman" w:hAnsi="Times New Roman" w:eastAsia="宋体" w:cs="Times New Roman"/>
                <w:snapToGrid w:val="0"/>
                <w:color w:val="000000"/>
                <w:kern w:val="21"/>
                <w:sz w:val="21"/>
                <w:szCs w:val="21"/>
                <w:highlight w:val="none"/>
              </w:rPr>
              <w:t>t/a</w:t>
            </w:r>
          </w:p>
        </w:tc>
        <w:tc>
          <w:tcPr>
            <w:tcW w:w="604" w:type="pct"/>
            <w:noWrap w:val="0"/>
            <w:vAlign w:val="center"/>
          </w:tcPr>
          <w:p w14:paraId="4527BBE3">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98" w:type="pct"/>
            <w:shd w:val="clear" w:color="auto" w:fill="auto"/>
            <w:noWrap w:val="0"/>
            <w:vAlign w:val="center"/>
          </w:tcPr>
          <w:p w14:paraId="7BB1EFE7">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eastAsia" w:ascii="Times New Roman" w:cs="Times New Roman"/>
                <w:snapToGrid w:val="0"/>
                <w:color w:val="000000"/>
                <w:kern w:val="21"/>
                <w:sz w:val="21"/>
                <w:szCs w:val="21"/>
                <w:highlight w:val="none"/>
                <w:lang w:eastAsia="zh-CN"/>
              </w:rPr>
              <w:t>0.05</w:t>
            </w:r>
            <w:r>
              <w:rPr>
                <w:rFonts w:hint="default" w:ascii="Times New Roman" w:hAnsi="Times New Roman" w:eastAsia="宋体" w:cs="Times New Roman"/>
                <w:snapToGrid w:val="0"/>
                <w:color w:val="000000"/>
                <w:kern w:val="21"/>
                <w:sz w:val="21"/>
                <w:szCs w:val="21"/>
                <w:highlight w:val="none"/>
              </w:rPr>
              <w:t>t/a</w:t>
            </w:r>
          </w:p>
        </w:tc>
        <w:tc>
          <w:tcPr>
            <w:tcW w:w="623" w:type="pct"/>
            <w:shd w:val="clear" w:color="auto" w:fill="auto"/>
            <w:noWrap w:val="0"/>
            <w:vAlign w:val="center"/>
          </w:tcPr>
          <w:p w14:paraId="5C9F8E99">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lang w:val="en-US" w:eastAsia="zh-CN"/>
              </w:rPr>
              <w:t>+</w:t>
            </w:r>
            <w:r>
              <w:rPr>
                <w:rFonts w:hint="eastAsia" w:ascii="Times New Roman" w:cs="Times New Roman"/>
                <w:snapToGrid w:val="0"/>
                <w:color w:val="000000"/>
                <w:kern w:val="21"/>
                <w:sz w:val="21"/>
                <w:szCs w:val="21"/>
                <w:highlight w:val="none"/>
                <w:lang w:eastAsia="zh-CN"/>
              </w:rPr>
              <w:t>0.05</w:t>
            </w:r>
            <w:r>
              <w:rPr>
                <w:rFonts w:hint="default" w:ascii="Times New Roman" w:hAnsi="Times New Roman" w:eastAsia="宋体" w:cs="Times New Roman"/>
                <w:snapToGrid w:val="0"/>
                <w:color w:val="000000"/>
                <w:kern w:val="21"/>
                <w:sz w:val="21"/>
                <w:szCs w:val="21"/>
                <w:highlight w:val="none"/>
              </w:rPr>
              <w:t>t/a</w:t>
            </w:r>
          </w:p>
        </w:tc>
      </w:tr>
      <w:tr w14:paraId="4FFBBC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45" w:type="pct"/>
            <w:noWrap w:val="0"/>
            <w:vAlign w:val="center"/>
          </w:tcPr>
          <w:p w14:paraId="2C546161">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生活垃圾</w:t>
            </w:r>
          </w:p>
        </w:tc>
        <w:tc>
          <w:tcPr>
            <w:tcW w:w="486" w:type="pct"/>
            <w:shd w:val="clear" w:color="auto" w:fill="auto"/>
            <w:noWrap w:val="0"/>
            <w:vAlign w:val="center"/>
          </w:tcPr>
          <w:p w14:paraId="36FB5C14">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生活垃圾</w:t>
            </w:r>
          </w:p>
        </w:tc>
        <w:tc>
          <w:tcPr>
            <w:tcW w:w="584" w:type="pct"/>
            <w:shd w:val="clear" w:color="auto" w:fill="auto"/>
            <w:noWrap w:val="0"/>
            <w:vAlign w:val="center"/>
          </w:tcPr>
          <w:p w14:paraId="3D79EF13">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438" w:type="pct"/>
            <w:shd w:val="clear" w:color="auto" w:fill="auto"/>
            <w:noWrap w:val="0"/>
            <w:vAlign w:val="center"/>
          </w:tcPr>
          <w:p w14:paraId="054F1AD0">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84" w:type="pct"/>
            <w:shd w:val="clear" w:color="auto" w:fill="auto"/>
            <w:noWrap w:val="0"/>
            <w:vAlign w:val="center"/>
          </w:tcPr>
          <w:p w14:paraId="183AF014">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35" w:type="pct"/>
            <w:shd w:val="clear" w:color="auto" w:fill="auto"/>
            <w:noWrap w:val="0"/>
            <w:vAlign w:val="center"/>
          </w:tcPr>
          <w:p w14:paraId="62090933">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eastAsia" w:ascii="Times New Roman" w:cs="Times New Roman"/>
                <w:snapToGrid w:val="0"/>
                <w:color w:val="000000"/>
                <w:kern w:val="21"/>
                <w:sz w:val="21"/>
                <w:szCs w:val="21"/>
                <w:highlight w:val="none"/>
                <w:lang w:eastAsia="zh-CN"/>
              </w:rPr>
              <w:t>2.74</w:t>
            </w:r>
            <w:r>
              <w:rPr>
                <w:rFonts w:hint="default" w:ascii="Times New Roman" w:hAnsi="Times New Roman" w:eastAsia="宋体" w:cs="Times New Roman"/>
                <w:snapToGrid w:val="0"/>
                <w:color w:val="000000"/>
                <w:kern w:val="21"/>
                <w:sz w:val="21"/>
                <w:szCs w:val="21"/>
                <w:highlight w:val="none"/>
              </w:rPr>
              <w:t>t/a</w:t>
            </w:r>
          </w:p>
        </w:tc>
        <w:tc>
          <w:tcPr>
            <w:tcW w:w="604" w:type="pct"/>
            <w:noWrap w:val="0"/>
            <w:vAlign w:val="center"/>
          </w:tcPr>
          <w:p w14:paraId="27FBE636">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98" w:type="pct"/>
            <w:shd w:val="clear" w:color="auto" w:fill="auto"/>
            <w:noWrap w:val="0"/>
            <w:vAlign w:val="center"/>
          </w:tcPr>
          <w:p w14:paraId="6E27517C">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eastAsia" w:ascii="Times New Roman" w:cs="Times New Roman"/>
                <w:snapToGrid w:val="0"/>
                <w:color w:val="000000"/>
                <w:kern w:val="21"/>
                <w:sz w:val="21"/>
                <w:szCs w:val="21"/>
                <w:highlight w:val="none"/>
                <w:lang w:eastAsia="zh-CN"/>
              </w:rPr>
              <w:t>2.74</w:t>
            </w:r>
            <w:r>
              <w:rPr>
                <w:rFonts w:hint="default" w:ascii="Times New Roman" w:hAnsi="Times New Roman" w:eastAsia="宋体" w:cs="Times New Roman"/>
                <w:snapToGrid w:val="0"/>
                <w:color w:val="000000"/>
                <w:kern w:val="21"/>
                <w:sz w:val="21"/>
                <w:szCs w:val="21"/>
                <w:highlight w:val="none"/>
              </w:rPr>
              <w:t>t/a</w:t>
            </w:r>
          </w:p>
        </w:tc>
        <w:tc>
          <w:tcPr>
            <w:tcW w:w="623" w:type="pct"/>
            <w:shd w:val="clear" w:color="auto" w:fill="auto"/>
            <w:noWrap w:val="0"/>
            <w:vAlign w:val="center"/>
          </w:tcPr>
          <w:p w14:paraId="5DAC1D8B">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lang w:val="en-US" w:eastAsia="zh-CN"/>
              </w:rPr>
              <w:t>+</w:t>
            </w:r>
            <w:r>
              <w:rPr>
                <w:rFonts w:hint="eastAsia" w:ascii="Times New Roman" w:cs="Times New Roman"/>
                <w:snapToGrid w:val="0"/>
                <w:color w:val="000000"/>
                <w:kern w:val="21"/>
                <w:sz w:val="21"/>
                <w:szCs w:val="21"/>
                <w:highlight w:val="none"/>
                <w:lang w:eastAsia="zh-CN"/>
              </w:rPr>
              <w:t>2.74</w:t>
            </w:r>
            <w:r>
              <w:rPr>
                <w:rFonts w:hint="default" w:ascii="Times New Roman" w:hAnsi="Times New Roman" w:eastAsia="宋体" w:cs="Times New Roman"/>
                <w:snapToGrid w:val="0"/>
                <w:color w:val="000000"/>
                <w:kern w:val="21"/>
                <w:sz w:val="21"/>
                <w:szCs w:val="21"/>
                <w:highlight w:val="none"/>
              </w:rPr>
              <w:t>t/a</w:t>
            </w:r>
          </w:p>
        </w:tc>
      </w:tr>
      <w:tr w14:paraId="05138D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5" w:type="pct"/>
            <w:vMerge w:val="restart"/>
            <w:noWrap w:val="0"/>
            <w:vAlign w:val="center"/>
          </w:tcPr>
          <w:p w14:paraId="6F8581A2">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危险废物</w:t>
            </w:r>
          </w:p>
        </w:tc>
        <w:tc>
          <w:tcPr>
            <w:tcW w:w="486" w:type="pct"/>
            <w:shd w:val="clear" w:color="auto" w:fill="auto"/>
            <w:noWrap w:val="0"/>
            <w:vAlign w:val="center"/>
          </w:tcPr>
          <w:p w14:paraId="42B323B3">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废机油</w:t>
            </w:r>
          </w:p>
        </w:tc>
        <w:tc>
          <w:tcPr>
            <w:tcW w:w="584" w:type="pct"/>
            <w:shd w:val="clear" w:color="auto" w:fill="auto"/>
            <w:noWrap w:val="0"/>
            <w:vAlign w:val="center"/>
          </w:tcPr>
          <w:p w14:paraId="7C6BFA35">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438" w:type="pct"/>
            <w:shd w:val="clear" w:color="auto" w:fill="auto"/>
            <w:noWrap w:val="0"/>
            <w:vAlign w:val="center"/>
          </w:tcPr>
          <w:p w14:paraId="3A0D0EEB">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84" w:type="pct"/>
            <w:shd w:val="clear" w:color="auto" w:fill="auto"/>
            <w:noWrap w:val="0"/>
            <w:vAlign w:val="center"/>
          </w:tcPr>
          <w:p w14:paraId="141C6559">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35" w:type="pct"/>
            <w:shd w:val="clear" w:color="auto" w:fill="auto"/>
            <w:noWrap w:val="0"/>
            <w:vAlign w:val="center"/>
          </w:tcPr>
          <w:p w14:paraId="443C7767">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0.2t/a</w:t>
            </w:r>
          </w:p>
        </w:tc>
        <w:tc>
          <w:tcPr>
            <w:tcW w:w="604" w:type="pct"/>
            <w:noWrap w:val="0"/>
            <w:vAlign w:val="center"/>
          </w:tcPr>
          <w:p w14:paraId="0EB7C80E">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98" w:type="pct"/>
            <w:shd w:val="clear" w:color="auto" w:fill="auto"/>
            <w:noWrap w:val="0"/>
            <w:vAlign w:val="center"/>
          </w:tcPr>
          <w:p w14:paraId="60E88254">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0.2t/a</w:t>
            </w:r>
          </w:p>
        </w:tc>
        <w:tc>
          <w:tcPr>
            <w:tcW w:w="623" w:type="pct"/>
            <w:shd w:val="clear" w:color="auto" w:fill="auto"/>
            <w:noWrap w:val="0"/>
            <w:vAlign w:val="center"/>
          </w:tcPr>
          <w:p w14:paraId="3D4D6F68">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lang w:val="en-US" w:eastAsia="zh-CN"/>
              </w:rPr>
              <w:t>+</w:t>
            </w:r>
            <w:r>
              <w:rPr>
                <w:rFonts w:hint="default" w:ascii="Times New Roman" w:hAnsi="Times New Roman" w:eastAsia="宋体" w:cs="Times New Roman"/>
                <w:snapToGrid w:val="0"/>
                <w:color w:val="000000"/>
                <w:kern w:val="21"/>
                <w:sz w:val="21"/>
                <w:szCs w:val="21"/>
                <w:highlight w:val="none"/>
              </w:rPr>
              <w:t>0.2t/a</w:t>
            </w:r>
          </w:p>
        </w:tc>
      </w:tr>
      <w:tr w14:paraId="38815A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5" w:type="pct"/>
            <w:vMerge w:val="continue"/>
            <w:noWrap w:val="0"/>
            <w:vAlign w:val="center"/>
          </w:tcPr>
          <w:p w14:paraId="3ECBB782">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p>
        </w:tc>
        <w:tc>
          <w:tcPr>
            <w:tcW w:w="486" w:type="pct"/>
            <w:shd w:val="clear" w:color="auto" w:fill="auto"/>
            <w:noWrap w:val="0"/>
            <w:vAlign w:val="center"/>
          </w:tcPr>
          <w:p w14:paraId="73E2BDCC">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化验废液</w:t>
            </w:r>
          </w:p>
        </w:tc>
        <w:tc>
          <w:tcPr>
            <w:tcW w:w="584" w:type="pct"/>
            <w:shd w:val="clear" w:color="auto" w:fill="auto"/>
            <w:noWrap w:val="0"/>
            <w:vAlign w:val="center"/>
          </w:tcPr>
          <w:p w14:paraId="4283F00D">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438" w:type="pct"/>
            <w:shd w:val="clear" w:color="auto" w:fill="auto"/>
            <w:noWrap w:val="0"/>
            <w:vAlign w:val="center"/>
          </w:tcPr>
          <w:p w14:paraId="5827EF6E">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84" w:type="pct"/>
            <w:shd w:val="clear" w:color="auto" w:fill="auto"/>
            <w:noWrap w:val="0"/>
            <w:vAlign w:val="center"/>
          </w:tcPr>
          <w:p w14:paraId="0CC6F065">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35" w:type="pct"/>
            <w:shd w:val="clear" w:color="auto" w:fill="auto"/>
            <w:noWrap w:val="0"/>
            <w:vAlign w:val="center"/>
          </w:tcPr>
          <w:p w14:paraId="1BB20FFD">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1.5t/a</w:t>
            </w:r>
          </w:p>
        </w:tc>
        <w:tc>
          <w:tcPr>
            <w:tcW w:w="604" w:type="pct"/>
            <w:noWrap w:val="0"/>
            <w:vAlign w:val="center"/>
          </w:tcPr>
          <w:p w14:paraId="4D580A06">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98" w:type="pct"/>
            <w:shd w:val="clear" w:color="auto" w:fill="auto"/>
            <w:noWrap w:val="0"/>
            <w:vAlign w:val="center"/>
          </w:tcPr>
          <w:p w14:paraId="3C8B2B99">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1.5t/a</w:t>
            </w:r>
          </w:p>
        </w:tc>
        <w:tc>
          <w:tcPr>
            <w:tcW w:w="623" w:type="pct"/>
            <w:shd w:val="clear" w:color="auto" w:fill="auto"/>
            <w:noWrap w:val="0"/>
            <w:vAlign w:val="center"/>
          </w:tcPr>
          <w:p w14:paraId="52D1CCB9">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lang w:val="en-US" w:eastAsia="zh-CN"/>
              </w:rPr>
              <w:t>+</w:t>
            </w:r>
            <w:r>
              <w:rPr>
                <w:rFonts w:hint="default" w:ascii="Times New Roman" w:hAnsi="Times New Roman" w:eastAsia="宋体" w:cs="Times New Roman"/>
                <w:snapToGrid w:val="0"/>
                <w:color w:val="000000"/>
                <w:kern w:val="21"/>
                <w:sz w:val="21"/>
                <w:szCs w:val="21"/>
                <w:highlight w:val="none"/>
              </w:rPr>
              <w:t>1.5t/a</w:t>
            </w:r>
          </w:p>
        </w:tc>
      </w:tr>
      <w:tr w14:paraId="7F5601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45" w:type="pct"/>
            <w:vMerge w:val="continue"/>
            <w:noWrap w:val="0"/>
            <w:vAlign w:val="center"/>
          </w:tcPr>
          <w:p w14:paraId="39BA6167">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p>
        </w:tc>
        <w:tc>
          <w:tcPr>
            <w:tcW w:w="486" w:type="pct"/>
            <w:shd w:val="clear" w:color="auto" w:fill="auto"/>
            <w:noWrap w:val="0"/>
            <w:vAlign w:val="center"/>
          </w:tcPr>
          <w:p w14:paraId="79B36F7D">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含油废抹布</w:t>
            </w:r>
          </w:p>
        </w:tc>
        <w:tc>
          <w:tcPr>
            <w:tcW w:w="584" w:type="pct"/>
            <w:shd w:val="clear" w:color="auto" w:fill="auto"/>
            <w:noWrap w:val="0"/>
            <w:vAlign w:val="center"/>
          </w:tcPr>
          <w:p w14:paraId="7FF65DED">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438" w:type="pct"/>
            <w:shd w:val="clear" w:color="auto" w:fill="auto"/>
            <w:noWrap w:val="0"/>
            <w:vAlign w:val="center"/>
          </w:tcPr>
          <w:p w14:paraId="3413D00C">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84" w:type="pct"/>
            <w:shd w:val="clear" w:color="auto" w:fill="auto"/>
            <w:noWrap w:val="0"/>
            <w:vAlign w:val="center"/>
          </w:tcPr>
          <w:p w14:paraId="55405E38">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w:t>
            </w:r>
          </w:p>
        </w:tc>
        <w:tc>
          <w:tcPr>
            <w:tcW w:w="535" w:type="pct"/>
            <w:shd w:val="clear" w:color="auto" w:fill="auto"/>
            <w:noWrap w:val="0"/>
            <w:vAlign w:val="center"/>
          </w:tcPr>
          <w:p w14:paraId="25A302CE">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0.05t/a</w:t>
            </w:r>
          </w:p>
        </w:tc>
        <w:tc>
          <w:tcPr>
            <w:tcW w:w="604" w:type="pct"/>
            <w:noWrap w:val="0"/>
            <w:vAlign w:val="center"/>
          </w:tcPr>
          <w:p w14:paraId="39A9EA4E">
            <w:pPr>
              <w:spacing w:beforeLines="0" w:afterLines="0" w:line="240" w:lineRule="auto"/>
              <w:jc w:val="center"/>
              <w:rPr>
                <w:rFonts w:hint="default" w:ascii="Times New Roman" w:hAnsi="Times New Roman" w:eastAsia="宋体" w:cs="Times New Roman"/>
                <w:snapToGrid w:val="0"/>
                <w:color w:val="000000"/>
                <w:kern w:val="21"/>
                <w:sz w:val="21"/>
                <w:szCs w:val="21"/>
                <w:highlight w:val="none"/>
              </w:rPr>
            </w:pPr>
            <w:r>
              <w:rPr>
                <w:rFonts w:hint="default" w:ascii="Times New Roman" w:hAnsi="Times New Roman" w:eastAsia="宋体" w:cs="Times New Roman"/>
                <w:snapToGrid w:val="0"/>
                <w:color w:val="000000"/>
                <w:kern w:val="21"/>
                <w:sz w:val="21"/>
                <w:szCs w:val="21"/>
                <w:highlight w:val="none"/>
              </w:rPr>
              <w:t>/</w:t>
            </w:r>
          </w:p>
        </w:tc>
        <w:tc>
          <w:tcPr>
            <w:tcW w:w="598" w:type="pct"/>
            <w:shd w:val="clear" w:color="auto" w:fill="auto"/>
            <w:noWrap w:val="0"/>
            <w:vAlign w:val="center"/>
          </w:tcPr>
          <w:p w14:paraId="6D8804B9">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rPr>
              <w:t>0.05t/a</w:t>
            </w:r>
          </w:p>
        </w:tc>
        <w:tc>
          <w:tcPr>
            <w:tcW w:w="623" w:type="pct"/>
            <w:shd w:val="clear" w:color="auto" w:fill="auto"/>
            <w:noWrap w:val="0"/>
            <w:vAlign w:val="center"/>
          </w:tcPr>
          <w:p w14:paraId="69375E1C">
            <w:pPr>
              <w:pStyle w:val="25"/>
              <w:spacing w:beforeLines="0" w:afterLines="0" w:line="240" w:lineRule="auto"/>
              <w:jc w:val="center"/>
              <w:rPr>
                <w:rFonts w:hint="default" w:ascii="Times New Roman" w:hAnsi="Times New Roman" w:eastAsia="宋体" w:cs="Times New Roman"/>
                <w:snapToGrid w:val="0"/>
                <w:color w:val="000000"/>
                <w:kern w:val="21"/>
                <w:sz w:val="21"/>
                <w:szCs w:val="21"/>
                <w:highlight w:val="none"/>
                <w:lang w:val="en-US" w:eastAsia="zh-CN"/>
              </w:rPr>
            </w:pPr>
            <w:r>
              <w:rPr>
                <w:rFonts w:hint="default" w:ascii="Times New Roman" w:hAnsi="Times New Roman" w:eastAsia="宋体" w:cs="Times New Roman"/>
                <w:snapToGrid w:val="0"/>
                <w:color w:val="000000"/>
                <w:kern w:val="21"/>
                <w:sz w:val="21"/>
                <w:szCs w:val="21"/>
                <w:highlight w:val="none"/>
                <w:lang w:val="en-US" w:eastAsia="zh-CN"/>
              </w:rPr>
              <w:t>+</w:t>
            </w:r>
            <w:r>
              <w:rPr>
                <w:rFonts w:hint="default" w:ascii="Times New Roman" w:hAnsi="Times New Roman" w:eastAsia="宋体" w:cs="Times New Roman"/>
                <w:snapToGrid w:val="0"/>
                <w:color w:val="000000"/>
                <w:kern w:val="21"/>
                <w:sz w:val="21"/>
                <w:szCs w:val="21"/>
                <w:highlight w:val="none"/>
              </w:rPr>
              <w:t>0.05t/a</w:t>
            </w:r>
          </w:p>
        </w:tc>
      </w:tr>
    </w:tbl>
    <w:p w14:paraId="1DCD2B95">
      <w:pPr>
        <w:pStyle w:val="25"/>
        <w:spacing w:before="192" w:beforeLines="80" w:after="24"/>
        <w:jc w:val="left"/>
        <w:rPr>
          <w:rFonts w:hint="default" w:ascii="Times New Roman" w:hAnsi="Times New Roman" w:cs="Times New Roman"/>
          <w:highlight w:val="none"/>
          <w:lang w:val="en-US" w:eastAsia="zh-CN"/>
        </w:rPr>
      </w:pPr>
      <w:r>
        <w:rPr>
          <w:rFonts w:hint="default" w:ascii="Times New Roman" w:hAnsi="Times New Roman" w:cs="Times New Roman"/>
          <w:snapToGrid w:val="0"/>
          <w:color w:val="000000"/>
          <w:kern w:val="21"/>
          <w:szCs w:val="21"/>
          <w:highlight w:val="none"/>
        </w:rPr>
        <w:t>注：</w:t>
      </w:r>
      <w:r>
        <w:rPr>
          <w:rFonts w:hint="default" w:ascii="Times New Roman" w:hAnsi="Times New Roman" w:cs="Times New Roman"/>
          <w:snapToGrid w:val="0"/>
          <w:color w:val="000000"/>
          <w:spacing w:val="-16"/>
          <w:kern w:val="21"/>
          <w:szCs w:val="21"/>
          <w:highlight w:val="none"/>
        </w:rPr>
        <w:fldChar w:fldCharType="begin"/>
      </w:r>
      <w:r>
        <w:rPr>
          <w:rFonts w:hint="default" w:ascii="Times New Roman" w:hAnsi="Times New Roman" w:cs="Times New Roman"/>
          <w:snapToGrid w:val="0"/>
          <w:color w:val="000000"/>
          <w:spacing w:val="-16"/>
          <w:kern w:val="21"/>
          <w:szCs w:val="21"/>
          <w:highlight w:val="none"/>
        </w:rPr>
        <w:instrText xml:space="preserve"> = 6 \* GB3 \* MERGEFORMAT </w:instrText>
      </w:r>
      <w:r>
        <w:rPr>
          <w:rFonts w:hint="default" w:ascii="Times New Roman" w:hAnsi="Times New Roman" w:cs="Times New Roman"/>
          <w:snapToGrid w:val="0"/>
          <w:color w:val="000000"/>
          <w:spacing w:val="-16"/>
          <w:kern w:val="21"/>
          <w:szCs w:val="21"/>
          <w:highlight w:val="none"/>
        </w:rPr>
        <w:fldChar w:fldCharType="separate"/>
      </w:r>
      <w:r>
        <w:rPr>
          <w:rFonts w:hint="default" w:ascii="Times New Roman" w:hAnsi="Times New Roman" w:cs="Times New Roman"/>
          <w:szCs w:val="21"/>
          <w:highlight w:val="none"/>
        </w:rPr>
        <w:t>⑥</w:t>
      </w:r>
      <w:r>
        <w:rPr>
          <w:rFonts w:hint="default" w:ascii="Times New Roman" w:hAnsi="Times New Roman" w:cs="Times New Roman"/>
          <w:snapToGrid w:val="0"/>
          <w:color w:val="000000"/>
          <w:spacing w:val="-16"/>
          <w:kern w:val="21"/>
          <w:szCs w:val="21"/>
          <w:highlight w:val="none"/>
        </w:rPr>
        <w:fldChar w:fldCharType="end"/>
      </w:r>
      <w:r>
        <w:rPr>
          <w:rFonts w:hint="default" w:ascii="Times New Roman" w:hAnsi="Times New Roman" w:cs="Times New Roman"/>
          <w:snapToGrid w:val="0"/>
          <w:color w:val="000000"/>
          <w:spacing w:val="-16"/>
          <w:kern w:val="21"/>
          <w:szCs w:val="21"/>
          <w:highlight w:val="none"/>
        </w:rPr>
        <w:t>=</w:t>
      </w:r>
      <w:r>
        <w:rPr>
          <w:rFonts w:hint="default" w:ascii="Times New Roman" w:hAnsi="Times New Roman" w:cs="Times New Roman"/>
          <w:snapToGrid w:val="0"/>
          <w:color w:val="000000"/>
          <w:spacing w:val="-6"/>
          <w:kern w:val="21"/>
          <w:szCs w:val="21"/>
          <w:highlight w:val="none"/>
        </w:rPr>
        <w:fldChar w:fldCharType="begin"/>
      </w:r>
      <w:r>
        <w:rPr>
          <w:rFonts w:hint="default" w:ascii="Times New Roman" w:hAnsi="Times New Roman" w:cs="Times New Roman"/>
          <w:snapToGrid w:val="0"/>
          <w:color w:val="000000"/>
          <w:spacing w:val="-6"/>
          <w:kern w:val="21"/>
          <w:szCs w:val="21"/>
          <w:highlight w:val="none"/>
        </w:rPr>
        <w:instrText xml:space="preserve"> = 1 \* GB3 \* MERGEFORMAT </w:instrText>
      </w:r>
      <w:r>
        <w:rPr>
          <w:rFonts w:hint="default" w:ascii="Times New Roman" w:hAnsi="Times New Roman" w:cs="Times New Roman"/>
          <w:snapToGrid w:val="0"/>
          <w:color w:val="000000"/>
          <w:spacing w:val="-6"/>
          <w:kern w:val="21"/>
          <w:szCs w:val="21"/>
          <w:highlight w:val="none"/>
        </w:rPr>
        <w:fldChar w:fldCharType="separate"/>
      </w:r>
      <w:r>
        <w:rPr>
          <w:rFonts w:hint="default" w:ascii="Times New Roman" w:hAnsi="Times New Roman" w:cs="Times New Roman"/>
          <w:szCs w:val="21"/>
          <w:highlight w:val="none"/>
        </w:rPr>
        <w:t>①</w:t>
      </w:r>
      <w:r>
        <w:rPr>
          <w:rFonts w:hint="default" w:ascii="Times New Roman" w:hAnsi="Times New Roman" w:cs="Times New Roman"/>
          <w:snapToGrid w:val="0"/>
          <w:color w:val="000000"/>
          <w:spacing w:val="-6"/>
          <w:kern w:val="21"/>
          <w:szCs w:val="21"/>
          <w:highlight w:val="none"/>
        </w:rPr>
        <w:fldChar w:fldCharType="end"/>
      </w:r>
      <w:r>
        <w:rPr>
          <w:rFonts w:hint="default" w:ascii="Times New Roman" w:hAnsi="Times New Roman" w:cs="Times New Roman"/>
          <w:snapToGrid w:val="0"/>
          <w:color w:val="000000"/>
          <w:spacing w:val="-6"/>
          <w:kern w:val="21"/>
          <w:szCs w:val="21"/>
          <w:highlight w:val="none"/>
        </w:rPr>
        <w:t>+</w:t>
      </w:r>
      <w:r>
        <w:rPr>
          <w:rFonts w:hint="default" w:ascii="Times New Roman" w:hAnsi="Times New Roman" w:cs="Times New Roman"/>
          <w:snapToGrid w:val="0"/>
          <w:color w:val="000000"/>
          <w:spacing w:val="-6"/>
          <w:kern w:val="21"/>
          <w:szCs w:val="21"/>
          <w:highlight w:val="none"/>
        </w:rPr>
        <w:fldChar w:fldCharType="begin"/>
      </w:r>
      <w:r>
        <w:rPr>
          <w:rFonts w:hint="default" w:ascii="Times New Roman" w:hAnsi="Times New Roman" w:cs="Times New Roman"/>
          <w:snapToGrid w:val="0"/>
          <w:color w:val="000000"/>
          <w:spacing w:val="-6"/>
          <w:kern w:val="21"/>
          <w:szCs w:val="21"/>
          <w:highlight w:val="none"/>
        </w:rPr>
        <w:instrText xml:space="preserve"> = 3 \* GB3 \* MERGEFORMAT </w:instrText>
      </w:r>
      <w:r>
        <w:rPr>
          <w:rFonts w:hint="default" w:ascii="Times New Roman" w:hAnsi="Times New Roman" w:cs="Times New Roman"/>
          <w:snapToGrid w:val="0"/>
          <w:color w:val="000000"/>
          <w:spacing w:val="-6"/>
          <w:kern w:val="21"/>
          <w:szCs w:val="21"/>
          <w:highlight w:val="none"/>
        </w:rPr>
        <w:fldChar w:fldCharType="separate"/>
      </w:r>
      <w:r>
        <w:rPr>
          <w:rFonts w:hint="default" w:ascii="Times New Roman" w:hAnsi="Times New Roman" w:cs="Times New Roman"/>
          <w:szCs w:val="21"/>
          <w:highlight w:val="none"/>
        </w:rPr>
        <w:t>③</w:t>
      </w:r>
      <w:r>
        <w:rPr>
          <w:rFonts w:hint="default" w:ascii="Times New Roman" w:hAnsi="Times New Roman" w:cs="Times New Roman"/>
          <w:snapToGrid w:val="0"/>
          <w:color w:val="000000"/>
          <w:spacing w:val="-6"/>
          <w:kern w:val="21"/>
          <w:szCs w:val="21"/>
          <w:highlight w:val="none"/>
        </w:rPr>
        <w:fldChar w:fldCharType="end"/>
      </w:r>
      <w:r>
        <w:rPr>
          <w:rFonts w:hint="default" w:ascii="Times New Roman" w:hAnsi="Times New Roman" w:cs="Times New Roman"/>
          <w:snapToGrid w:val="0"/>
          <w:color w:val="000000"/>
          <w:spacing w:val="-6"/>
          <w:kern w:val="21"/>
          <w:szCs w:val="21"/>
          <w:highlight w:val="none"/>
        </w:rPr>
        <w:t>+</w:t>
      </w:r>
      <w:r>
        <w:rPr>
          <w:rFonts w:hint="default" w:ascii="Times New Roman" w:hAnsi="Times New Roman" w:cs="Times New Roman"/>
          <w:snapToGrid w:val="0"/>
          <w:color w:val="000000"/>
          <w:spacing w:val="-6"/>
          <w:kern w:val="21"/>
          <w:szCs w:val="21"/>
          <w:highlight w:val="none"/>
        </w:rPr>
        <w:fldChar w:fldCharType="begin"/>
      </w:r>
      <w:r>
        <w:rPr>
          <w:rFonts w:hint="default" w:ascii="Times New Roman" w:hAnsi="Times New Roman" w:cs="Times New Roman"/>
          <w:snapToGrid w:val="0"/>
          <w:color w:val="000000"/>
          <w:spacing w:val="-6"/>
          <w:kern w:val="21"/>
          <w:szCs w:val="21"/>
          <w:highlight w:val="none"/>
        </w:rPr>
        <w:instrText xml:space="preserve"> = 4 \* GB3 \* MERGEFORMAT </w:instrText>
      </w:r>
      <w:r>
        <w:rPr>
          <w:rFonts w:hint="default" w:ascii="Times New Roman" w:hAnsi="Times New Roman" w:cs="Times New Roman"/>
          <w:snapToGrid w:val="0"/>
          <w:color w:val="000000"/>
          <w:spacing w:val="-6"/>
          <w:kern w:val="21"/>
          <w:szCs w:val="21"/>
          <w:highlight w:val="none"/>
        </w:rPr>
        <w:fldChar w:fldCharType="separate"/>
      </w:r>
      <w:r>
        <w:rPr>
          <w:rFonts w:hint="default" w:ascii="Times New Roman" w:hAnsi="Times New Roman" w:cs="Times New Roman"/>
          <w:szCs w:val="21"/>
          <w:highlight w:val="none"/>
        </w:rPr>
        <w:t>④</w:t>
      </w:r>
      <w:r>
        <w:rPr>
          <w:rFonts w:hint="default" w:ascii="Times New Roman" w:hAnsi="Times New Roman" w:cs="Times New Roman"/>
          <w:snapToGrid w:val="0"/>
          <w:color w:val="000000"/>
          <w:spacing w:val="-6"/>
          <w:kern w:val="21"/>
          <w:szCs w:val="21"/>
          <w:highlight w:val="none"/>
        </w:rPr>
        <w:fldChar w:fldCharType="end"/>
      </w:r>
      <w:r>
        <w:rPr>
          <w:rFonts w:hint="default" w:ascii="Times New Roman" w:hAnsi="Times New Roman" w:cs="Times New Roman"/>
          <w:snapToGrid w:val="0"/>
          <w:color w:val="000000"/>
          <w:spacing w:val="-6"/>
          <w:kern w:val="21"/>
          <w:szCs w:val="21"/>
          <w:highlight w:val="none"/>
        </w:rPr>
        <w:t>-</w:t>
      </w:r>
      <w:r>
        <w:rPr>
          <w:rFonts w:hint="default" w:ascii="Times New Roman" w:hAnsi="Times New Roman" w:cs="Times New Roman"/>
          <w:snapToGrid w:val="0"/>
          <w:color w:val="000000"/>
          <w:spacing w:val="-16"/>
          <w:kern w:val="21"/>
          <w:szCs w:val="21"/>
          <w:highlight w:val="none"/>
        </w:rPr>
        <w:fldChar w:fldCharType="begin"/>
      </w:r>
      <w:r>
        <w:rPr>
          <w:rFonts w:hint="default" w:ascii="Times New Roman" w:hAnsi="Times New Roman" w:cs="Times New Roman"/>
          <w:snapToGrid w:val="0"/>
          <w:color w:val="000000"/>
          <w:spacing w:val="-16"/>
          <w:kern w:val="21"/>
          <w:szCs w:val="21"/>
          <w:highlight w:val="none"/>
        </w:rPr>
        <w:instrText xml:space="preserve"> = 5 \* GB3 \* MERGEFORMAT </w:instrText>
      </w:r>
      <w:r>
        <w:rPr>
          <w:rFonts w:hint="default" w:ascii="Times New Roman" w:hAnsi="Times New Roman" w:cs="Times New Roman"/>
          <w:snapToGrid w:val="0"/>
          <w:color w:val="000000"/>
          <w:spacing w:val="-16"/>
          <w:kern w:val="21"/>
          <w:szCs w:val="21"/>
          <w:highlight w:val="none"/>
        </w:rPr>
        <w:fldChar w:fldCharType="separate"/>
      </w:r>
      <w:r>
        <w:rPr>
          <w:rFonts w:hint="default" w:ascii="Times New Roman" w:hAnsi="Times New Roman" w:cs="Times New Roman"/>
          <w:szCs w:val="21"/>
          <w:highlight w:val="none"/>
        </w:rPr>
        <w:t>⑤</w:t>
      </w:r>
      <w:r>
        <w:rPr>
          <w:rFonts w:hint="default" w:ascii="Times New Roman" w:hAnsi="Times New Roman" w:cs="Times New Roman"/>
          <w:snapToGrid w:val="0"/>
          <w:color w:val="000000"/>
          <w:spacing w:val="-16"/>
          <w:kern w:val="21"/>
          <w:szCs w:val="21"/>
          <w:highlight w:val="none"/>
        </w:rPr>
        <w:fldChar w:fldCharType="end"/>
      </w:r>
      <w:r>
        <w:rPr>
          <w:rFonts w:hint="default" w:ascii="Times New Roman" w:hAnsi="Times New Roman" w:cs="Times New Roman"/>
          <w:snapToGrid w:val="0"/>
          <w:color w:val="000000"/>
          <w:spacing w:val="-16"/>
          <w:kern w:val="21"/>
          <w:szCs w:val="21"/>
          <w:highlight w:val="none"/>
        </w:rPr>
        <w:t>；</w:t>
      </w:r>
      <w:r>
        <w:rPr>
          <w:rFonts w:hint="default" w:ascii="Times New Roman" w:hAnsi="Times New Roman" w:cs="Times New Roman"/>
          <w:snapToGrid w:val="0"/>
          <w:color w:val="000000"/>
          <w:spacing w:val="-6"/>
          <w:kern w:val="21"/>
          <w:szCs w:val="21"/>
          <w:highlight w:val="none"/>
        </w:rPr>
        <w:fldChar w:fldCharType="begin"/>
      </w:r>
      <w:r>
        <w:rPr>
          <w:rFonts w:hint="default" w:ascii="Times New Roman" w:hAnsi="Times New Roman" w:cs="Times New Roman"/>
          <w:snapToGrid w:val="0"/>
          <w:color w:val="000000"/>
          <w:spacing w:val="-6"/>
          <w:kern w:val="21"/>
          <w:szCs w:val="21"/>
          <w:highlight w:val="none"/>
        </w:rPr>
        <w:instrText xml:space="preserve"> = 7 \* GB3 \* MERGEFORMAT </w:instrText>
      </w:r>
      <w:r>
        <w:rPr>
          <w:rFonts w:hint="default" w:ascii="Times New Roman" w:hAnsi="Times New Roman" w:cs="Times New Roman"/>
          <w:snapToGrid w:val="0"/>
          <w:color w:val="000000"/>
          <w:spacing w:val="-6"/>
          <w:kern w:val="21"/>
          <w:szCs w:val="21"/>
          <w:highlight w:val="none"/>
        </w:rPr>
        <w:fldChar w:fldCharType="separate"/>
      </w:r>
      <w:r>
        <w:rPr>
          <w:rFonts w:hint="default" w:ascii="Times New Roman" w:hAnsi="Times New Roman" w:cs="Times New Roman"/>
          <w:szCs w:val="21"/>
          <w:highlight w:val="none"/>
        </w:rPr>
        <w:t>⑦</w:t>
      </w:r>
      <w:r>
        <w:rPr>
          <w:rFonts w:hint="default" w:ascii="Times New Roman" w:hAnsi="Times New Roman" w:cs="Times New Roman"/>
          <w:snapToGrid w:val="0"/>
          <w:color w:val="000000"/>
          <w:spacing w:val="-6"/>
          <w:kern w:val="21"/>
          <w:szCs w:val="21"/>
          <w:highlight w:val="none"/>
        </w:rPr>
        <w:fldChar w:fldCharType="end"/>
      </w:r>
      <w:r>
        <w:rPr>
          <w:rFonts w:hint="default" w:ascii="Times New Roman" w:hAnsi="Times New Roman" w:cs="Times New Roman"/>
          <w:snapToGrid w:val="0"/>
          <w:color w:val="000000"/>
          <w:spacing w:val="-6"/>
          <w:kern w:val="21"/>
          <w:szCs w:val="21"/>
          <w:highlight w:val="none"/>
        </w:rPr>
        <w:t>=</w:t>
      </w:r>
      <w:r>
        <w:rPr>
          <w:rFonts w:hint="default" w:ascii="Times New Roman" w:hAnsi="Times New Roman" w:cs="Times New Roman"/>
          <w:snapToGrid w:val="0"/>
          <w:color w:val="000000"/>
          <w:spacing w:val="-16"/>
          <w:kern w:val="21"/>
          <w:szCs w:val="21"/>
          <w:highlight w:val="none"/>
        </w:rPr>
        <w:fldChar w:fldCharType="begin"/>
      </w:r>
      <w:r>
        <w:rPr>
          <w:rFonts w:hint="default" w:ascii="Times New Roman" w:hAnsi="Times New Roman" w:cs="Times New Roman"/>
          <w:snapToGrid w:val="0"/>
          <w:color w:val="000000"/>
          <w:spacing w:val="-16"/>
          <w:kern w:val="21"/>
          <w:szCs w:val="21"/>
          <w:highlight w:val="none"/>
        </w:rPr>
        <w:instrText xml:space="preserve"> = 6 \* GB3 \* MERGEFORMAT </w:instrText>
      </w:r>
      <w:r>
        <w:rPr>
          <w:rFonts w:hint="default" w:ascii="Times New Roman" w:hAnsi="Times New Roman" w:cs="Times New Roman"/>
          <w:snapToGrid w:val="0"/>
          <w:color w:val="000000"/>
          <w:spacing w:val="-16"/>
          <w:kern w:val="21"/>
          <w:szCs w:val="21"/>
          <w:highlight w:val="none"/>
        </w:rPr>
        <w:fldChar w:fldCharType="separate"/>
      </w:r>
      <w:r>
        <w:rPr>
          <w:rFonts w:hint="default" w:ascii="Times New Roman" w:hAnsi="Times New Roman" w:cs="Times New Roman"/>
          <w:szCs w:val="21"/>
          <w:highlight w:val="none"/>
        </w:rPr>
        <w:t>⑥</w:t>
      </w:r>
      <w:r>
        <w:rPr>
          <w:rFonts w:hint="default" w:ascii="Times New Roman" w:hAnsi="Times New Roman" w:cs="Times New Roman"/>
          <w:snapToGrid w:val="0"/>
          <w:color w:val="000000"/>
          <w:spacing w:val="-16"/>
          <w:kern w:val="21"/>
          <w:szCs w:val="21"/>
          <w:highlight w:val="none"/>
        </w:rPr>
        <w:fldChar w:fldCharType="end"/>
      </w:r>
      <w:r>
        <w:rPr>
          <w:rFonts w:hint="default" w:ascii="Times New Roman" w:hAnsi="Times New Roman" w:cs="Times New Roman"/>
          <w:snapToGrid w:val="0"/>
          <w:color w:val="000000"/>
          <w:spacing w:val="-16"/>
          <w:kern w:val="21"/>
          <w:szCs w:val="21"/>
          <w:highlight w:val="none"/>
        </w:rPr>
        <w:t>-</w:t>
      </w:r>
      <w:r>
        <w:rPr>
          <w:rFonts w:hint="default" w:ascii="Times New Roman" w:hAnsi="Times New Roman" w:cs="Times New Roman"/>
          <w:snapToGrid w:val="0"/>
          <w:color w:val="000000"/>
          <w:spacing w:val="-6"/>
          <w:kern w:val="21"/>
          <w:szCs w:val="21"/>
          <w:highlight w:val="none"/>
        </w:rPr>
        <w:fldChar w:fldCharType="begin"/>
      </w:r>
      <w:r>
        <w:rPr>
          <w:rFonts w:hint="default" w:ascii="Times New Roman" w:hAnsi="Times New Roman" w:cs="Times New Roman"/>
          <w:snapToGrid w:val="0"/>
          <w:color w:val="000000"/>
          <w:spacing w:val="-6"/>
          <w:kern w:val="21"/>
          <w:szCs w:val="21"/>
          <w:highlight w:val="none"/>
        </w:rPr>
        <w:instrText xml:space="preserve"> = 1 \* GB3 \* MERGEFORMAT </w:instrText>
      </w:r>
      <w:r>
        <w:rPr>
          <w:rFonts w:hint="default" w:ascii="Times New Roman" w:hAnsi="Times New Roman" w:cs="Times New Roman"/>
          <w:snapToGrid w:val="0"/>
          <w:color w:val="000000"/>
          <w:spacing w:val="-6"/>
          <w:kern w:val="21"/>
          <w:szCs w:val="21"/>
          <w:highlight w:val="none"/>
        </w:rPr>
        <w:fldChar w:fldCharType="separate"/>
      </w:r>
      <w:r>
        <w:rPr>
          <w:rFonts w:hint="default" w:ascii="Times New Roman" w:hAnsi="Times New Roman" w:cs="Times New Roman"/>
          <w:szCs w:val="21"/>
          <w:highlight w:val="none"/>
        </w:rPr>
        <w:t>①</w:t>
      </w:r>
      <w:r>
        <w:rPr>
          <w:rFonts w:hint="default" w:ascii="Times New Roman" w:hAnsi="Times New Roman" w:cs="Times New Roman"/>
          <w:snapToGrid w:val="0"/>
          <w:color w:val="000000"/>
          <w:spacing w:val="-6"/>
          <w:kern w:val="21"/>
          <w:szCs w:val="21"/>
          <w:highlight w:val="none"/>
        </w:rPr>
        <w:fldChar w:fldCharType="end"/>
      </w:r>
    </w:p>
    <w:p w14:paraId="39CC178B"/>
    <w:sectPr>
      <w:footerReference r:id="rId11"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Wingdings 2">
    <w:altName w:val="Wingdings"/>
    <w:panose1 w:val="05020102010507070707"/>
    <w:charset w:val="02"/>
    <w:family w:val="auto"/>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D3D69">
    <w:pPr>
      <w:pStyle w:val="11"/>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EF9A9">
    <w:pPr>
      <w:pStyle w:val="11"/>
      <w:framePr w:wrap="around" w:vAnchor="text" w:hAnchor="margin" w:xAlign="center" w:y="1"/>
      <w:rPr>
        <w:rStyle w:val="18"/>
      </w:rPr>
    </w:pPr>
    <w:r>
      <w:fldChar w:fldCharType="begin"/>
    </w:r>
    <w:r>
      <w:rPr>
        <w:rStyle w:val="18"/>
      </w:rPr>
      <w:instrText xml:space="preserve">PAGE  </w:instrText>
    </w:r>
    <w:r>
      <w:fldChar w:fldCharType="end"/>
    </w:r>
  </w:p>
  <w:p w14:paraId="447380E4">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25783">
    <w:pPr>
      <w:pStyle w:val="11"/>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2DBD7">
    <w:pPr>
      <w:pStyle w:val="11"/>
      <w:framePr w:wrap="around" w:vAnchor="text" w:hAnchor="margin" w:xAlign="center" w:y="1"/>
      <w:rPr>
        <w:rStyle w:val="18"/>
      </w:rPr>
    </w:pPr>
    <w:r>
      <w:fldChar w:fldCharType="begin"/>
    </w:r>
    <w:r>
      <w:rPr>
        <w:rStyle w:val="18"/>
      </w:rPr>
      <w:instrText xml:space="preserve">PAGE  </w:instrText>
    </w:r>
    <w:r>
      <w:fldChar w:fldCharType="end"/>
    </w:r>
  </w:p>
  <w:p w14:paraId="36669533">
    <w:pPr>
      <w:pStyle w:val="11"/>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99BF3">
    <w:pPr>
      <w:pStyle w:val="11"/>
      <w:ind w:right="360" w:firstLine="360"/>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B8AF69">
                          <w:pPr>
                            <w:pStyle w:val="11"/>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jlmXM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ddLShy3OPHzzx/nX3/Ov78T&#10;9KFAfYAa8x4CZqbhgx9wbWY/oDPzHlS0+YuMCMZR3tNFXjkkIvKj1XK1qjAkMDZfEJ89Pg8R0kfp&#10;LclGQyPOr8jKj3eQxtQ5JVdz/lYbU2Zo3H8OxMwelnsfe8xWGnbDRGjn2xPy6XH0DXW46ZSYTw6V&#10;zVsyG3E2drNxCFHvu7JGuR6E94eETZTecoURdiqMMyvspv3KS/HvvWQ9/lOb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COWZcyQEAAJsDAAAOAAAAAAAAAAEAIAAAAB4BAABkcnMvZTJvRG9j&#10;LnhtbFBLBQYAAAAABgAGAFkBAABZBQAAAAA=&#10;">
              <v:fill on="f" focussize="0,0"/>
              <v:stroke on="f"/>
              <v:imagedata o:title=""/>
              <o:lock v:ext="edit" aspectratio="f"/>
              <v:textbox inset="0mm,0mm,0mm,0mm" style="mso-fit-shape-to-text:t;">
                <w:txbxContent>
                  <w:p w14:paraId="1CB8AF69">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98B35">
    <w:pPr>
      <w:pStyle w:val="11"/>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BB6B6B">
                          <w:pPr>
                            <w:pStyle w:val="11"/>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KzSf8oBAACbAwAADgAAAGRycy9lMm9Eb2MueG1srVPNjtMwEL4j8Q6W&#10;79TZSqA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d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dKzSf8oBAACbAwAADgAAAAAAAAABACAAAAAeAQAAZHJzL2Uyb0Rv&#10;Yy54bWxQSwUGAAAAAAYABgBZAQAAWgUAAAAA&#10;">
              <v:fill on="f" focussize="0,0"/>
              <v:stroke on="f"/>
              <v:imagedata o:title=""/>
              <o:lock v:ext="edit" aspectratio="f"/>
              <v:textbox inset="0mm,0mm,0mm,0mm" style="mso-fit-shape-to-text:t;">
                <w:txbxContent>
                  <w:p w14:paraId="47BB6B6B">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48333">
    <w:pPr>
      <w:pStyle w:val="11"/>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D55932">
                          <w:pPr>
                            <w:pStyle w:val="11"/>
                          </w:pPr>
                          <w:r>
                            <w:fldChar w:fldCharType="begin"/>
                          </w:r>
                          <w:r>
                            <w:instrText xml:space="preserve"> PAGE  \* MERGEFORMAT </w:instrText>
                          </w:r>
                          <w:r>
                            <w:fldChar w:fldCharType="separate"/>
                          </w:r>
                          <w:r>
                            <w:t>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cGLwMoBAACbAwAADgAAAGRycy9lMm9Eb2MueG1srVPNjtMwEL4j8Q6W&#10;79TZIqE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d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IcGLwMoBAACbAwAADgAAAAAAAAABACAAAAAeAQAAZHJzL2Uyb0Rv&#10;Yy54bWxQSwUGAAAAAAYABgBZAQAAWgUAAAAA&#10;">
              <v:fill on="f" focussize="0,0"/>
              <v:stroke on="f"/>
              <v:imagedata o:title=""/>
              <o:lock v:ext="edit" aspectratio="f"/>
              <v:textbox inset="0mm,0mm,0mm,0mm" style="mso-fit-shape-to-text:t;">
                <w:txbxContent>
                  <w:p w14:paraId="11D55932">
                    <w:pPr>
                      <w:pStyle w:val="11"/>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9D1D3">
    <w:pPr>
      <w:pStyle w:val="11"/>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3AFC02">
                          <w:pPr>
                            <w:pStyle w:val="11"/>
                          </w:pPr>
                          <w:r>
                            <w:fldChar w:fldCharType="begin"/>
                          </w:r>
                          <w:r>
                            <w:instrText xml:space="preserve"> PAGE  \* MERGEFORMAT </w:instrText>
                          </w:r>
                          <w:r>
                            <w:fldChar w:fldCharType="separate"/>
                          </w:r>
                          <w:r>
                            <w:t>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23AFC02">
                    <w:pPr>
                      <w:pStyle w:val="11"/>
                    </w:pPr>
                    <w:r>
                      <w:fldChar w:fldCharType="begin"/>
                    </w:r>
                    <w:r>
                      <w:instrText xml:space="preserve"> PAGE  \* MERGEFORMAT </w:instrText>
                    </w:r>
                    <w:r>
                      <w:fldChar w:fldCharType="separate"/>
                    </w:r>
                    <w:r>
                      <w:t>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BBDC6">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331E4F"/>
    <w:multiLevelType w:val="singleLevel"/>
    <w:tmpl w:val="A4331E4F"/>
    <w:lvl w:ilvl="0" w:tentative="0">
      <w:start w:val="1"/>
      <w:numFmt w:val="chineseCounting"/>
      <w:suff w:val="nothing"/>
      <w:lvlText w:val="（%1）"/>
      <w:lvlJc w:val="left"/>
      <w:pPr>
        <w:ind w:left="0" w:firstLine="420"/>
      </w:pPr>
      <w:rPr>
        <w:rFonts w:hint="eastAsia"/>
      </w:rPr>
    </w:lvl>
  </w:abstractNum>
  <w:abstractNum w:abstractNumId="1">
    <w:nsid w:val="BEED206B"/>
    <w:multiLevelType w:val="singleLevel"/>
    <w:tmpl w:val="BEED206B"/>
    <w:lvl w:ilvl="0" w:tentative="0">
      <w:start w:val="1"/>
      <w:numFmt w:val="decimal"/>
      <w:suff w:val="nothing"/>
      <w:lvlText w:val="（%1）"/>
      <w:lvlJc w:val="left"/>
    </w:lvl>
  </w:abstractNum>
  <w:abstractNum w:abstractNumId="2">
    <w:nsid w:val="04371E2F"/>
    <w:multiLevelType w:val="singleLevel"/>
    <w:tmpl w:val="04371E2F"/>
    <w:lvl w:ilvl="0" w:tentative="0">
      <w:start w:val="1"/>
      <w:numFmt w:val="decimal"/>
      <w:suff w:val="nothing"/>
      <w:lvlText w:val="%1."/>
      <w:lvlJc w:val="left"/>
      <w:pPr>
        <w:ind w:left="0" w:leftChars="0" w:firstLine="425" w:firstLineChars="0"/>
      </w:pPr>
      <w:rPr>
        <w:rFonts w:hint="default"/>
      </w:rPr>
    </w:lvl>
  </w:abstractNum>
  <w:abstractNum w:abstractNumId="3">
    <w:nsid w:val="3D740B91"/>
    <w:multiLevelType w:val="singleLevel"/>
    <w:tmpl w:val="3D740B91"/>
    <w:lvl w:ilvl="0" w:tentative="0">
      <w:start w:val="3"/>
      <w:numFmt w:val="decimal"/>
      <w:suff w:val="nothing"/>
      <w:lvlText w:val="（%1）"/>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FA7385"/>
    <w:rsid w:val="021B0857"/>
    <w:rsid w:val="0EFA7385"/>
    <w:rsid w:val="15347574"/>
    <w:rsid w:val="45F062FB"/>
    <w:rsid w:val="50EE2A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Lines="0" w:beforeAutospacing="0" w:afterLines="0" w:afterAutospacing="0" w:line="360" w:lineRule="auto"/>
      <w:ind w:firstLine="0" w:firstLineChars="0"/>
      <w:jc w:val="left"/>
      <w:outlineLvl w:val="1"/>
    </w:pPr>
    <w:rPr>
      <w:rFonts w:ascii="Arial" w:hAnsi="Arial" w:eastAsia="宋体"/>
      <w:b/>
      <w:sz w:val="24"/>
    </w:rPr>
  </w:style>
  <w:style w:type="paragraph" w:styleId="4">
    <w:name w:val="heading 3"/>
    <w:basedOn w:val="1"/>
    <w:next w:val="1"/>
    <w:unhideWhenUsed/>
    <w:qFormat/>
    <w:uiPriority w:val="0"/>
    <w:pPr>
      <w:spacing w:line="360" w:lineRule="auto"/>
      <w:ind w:left="0" w:firstLine="0" w:firstLineChars="0"/>
      <w:jc w:val="left"/>
      <w:outlineLvl w:val="2"/>
    </w:pPr>
    <w:rPr>
      <w:rFonts w:ascii="宋体" w:hAnsi="宋体" w:eastAsia="宋体" w:cs="宋体"/>
      <w:b/>
      <w:bCs/>
      <w:sz w:val="24"/>
      <w:lang w:val="zh-CN" w:bidi="zh-CN"/>
    </w:rPr>
  </w:style>
  <w:style w:type="paragraph" w:styleId="5">
    <w:name w:val="heading 5"/>
    <w:basedOn w:val="1"/>
    <w:next w:val="1"/>
    <w:unhideWhenUsed/>
    <w:qFormat/>
    <w:uiPriority w:val="0"/>
    <w:pPr>
      <w:keepNext/>
      <w:keepLines/>
      <w:spacing w:before="50" w:beforeLines="50" w:beforeAutospacing="0" w:afterLines="0" w:afterAutospacing="0" w:line="360" w:lineRule="auto"/>
      <w:jc w:val="left"/>
      <w:outlineLvl w:val="4"/>
    </w:pPr>
    <w:rPr>
      <w:rFonts w:ascii="Times New Roman" w:hAnsi="Times New Roman" w:eastAsia="宋体"/>
      <w:b/>
      <w:sz w:val="24"/>
    </w:rPr>
  </w:style>
  <w:style w:type="paragraph" w:styleId="6">
    <w:name w:val="heading 6"/>
    <w:basedOn w:val="1"/>
    <w:next w:val="1"/>
    <w:unhideWhenUsed/>
    <w:qFormat/>
    <w:uiPriority w:val="0"/>
    <w:pPr>
      <w:keepNext/>
      <w:keepLines/>
      <w:spacing w:before="50" w:beforeLines="50" w:beforeAutospacing="0" w:afterLines="0" w:afterAutospacing="0" w:line="360" w:lineRule="auto"/>
      <w:outlineLvl w:val="5"/>
    </w:pPr>
    <w:rPr>
      <w:rFonts w:ascii="Arial" w:hAnsi="Arial" w:eastAsia="宋体"/>
      <w:b/>
      <w:sz w:val="24"/>
    </w:rPr>
  </w:style>
  <w:style w:type="character" w:default="1" w:styleId="17">
    <w:name w:val="Default Paragraph Font"/>
    <w:semiHidden/>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7">
    <w:name w:val="Normal Indent"/>
    <w:basedOn w:val="1"/>
    <w:qFormat/>
    <w:uiPriority w:val="0"/>
    <w:pPr>
      <w:spacing w:line="360" w:lineRule="auto"/>
      <w:ind w:firstLine="200" w:firstLineChars="200"/>
    </w:pPr>
    <w:rPr>
      <w:rFonts w:ascii="Calibri"/>
      <w:sz w:val="24"/>
      <w:szCs w:val="24"/>
    </w:rPr>
  </w:style>
  <w:style w:type="paragraph" w:styleId="8">
    <w:name w:val="caption"/>
    <w:basedOn w:val="1"/>
    <w:next w:val="1"/>
    <w:unhideWhenUsed/>
    <w:qFormat/>
    <w:uiPriority w:val="0"/>
    <w:rPr>
      <w:rFonts w:ascii="Arial" w:hAnsi="Arial" w:eastAsia="黑体"/>
      <w:sz w:val="20"/>
    </w:rPr>
  </w:style>
  <w:style w:type="paragraph" w:styleId="9">
    <w:name w:val="annotation text"/>
    <w:basedOn w:val="1"/>
    <w:semiHidden/>
    <w:qFormat/>
    <w:uiPriority w:val="0"/>
    <w:pPr>
      <w:jc w:val="left"/>
    </w:pPr>
    <w:rPr>
      <w:kern w:val="0"/>
      <w:sz w:val="24"/>
      <w:szCs w:val="20"/>
    </w:rPr>
  </w:style>
  <w:style w:type="paragraph" w:styleId="10">
    <w:name w:val="Body Text Indent"/>
    <w:basedOn w:val="1"/>
    <w:next w:val="1"/>
    <w:qFormat/>
    <w:uiPriority w:val="0"/>
    <w:pPr>
      <w:spacing w:after="120"/>
      <w:ind w:left="420" w:leftChars="200"/>
    </w:pPr>
    <w:rPr>
      <w:kern w:val="0"/>
      <w:sz w:val="24"/>
      <w:szCs w:val="20"/>
    </w:rPr>
  </w:style>
  <w:style w:type="paragraph" w:styleId="11">
    <w:name w:val="footer"/>
    <w:basedOn w:val="1"/>
    <w:qFormat/>
    <w:uiPriority w:val="99"/>
    <w:pPr>
      <w:tabs>
        <w:tab w:val="center" w:pos="4153"/>
        <w:tab w:val="right" w:pos="8306"/>
      </w:tabs>
      <w:snapToGrid w:val="0"/>
      <w:jc w:val="left"/>
    </w:pPr>
    <w:rPr>
      <w:kern w:val="0"/>
      <w:sz w:val="18"/>
      <w:szCs w:val="20"/>
    </w:rPr>
  </w:style>
  <w:style w:type="paragraph" w:styleId="12">
    <w:name w:val="header"/>
    <w:basedOn w:val="1"/>
    <w:qFormat/>
    <w:uiPriority w:val="0"/>
    <w:pPr>
      <w:pBdr>
        <w:bottom w:val="single" w:color="auto" w:sz="6" w:space="1"/>
      </w:pBdr>
      <w:tabs>
        <w:tab w:val="center" w:pos="4153"/>
        <w:tab w:val="right" w:pos="8306"/>
      </w:tabs>
      <w:snapToGrid w:val="0"/>
      <w:jc w:val="center"/>
    </w:pPr>
    <w:rPr>
      <w:kern w:val="0"/>
      <w:sz w:val="18"/>
      <w:szCs w:val="20"/>
    </w:rPr>
  </w:style>
  <w:style w:type="paragraph" w:styleId="13">
    <w:name w:val="toc 1"/>
    <w:basedOn w:val="1"/>
    <w:next w:val="1"/>
    <w:uiPriority w:val="0"/>
  </w:style>
  <w:style w:type="paragraph" w:styleId="14">
    <w:name w:val="Normal (Web)"/>
    <w:basedOn w:val="1"/>
    <w:qFormat/>
    <w:uiPriority w:val="0"/>
    <w:pPr>
      <w:widowControl/>
      <w:spacing w:before="100" w:beforeAutospacing="1" w:after="100" w:afterAutospacing="1"/>
      <w:jc w:val="left"/>
    </w:pPr>
    <w:rPr>
      <w:rFonts w:ascii="宋体" w:hAnsi="宋体"/>
      <w:kern w:val="0"/>
      <w:sz w:val="24"/>
      <w:szCs w:val="20"/>
    </w:rPr>
  </w:style>
  <w:style w:type="table" w:styleId="16">
    <w:name w:val="Table Grid"/>
    <w:basedOn w:val="15"/>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qFormat/>
    <w:uiPriority w:val="0"/>
  </w:style>
  <w:style w:type="paragraph" w:customStyle="1" w:styleId="19">
    <w:name w:val="目录一级"/>
    <w:basedOn w:val="13"/>
    <w:link w:val="20"/>
    <w:uiPriority w:val="0"/>
    <w:pPr>
      <w:tabs>
        <w:tab w:val="right" w:leader="dot" w:pos="9070"/>
      </w:tabs>
    </w:pPr>
    <w:rPr>
      <w:rFonts w:ascii="Times New Roman" w:hAnsi="Times New Roman" w:eastAsia="仿宋" w:cs="仿宋"/>
      <w:b/>
      <w:bCs/>
      <w:sz w:val="24"/>
      <w:u w:val="none"/>
    </w:rPr>
  </w:style>
  <w:style w:type="character" w:customStyle="1" w:styleId="20">
    <w:name w:val="目录一级 Char"/>
    <w:link w:val="19"/>
    <w:uiPriority w:val="0"/>
    <w:rPr>
      <w:rFonts w:ascii="Times New Roman" w:hAnsi="Times New Roman" w:eastAsia="仿宋" w:cs="仿宋"/>
      <w:b/>
      <w:bCs/>
      <w:kern w:val="2"/>
      <w:sz w:val="24"/>
      <w:szCs w:val="24"/>
      <w:u w:val="none"/>
      <w:lang w:val="en-US" w:eastAsia="zh-CN" w:bidi="ar-SA"/>
    </w:rPr>
  </w:style>
  <w:style w:type="paragraph" w:customStyle="1" w:styleId="21">
    <w:name w:val="ENFI表体"/>
    <w:basedOn w:val="1"/>
    <w:qFormat/>
    <w:uiPriority w:val="0"/>
    <w:pPr>
      <w:widowControl/>
      <w:adjustRightInd w:val="0"/>
      <w:snapToGrid w:val="0"/>
      <w:spacing w:line="240" w:lineRule="atLeast"/>
      <w:jc w:val="center"/>
    </w:pPr>
    <w:rPr>
      <w:rFonts w:eastAsia="仿宋_GB2312"/>
      <w:kern w:val="0"/>
      <w:sz w:val="24"/>
    </w:rPr>
  </w:style>
  <w:style w:type="paragraph" w:customStyle="1" w:styleId="22">
    <w:name w:val="Table Text"/>
    <w:basedOn w:val="1"/>
    <w:semiHidden/>
    <w:qFormat/>
    <w:uiPriority w:val="0"/>
    <w:rPr>
      <w:rFonts w:ascii="宋体" w:hAnsi="宋体" w:eastAsia="宋体" w:cs="宋体"/>
      <w:sz w:val="26"/>
      <w:szCs w:val="26"/>
      <w:lang w:val="en-US" w:eastAsia="en-US" w:bidi="ar-SA"/>
    </w:rPr>
  </w:style>
  <w:style w:type="paragraph" w:customStyle="1" w:styleId="23">
    <w:name w:val="样式1"/>
    <w:basedOn w:val="1"/>
    <w:qFormat/>
    <w:uiPriority w:val="0"/>
    <w:pPr>
      <w:jc w:val="center"/>
    </w:pPr>
    <w:rPr>
      <w:rFonts w:ascii="Times New Roman" w:hAnsi="Times New Roman" w:eastAsia="宋体" w:cs="Times New Roman"/>
      <w:b/>
      <w:bCs/>
      <w:szCs w:val="21"/>
    </w:rPr>
  </w:style>
  <w:style w:type="paragraph" w:customStyle="1" w:styleId="24">
    <w:name w:val="111表格内"/>
    <w:basedOn w:val="1"/>
    <w:qFormat/>
    <w:uiPriority w:val="0"/>
    <w:pPr>
      <w:wordWrap w:val="0"/>
      <w:jc w:val="center"/>
    </w:pPr>
    <w:rPr>
      <w:rFonts w:ascii="Times New Roman" w:hAnsi="Times New Roman" w:eastAsia="宋体"/>
      <w:szCs w:val="21"/>
    </w:rPr>
  </w:style>
  <w:style w:type="paragraph" w:customStyle="1" w:styleId="25">
    <w:name w:val="表格"/>
    <w:basedOn w:val="1"/>
    <w:qFormat/>
    <w:uiPriority w:val="0"/>
    <w:pPr>
      <w:adjustRightInd w:val="0"/>
      <w:snapToGrid w:val="0"/>
      <w:spacing w:beforeLines="10" w:afterLines="10" w:line="259" w:lineRule="auto"/>
      <w:jc w:val="center"/>
    </w:pPr>
    <w:rPr>
      <w:rFonts w:ascii="宋体"/>
      <w:kern w:val="0"/>
      <w:szCs w:val="20"/>
    </w:rPr>
  </w:style>
  <w:style w:type="character" w:customStyle="1" w:styleId="26">
    <w:name w:val="font81"/>
    <w:basedOn w:val="17"/>
    <w:qFormat/>
    <w:uiPriority w:val="0"/>
    <w:rPr>
      <w:rFonts w:hint="default" w:ascii="Times New Roman" w:hAnsi="Times New Roman" w:cs="Times New Roman"/>
      <w:color w:val="000000"/>
      <w:sz w:val="20"/>
      <w:szCs w:val="20"/>
      <w:u w:val="none"/>
    </w:rPr>
  </w:style>
  <w:style w:type="character" w:customStyle="1" w:styleId="27">
    <w:name w:val="font112"/>
    <w:basedOn w:val="17"/>
    <w:qFormat/>
    <w:uiPriority w:val="0"/>
    <w:rPr>
      <w:rFonts w:hint="default" w:ascii="Times New Roman" w:hAnsi="Times New Roman" w:cs="Times New Roman"/>
      <w:color w:val="000000"/>
      <w:sz w:val="13"/>
      <w:szCs w:val="13"/>
      <w:u w:val="none"/>
    </w:rPr>
  </w:style>
  <w:style w:type="paragraph" w:customStyle="1" w:styleId="28">
    <w:name w:val="MEL正文*"/>
    <w:basedOn w:val="1"/>
    <w:qFormat/>
    <w:uiPriority w:val="0"/>
    <w:pPr>
      <w:spacing w:line="500" w:lineRule="exact"/>
      <w:ind w:firstLine="200" w:firstLineChars="200"/>
    </w:pPr>
    <w:rPr>
      <w:rFonts w:ascii="宋体" w:hAnsi="宋体"/>
      <w:kern w:val="0"/>
      <w:sz w:val="24"/>
    </w:rPr>
  </w:style>
  <w:style w:type="paragraph" w:customStyle="1" w:styleId="29">
    <w:name w:val="YJ-正文"/>
    <w:basedOn w:val="1"/>
    <w:qFormat/>
    <w:uiPriority w:val="0"/>
    <w:pPr>
      <w:widowControl/>
      <w:spacing w:line="520" w:lineRule="exact"/>
      <w:ind w:firstLine="200" w:firstLineChars="200"/>
    </w:pPr>
    <w:rPr>
      <w:kern w:val="0"/>
      <w:sz w:val="24"/>
      <w:szCs w:val="22"/>
    </w:rPr>
  </w:style>
  <w:style w:type="paragraph" w:customStyle="1" w:styleId="30">
    <w:name w:val="表内文字"/>
    <w:qFormat/>
    <w:uiPriority w:val="0"/>
    <w:pPr>
      <w:widowControl/>
      <w:spacing w:line="240" w:lineRule="auto"/>
      <w:ind w:firstLine="0" w:firstLineChars="0"/>
      <w:jc w:val="center"/>
    </w:pPr>
    <w:rPr>
      <w:rFonts w:ascii="Times New Roman" w:hAnsi="Times New Roman" w:eastAsia="宋体" w:cs="Times New Roman"/>
      <w:kern w:val="2"/>
      <w:sz w:val="21"/>
      <w:szCs w:val="21"/>
      <w:lang w:val="en-US" w:eastAsia="zh-CN" w:bidi="ar-SA"/>
    </w:rPr>
  </w:style>
  <w:style w:type="table" w:customStyle="1" w:styleId="31">
    <w:name w:val="TableGrid"/>
    <w:qFormat/>
    <w:uiPriority w:val="0"/>
    <w:tblPr>
      <w:tblCellMar>
        <w:top w:w="0" w:type="dxa"/>
        <w:left w:w="0" w:type="dxa"/>
        <w:bottom w:w="0" w:type="dxa"/>
        <w:right w:w="0" w:type="dxa"/>
      </w:tblCellMar>
    </w:tblPr>
  </w:style>
  <w:style w:type="paragraph" w:customStyle="1" w:styleId="32">
    <w:name w:val="Default"/>
    <w:qFormat/>
    <w:uiPriority w:val="0"/>
    <w:pPr>
      <w:widowControl w:val="0"/>
      <w:autoSpaceDE w:val="0"/>
      <w:autoSpaceDN w:val="0"/>
      <w:adjustRightInd w:val="0"/>
    </w:pPr>
    <w:rPr>
      <w:rFonts w:ascii="Times New Roman" w:hAnsi="Times New Roman" w:eastAsia="微软雅黑" w:cs="Times New Roman"/>
      <w:color w:val="000000"/>
      <w:sz w:val="24"/>
      <w:szCs w:val="24"/>
      <w:lang w:val="en-US" w:eastAsia="zh-CN" w:bidi="ar-SA"/>
    </w:rPr>
  </w:style>
  <w:style w:type="table" w:customStyle="1" w:styleId="33">
    <w:name w:val="Table Normal"/>
    <w:unhideWhenUsed/>
    <w:qFormat/>
    <w:uiPriority w:val="0"/>
    <w:tblPr>
      <w:tblCellMar>
        <w:top w:w="0" w:type="dxa"/>
        <w:left w:w="0" w:type="dxa"/>
        <w:bottom w:w="0" w:type="dxa"/>
        <w:right w:w="0" w:type="dxa"/>
      </w:tblCellMar>
    </w:tblPr>
  </w:style>
  <w:style w:type="paragraph" w:customStyle="1" w:styleId="34">
    <w:name w:val="A正文*"/>
    <w:basedOn w:val="1"/>
    <w:qFormat/>
    <w:uiPriority w:val="0"/>
    <w:pPr>
      <w:spacing w:line="500" w:lineRule="exact"/>
      <w:ind w:firstLine="200" w:firstLineChars="200"/>
    </w:pPr>
    <w:rPr>
      <w:rFonts w:ascii="宋体" w:hAnsi="宋体"/>
      <w:kern w:val="0"/>
      <w:sz w:val="24"/>
    </w:rPr>
  </w:style>
  <w:style w:type="paragraph" w:customStyle="1" w:styleId="35">
    <w:name w:val="报告表正文"/>
    <w:basedOn w:val="1"/>
    <w:qFormat/>
    <w:uiPriority w:val="0"/>
    <w:pPr>
      <w:spacing w:line="360" w:lineRule="auto"/>
      <w:ind w:firstLine="200" w:firstLineChars="200"/>
      <w:jc w:val="left"/>
    </w:pPr>
    <w:rPr>
      <w:rFonts w:ascii="Times New Roman" w:hAnsi="Times New Roman" w:eastAsia="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8.e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113</Pages>
  <Words>17054</Words>
  <Characters>17771</Characters>
  <Lines>0</Lines>
  <Paragraphs>0</Paragraphs>
  <TotalTime>1</TotalTime>
  <ScaleCrop>false</ScaleCrop>
  <LinksUpToDate>false</LinksUpToDate>
  <CharactersWithSpaces>17871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2026-09-16T03:03:00Z</dcterms:created>
  <dc:creator>Flyoue</dc:creator>
  <cp:lastModifiedBy>Administrator</cp:lastModifiedBy>
  <dcterms:modified xsi:type="dcterms:W3CDTF">2026-09-22T02:04:26Z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F7D0024CF6DE49FFA9FAE9E2EC7F9E53_11</vt:lpwstr>
  </property>
  <property fmtid="{D5CDD505-2E9C-101B-9397-08002B2CF9AE}" pid="4" name="KSOTemplateDocerSaveRecord">
    <vt:lpwstr>eyJoZGlkIjoiYjIyNTIzZTQyNzBkNmQ5N2ExM2Y4NWU5NjZmOTBiZjEiLCJ1c2VySWQiOiIyMzU3Mjc2NjcifQ==</vt:lpwstr>
  </property>
</Properties>
</file>