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sz w:val="36"/>
          <w:szCs w:val="36"/>
          <w:highlight w:val="none"/>
        </w:rPr>
      </w:pPr>
      <w:bookmarkStart w:id="0" w:name="_Hlk57883707"/>
    </w:p>
    <w:p>
      <w:pPr>
        <w:rPr>
          <w:rFonts w:hint="default" w:ascii="Times New Roman" w:hAnsi="Times New Roman" w:eastAsia="仿宋_GB2312" w:cs="Times New Roman"/>
          <w:color w:val="auto"/>
          <w:sz w:val="36"/>
          <w:szCs w:val="36"/>
          <w:highlight w:val="none"/>
        </w:rPr>
      </w:pPr>
    </w:p>
    <w:p>
      <w:pPr>
        <w:rPr>
          <w:rFonts w:hint="default" w:ascii="Times New Roman" w:hAnsi="Times New Roman" w:eastAsia="仿宋_GB2312" w:cs="Times New Roman"/>
          <w:color w:val="auto"/>
          <w:sz w:val="36"/>
          <w:szCs w:val="36"/>
          <w:highlight w:val="none"/>
        </w:rPr>
      </w:pPr>
    </w:p>
    <w:p>
      <w:pPr>
        <w:rPr>
          <w:rFonts w:hint="default" w:ascii="Times New Roman" w:hAnsi="Times New Roman" w:eastAsia="仿宋_GB2312" w:cs="Times New Roman"/>
          <w:color w:val="auto"/>
          <w:sz w:val="36"/>
          <w:szCs w:val="36"/>
          <w:highlight w:val="none"/>
        </w:rPr>
      </w:pPr>
    </w:p>
    <w:bookmarkEnd w:id="0"/>
    <w:p>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1" w:name="_Toc5872"/>
      <w:bookmarkStart w:id="2" w:name="_Toc19180"/>
      <w:bookmarkStart w:id="3" w:name="_Toc2999"/>
      <w:bookmarkStart w:id="4" w:name="_Toc14929"/>
      <w:bookmarkStart w:id="5" w:name="_Toc197412917"/>
      <w:bookmarkStart w:id="6" w:name="_Toc197413051"/>
      <w:bookmarkStart w:id="7" w:name="_Toc14238"/>
      <w:r>
        <w:rPr>
          <w:rFonts w:hint="default" w:ascii="Times New Roman" w:hAnsi="Times New Roman" w:eastAsia="方正小标宋_GBK" w:cs="Times New Roman"/>
          <w:bCs/>
          <w:color w:val="auto"/>
          <w:sz w:val="72"/>
          <w:szCs w:val="72"/>
          <w:highlight w:val="none"/>
        </w:rPr>
        <w:t>建设项目</w:t>
      </w:r>
      <w:r>
        <w:rPr>
          <w:rFonts w:hint="eastAsia" w:ascii="Times New Roman" w:eastAsia="方正小标宋_GBK" w:cs="Times New Roman"/>
          <w:bCs/>
          <w:color w:val="auto"/>
          <w:sz w:val="72"/>
          <w:szCs w:val="72"/>
          <w:highlight w:val="none"/>
          <w:lang w:val="en-US" w:eastAsia="zh-CN"/>
        </w:rPr>
        <w:t>生态</w:t>
      </w:r>
      <w:r>
        <w:rPr>
          <w:rFonts w:hint="default" w:ascii="Times New Roman" w:hAnsi="Times New Roman" w:eastAsia="方正小标宋_GBK" w:cs="Times New Roman"/>
          <w:bCs/>
          <w:color w:val="auto"/>
          <w:sz w:val="72"/>
          <w:szCs w:val="72"/>
          <w:highlight w:val="none"/>
        </w:rPr>
        <w:t>环境影响</w:t>
      </w:r>
      <w:bookmarkEnd w:id="1"/>
    </w:p>
    <w:p>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8" w:name="_Toc25338"/>
      <w:r>
        <w:rPr>
          <w:rFonts w:hint="default" w:ascii="Times New Roman" w:hAnsi="Times New Roman" w:eastAsia="方正小标宋_GBK" w:cs="Times New Roman"/>
          <w:bCs/>
          <w:color w:val="auto"/>
          <w:sz w:val="72"/>
          <w:szCs w:val="72"/>
          <w:highlight w:val="none"/>
        </w:rPr>
        <w:t>报告表</w:t>
      </w:r>
      <w:bookmarkEnd w:id="2"/>
      <w:bookmarkEnd w:id="3"/>
      <w:bookmarkEnd w:id="4"/>
      <w:bookmarkEnd w:id="5"/>
      <w:bookmarkEnd w:id="6"/>
      <w:bookmarkEnd w:id="7"/>
      <w:bookmarkEnd w:id="8"/>
    </w:p>
    <w:p>
      <w:pPr>
        <w:adjustRightInd w:val="0"/>
        <w:snapToGrid w:val="0"/>
        <w:spacing w:before="192" w:beforeLines="80"/>
        <w:jc w:val="center"/>
        <w:rPr>
          <w:rFonts w:hint="default" w:ascii="Times New Roman" w:hAnsi="Times New Roman" w:eastAsia="方正楷体_GB2312" w:cs="Times New Roman"/>
          <w:bCs/>
          <w:color w:val="auto"/>
          <w:sz w:val="48"/>
          <w:szCs w:val="48"/>
          <w:highlight w:val="none"/>
        </w:rPr>
      </w:pPr>
      <w:r>
        <w:rPr>
          <w:rFonts w:hint="default" w:ascii="Times New Roman" w:hAnsi="Times New Roman" w:eastAsia="方正楷体_GB2312" w:cs="Times New Roman"/>
          <w:bCs/>
          <w:color w:val="auto"/>
          <w:sz w:val="48"/>
          <w:szCs w:val="48"/>
          <w:highlight w:val="none"/>
        </w:rPr>
        <w:t>（生态影响类）</w:t>
      </w:r>
    </w:p>
    <w:p>
      <w:pPr>
        <w:adjustRightInd w:val="0"/>
        <w:snapToGrid w:val="0"/>
        <w:spacing w:before="192" w:beforeLines="80"/>
        <w:jc w:val="center"/>
        <w:rPr>
          <w:rFonts w:hint="default" w:ascii="Times New Roman" w:hAnsi="Times New Roman" w:eastAsia="华文仿宋" w:cs="Times New Roman"/>
          <w:color w:val="auto"/>
          <w:kern w:val="44"/>
          <w:sz w:val="36"/>
          <w:szCs w:val="36"/>
          <w:highlight w:val="none"/>
        </w:rPr>
      </w:pPr>
      <w:bookmarkStart w:id="9" w:name="_Hlk57883728"/>
      <w:r>
        <w:rPr>
          <w:rFonts w:hint="eastAsia" w:ascii="方正楷体_GB2312" w:hAnsi="方正楷体_GB2312" w:eastAsia="方正楷体_GB2312" w:cs="方正楷体_GB2312"/>
          <w:color w:val="auto"/>
          <w:kern w:val="44"/>
          <w:sz w:val="40"/>
          <w:szCs w:val="40"/>
          <w:highlight w:val="none"/>
        </w:rPr>
        <w:t>（</w:t>
      </w:r>
      <w:r>
        <w:rPr>
          <w:rFonts w:hint="eastAsia" w:ascii="方正楷体_GB2312" w:hAnsi="方正楷体_GB2312" w:eastAsia="方正楷体_GB2312" w:cs="方正楷体_GB2312"/>
          <w:color w:val="auto"/>
          <w:kern w:val="44"/>
          <w:sz w:val="40"/>
          <w:szCs w:val="40"/>
          <w:highlight w:val="none"/>
          <w:lang w:val="en-US" w:eastAsia="zh-CN"/>
        </w:rPr>
        <w:t>报批版）</w:t>
      </w:r>
    </w:p>
    <w:p>
      <w:pPr>
        <w:pStyle w:val="12"/>
        <w:rPr>
          <w:rFonts w:hint="default" w:ascii="Times New Roman" w:hAnsi="Times New Roman" w:eastAsia="华文仿宋" w:cs="Times New Roman"/>
          <w:color w:val="0000FF"/>
          <w:kern w:val="44"/>
          <w:sz w:val="28"/>
          <w:szCs w:val="28"/>
          <w:highlight w:val="none"/>
        </w:rPr>
      </w:pPr>
    </w:p>
    <w:p>
      <w:pPr>
        <w:rPr>
          <w:rFonts w:hint="default" w:ascii="Times New Roman" w:hAnsi="Times New Roman" w:eastAsia="仿宋" w:cs="Times New Roman"/>
          <w:color w:val="0000FF"/>
          <w:sz w:val="28"/>
          <w:szCs w:val="28"/>
          <w:highlight w:val="none"/>
        </w:rPr>
      </w:pPr>
    </w:p>
    <w:p>
      <w:pPr>
        <w:pStyle w:val="12"/>
        <w:rPr>
          <w:rFonts w:hint="default" w:ascii="Times New Roman" w:hAnsi="Times New Roman" w:eastAsia="仿宋" w:cs="Times New Roman"/>
          <w:color w:val="0000FF"/>
          <w:sz w:val="28"/>
          <w:szCs w:val="28"/>
          <w:highlight w:val="none"/>
        </w:rPr>
      </w:pPr>
    </w:p>
    <w:p>
      <w:pPr>
        <w:rPr>
          <w:rFonts w:hint="default" w:ascii="Times New Roman" w:hAnsi="Times New Roman" w:eastAsia="仿宋" w:cs="Times New Roman"/>
          <w:color w:val="0000FF"/>
          <w:sz w:val="28"/>
          <w:szCs w:val="28"/>
          <w:highlight w:val="none"/>
        </w:rPr>
      </w:pPr>
    </w:p>
    <w:p>
      <w:pPr>
        <w:pStyle w:val="12"/>
        <w:rPr>
          <w:rFonts w:hint="default" w:ascii="Times New Roman" w:hAnsi="Times New Roman" w:eastAsia="仿宋" w:cs="Times New Roman"/>
          <w:color w:val="auto"/>
          <w:sz w:val="28"/>
          <w:szCs w:val="28"/>
          <w:highlight w:val="none"/>
        </w:rPr>
      </w:pPr>
      <w:r>
        <w:drawing>
          <wp:anchor distT="0" distB="0" distL="0" distR="0" simplePos="0" relativeHeight="251672576" behindDoc="1" locked="0" layoutInCell="1" allowOverlap="1">
            <wp:simplePos x="0" y="0"/>
            <wp:positionH relativeFrom="column">
              <wp:posOffset>2308225</wp:posOffset>
            </wp:positionH>
            <wp:positionV relativeFrom="paragraph">
              <wp:posOffset>210820</wp:posOffset>
            </wp:positionV>
            <wp:extent cx="1448435" cy="1400175"/>
            <wp:effectExtent l="0" t="0" r="18415" b="9525"/>
            <wp:wrapNone/>
            <wp:docPr id="60" name="IM 6"/>
            <wp:cNvGraphicFramePr/>
            <a:graphic xmlns:a="http://schemas.openxmlformats.org/drawingml/2006/main">
              <a:graphicData uri="http://schemas.openxmlformats.org/drawingml/2006/picture">
                <pic:pic xmlns:pic="http://schemas.openxmlformats.org/drawingml/2006/picture">
                  <pic:nvPicPr>
                    <pic:cNvPr id="60" name="IM 6"/>
                    <pic:cNvPicPr/>
                  </pic:nvPicPr>
                  <pic:blipFill>
                    <a:blip r:embed="rId14">
                      <a:lum bright="-6000" contrast="-12000"/>
                    </a:blip>
                    <a:stretch>
                      <a:fillRect/>
                    </a:stretch>
                  </pic:blipFill>
                  <pic:spPr>
                    <a:xfrm>
                      <a:off x="0" y="0"/>
                      <a:ext cx="1448435" cy="1400175"/>
                    </a:xfrm>
                    <a:prstGeom prst="rect">
                      <a:avLst/>
                    </a:prstGeom>
                  </pic:spPr>
                </pic:pic>
              </a:graphicData>
            </a:graphic>
          </wp:anchor>
        </w:drawing>
      </w:r>
    </w:p>
    <w:p>
      <w:pPr>
        <w:pStyle w:val="24"/>
        <w:rPr>
          <w:rFonts w:hint="default"/>
          <w:color w:val="auto"/>
          <w:sz w:val="28"/>
          <w:szCs w:val="28"/>
        </w:rPr>
      </w:pPr>
    </w:p>
    <w:bookmarkEnd w:id="9"/>
    <w:p>
      <w:pPr>
        <w:keepNext w:val="0"/>
        <w:keepLines w:val="0"/>
        <w:pageBreakBefore w:val="0"/>
        <w:widowControl w:val="0"/>
        <w:kinsoku/>
        <w:wordWrap/>
        <w:overflowPunct/>
        <w:topLinePunct w:val="0"/>
        <w:autoSpaceDE/>
        <w:autoSpaceDN/>
        <w:bidi w:val="0"/>
        <w:adjustRightInd w:val="0"/>
        <w:snapToGrid w:val="0"/>
        <w:spacing w:line="600" w:lineRule="exact"/>
        <w:ind w:left="840" w:leftChars="400" w:firstLine="0"/>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pacing w:val="160"/>
          <w:kern w:val="0"/>
          <w:sz w:val="32"/>
          <w:szCs w:val="32"/>
          <w:highlight w:val="none"/>
          <w:fitText w:val="2880" w:id="1238642704"/>
        </w:rPr>
        <w:t>项目名称</w:t>
      </w:r>
      <w:r>
        <w:rPr>
          <w:rFonts w:hint="default" w:ascii="Times New Roman" w:hAnsi="Times New Roman" w:eastAsia="仿宋_GB2312" w:cs="Times New Roman"/>
          <w:color w:val="auto"/>
          <w:spacing w:val="0"/>
          <w:kern w:val="0"/>
          <w:sz w:val="32"/>
          <w:szCs w:val="32"/>
          <w:highlight w:val="none"/>
          <w:fitText w:val="2880" w:id="1238642704"/>
        </w:rPr>
        <w:t>：</w:t>
      </w:r>
      <w:r>
        <w:rPr>
          <w:rFonts w:hint="eastAsia" w:ascii="Times New Roman" w:eastAsia="仿宋_GB2312" w:cs="Times New Roman"/>
          <w:color w:val="auto"/>
          <w:sz w:val="32"/>
          <w:szCs w:val="32"/>
          <w:highlight w:val="none"/>
          <w:u w:val="single"/>
          <w:lang w:val="en-US" w:eastAsia="zh-CN"/>
        </w:rPr>
        <w:t>中寒301井</w:t>
      </w:r>
      <w:r>
        <w:rPr>
          <w:rFonts w:hint="default" w:ascii="Times New Roman" w:hAnsi="Times New Roman" w:eastAsia="仿宋_GB2312" w:cs="Times New Roman"/>
          <w:color w:val="auto"/>
          <w:sz w:val="32"/>
          <w:szCs w:val="32"/>
          <w:highlight w:val="none"/>
          <w:u w:val="single"/>
          <w:lang w:eastAsia="zh-CN"/>
        </w:rPr>
        <w:t>（勘探井）钻井工程</w:t>
      </w:r>
      <w:r>
        <w:rPr>
          <w:rFonts w:hint="default" w:ascii="Times New Roman" w:hAnsi="Times New Roman" w:eastAsia="仿宋_GB2312" w:cs="Times New Roman"/>
          <w:color w:val="auto"/>
          <w:sz w:val="32"/>
          <w:szCs w:val="32"/>
          <w:highlight w:val="none"/>
          <w:u w:val="single"/>
        </w:rPr>
        <w:t xml:space="preserve"> </w:t>
      </w:r>
      <w:r>
        <w:rPr>
          <w:rFonts w:hint="eastAsia" w:asci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left="3720" w:leftChars="400" w:hanging="2880" w:hangingChars="900"/>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pacing w:val="0"/>
          <w:kern w:val="0"/>
          <w:sz w:val="32"/>
          <w:szCs w:val="32"/>
          <w:highlight w:val="none"/>
          <w:fitText w:val="2880" w:id="1238642704"/>
        </w:rPr>
        <w:t>建设单位（盖章）：</w:t>
      </w:r>
      <w:r>
        <w:rPr>
          <w:rFonts w:hint="default" w:ascii="Times New Roman" w:hAnsi="Times New Roman" w:eastAsia="仿宋_GB2312" w:cs="Times New Roman"/>
          <w:color w:val="auto"/>
          <w:sz w:val="32"/>
          <w:szCs w:val="32"/>
          <w:highlight w:val="none"/>
          <w:u w:val="single"/>
        </w:rPr>
        <w:t xml:space="preserve">中国石油天然气股份有限公司塔里木油田分公司                     </w:t>
      </w:r>
      <w:r>
        <w:rPr>
          <w:rFonts w:hint="default" w:ascii="Times New Roman" w:hAnsi="Times New Roman" w:eastAsia="仿宋_GB2312" w:cs="Times New Roman"/>
          <w:color w:val="auto"/>
          <w:sz w:val="32"/>
          <w:szCs w:val="32"/>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left="840" w:leftChars="400" w:firstLine="0"/>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pacing w:val="160"/>
          <w:kern w:val="0"/>
          <w:sz w:val="32"/>
          <w:szCs w:val="32"/>
          <w:highlight w:val="none"/>
          <w:fitText w:val="2880" w:id="1238642704"/>
        </w:rPr>
        <w:t>编制日期</w:t>
      </w:r>
      <w:r>
        <w:rPr>
          <w:rFonts w:hint="default" w:ascii="Times New Roman" w:hAnsi="Times New Roman" w:eastAsia="仿宋_GB2312" w:cs="Times New Roman"/>
          <w:color w:val="auto"/>
          <w:spacing w:val="0"/>
          <w:kern w:val="0"/>
          <w:sz w:val="32"/>
          <w:szCs w:val="32"/>
          <w:highlight w:val="none"/>
          <w:fitText w:val="2880" w:id="1238642704"/>
        </w:rPr>
        <w:t>：</w:t>
      </w:r>
      <w:r>
        <w:rPr>
          <w:rFonts w:hint="eastAsia" w:ascii="Times New Roman" w:eastAsia="仿宋_GB2312" w:cs="Times New Roman"/>
          <w:color w:val="auto"/>
          <w:kern w:val="0"/>
          <w:sz w:val="32"/>
          <w:szCs w:val="32"/>
          <w:highlight w:val="none"/>
          <w:u w:val="single"/>
          <w:lang w:val="en-US" w:eastAsia="zh-CN"/>
        </w:rPr>
        <w:t xml:space="preserve">       </w:t>
      </w:r>
      <w:r>
        <w:rPr>
          <w:rFonts w:hint="eastAsia" w:ascii="Times New Roman" w:eastAsia="仿宋_GB2312" w:cs="Times New Roman"/>
          <w:color w:val="auto"/>
          <w:sz w:val="32"/>
          <w:szCs w:val="32"/>
          <w:highlight w:val="none"/>
          <w:u w:val="single"/>
          <w:lang w:val="en-US" w:eastAsia="zh-CN"/>
        </w:rPr>
        <w:t>二〇二六</w:t>
      </w:r>
      <w:r>
        <w:rPr>
          <w:rFonts w:hint="default" w:ascii="Times New Roman" w:hAnsi="Times New Roman" w:eastAsia="仿宋_GB2312" w:cs="Times New Roman"/>
          <w:color w:val="auto"/>
          <w:sz w:val="32"/>
          <w:szCs w:val="32"/>
          <w:highlight w:val="none"/>
          <w:u w:val="single"/>
        </w:rPr>
        <w:t>年</w:t>
      </w:r>
      <w:r>
        <w:rPr>
          <w:rFonts w:hint="eastAsia" w:ascii="Times New Roman" w:eastAsia="仿宋_GB2312" w:cs="Times New Roman"/>
          <w:color w:val="auto"/>
          <w:sz w:val="32"/>
          <w:szCs w:val="32"/>
          <w:highlight w:val="none"/>
          <w:u w:val="single"/>
          <w:lang w:val="en-US" w:eastAsia="zh-CN"/>
        </w:rPr>
        <w:t>九</w:t>
      </w:r>
      <w:r>
        <w:rPr>
          <w:rFonts w:hint="default" w:ascii="Times New Roman" w:hAnsi="Times New Roman" w:eastAsia="仿宋_GB2312" w:cs="Times New Roman"/>
          <w:color w:val="auto"/>
          <w:sz w:val="32"/>
          <w:szCs w:val="32"/>
          <w:highlight w:val="none"/>
          <w:u w:val="single"/>
        </w:rPr>
        <w:t xml:space="preserve">月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rPr>
        <w:t xml:space="preserve">     </w:t>
      </w:r>
    </w:p>
    <w:p>
      <w:pPr>
        <w:adjustRightInd w:val="0"/>
        <w:snapToGrid w:val="0"/>
        <w:spacing w:line="600" w:lineRule="exact"/>
        <w:ind w:firstLine="1040"/>
        <w:rPr>
          <w:rFonts w:hint="default" w:ascii="Times New Roman" w:hAnsi="Times New Roman" w:eastAsia="仿宋_GB2312" w:cs="Times New Roman"/>
          <w:color w:val="auto"/>
          <w:sz w:val="24"/>
          <w:szCs w:val="24"/>
          <w:highlight w:val="none"/>
          <w:u w:val="single"/>
        </w:rPr>
      </w:pPr>
    </w:p>
    <w:p>
      <w:pPr>
        <w:pStyle w:val="12"/>
        <w:rPr>
          <w:rFonts w:hint="default" w:ascii="Times New Roman" w:hAnsi="Times New Roman" w:eastAsia="华文仿宋" w:cs="Times New Roman"/>
          <w:color w:val="auto"/>
          <w:kern w:val="44"/>
          <w:sz w:val="24"/>
          <w:szCs w:val="24"/>
          <w:highlight w:val="none"/>
        </w:rPr>
      </w:pPr>
    </w:p>
    <w:p>
      <w:pPr>
        <w:pStyle w:val="12"/>
        <w:rPr>
          <w:rFonts w:hint="default" w:ascii="Times New Roman" w:hAnsi="Times New Roman" w:eastAsia="华文仿宋" w:cs="Times New Roman"/>
          <w:color w:val="auto"/>
          <w:kern w:val="44"/>
          <w:sz w:val="24"/>
          <w:szCs w:val="24"/>
          <w:highlight w:val="none"/>
        </w:rPr>
      </w:pPr>
    </w:p>
    <w:p>
      <w:pPr>
        <w:pStyle w:val="24"/>
        <w:rPr>
          <w:rFonts w:hint="default" w:ascii="Times New Roman" w:hAnsi="Times New Roman" w:eastAsia="华文仿宋" w:cs="Times New Roman"/>
          <w:color w:val="auto"/>
          <w:kern w:val="44"/>
          <w:sz w:val="24"/>
          <w:szCs w:val="24"/>
          <w:highlight w:val="none"/>
        </w:rPr>
      </w:pPr>
    </w:p>
    <w:p>
      <w:pPr>
        <w:rPr>
          <w:rFonts w:hint="default"/>
          <w:color w:val="auto"/>
        </w:rPr>
      </w:pPr>
    </w:p>
    <w:p>
      <w:pPr>
        <w:adjustRightInd w:val="0"/>
        <w:snapToGrid w:val="0"/>
        <w:spacing w:line="288" w:lineRule="auto"/>
        <w:jc w:val="center"/>
        <w:rPr>
          <w:rFonts w:hint="default" w:ascii="Times New Roman" w:hAnsi="Times New Roman" w:eastAsia="方正楷体_GB2312" w:cs="Times New Roman"/>
          <w:color w:val="auto"/>
          <w:sz w:val="36"/>
          <w:szCs w:val="36"/>
          <w:highlight w:val="none"/>
        </w:rPr>
      </w:pPr>
      <w:r>
        <w:rPr>
          <w:rFonts w:hint="default" w:ascii="Times New Roman" w:hAnsi="Times New Roman" w:eastAsia="方正楷体_GB2312" w:cs="Times New Roman"/>
          <w:color w:val="auto"/>
          <w:sz w:val="36"/>
          <w:szCs w:val="36"/>
          <w:highlight w:val="none"/>
        </w:rPr>
        <w:t>中华人民共和国生态环境部制</w:t>
      </w:r>
    </w:p>
    <w:p>
      <w:pPr>
        <w:adjustRightInd w:val="0"/>
        <w:snapToGrid w:val="0"/>
        <w:spacing w:line="288" w:lineRule="auto"/>
        <w:jc w:val="center"/>
        <w:rPr>
          <w:rFonts w:hint="default" w:ascii="Times New Roman" w:hAnsi="Times New Roman" w:eastAsia="方正楷体_GB2312" w:cs="Times New Roman"/>
          <w:color w:val="0000FF"/>
          <w:sz w:val="36"/>
          <w:szCs w:val="36"/>
          <w:highlight w:val="none"/>
        </w:rPr>
      </w:pPr>
    </w:p>
    <w:p>
      <w:pPr>
        <w:adjustRightInd w:val="0"/>
        <w:snapToGrid w:val="0"/>
        <w:spacing w:line="288" w:lineRule="auto"/>
        <w:ind w:firstLine="1040"/>
        <w:rPr>
          <w:rFonts w:hint="default" w:ascii="Times New Roman" w:hAnsi="Times New Roman" w:eastAsia="仿宋_GB2312" w:cs="Times New Roman"/>
          <w:color w:val="0000FF"/>
          <w:sz w:val="36"/>
          <w:szCs w:val="36"/>
          <w:highlight w:val="none"/>
        </w:rPr>
        <w:sectPr>
          <w:headerReference r:id="rId3" w:type="default"/>
          <w:footerReference r:id="rId4" w:type="default"/>
          <w:footerReference r:id="rId5" w:type="even"/>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adjustRightInd w:val="0"/>
        <w:snapToGrid w:val="0"/>
        <w:spacing w:line="288" w:lineRule="auto"/>
        <w:jc w:val="center"/>
        <w:rPr>
          <w:rFonts w:hint="default" w:ascii="Times New Roman" w:hAnsi="Times New Roman" w:eastAsia="宋体" w:cs="Times New Roman"/>
          <w:color w:val="0000FF"/>
          <w:sz w:val="28"/>
          <w:szCs w:val="28"/>
          <w:highlight w:val="none"/>
        </w:rPr>
      </w:pPr>
    </w:p>
    <w:p>
      <w:pPr>
        <w:adjustRightInd w:val="0"/>
        <w:snapToGrid w:val="0"/>
        <w:spacing w:line="288" w:lineRule="auto"/>
        <w:jc w:val="center"/>
        <w:rPr>
          <w:rFonts w:hint="default" w:ascii="Times New Roman" w:hAnsi="Times New Roman" w:eastAsia="宋体" w:cs="Times New Roman"/>
          <w:color w:val="0000FF"/>
          <w:sz w:val="28"/>
          <w:szCs w:val="28"/>
          <w:highlight w:val="none"/>
        </w:rPr>
        <w:sectPr>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9"/>
        <w:adjustRightInd w:val="0"/>
        <w:snapToGrid w:val="0"/>
        <w:spacing w:before="0" w:beforeAutospacing="0" w:after="0" w:afterAutospacing="0" w:line="360" w:lineRule="auto"/>
        <w:ind w:firstLine="560" w:firstLineChars="200"/>
        <w:jc w:val="center"/>
      </w:pPr>
      <w:r>
        <w:rPr>
          <w:rFonts w:hint="default" w:ascii="Times New Roman" w:hAnsi="Times New Roman" w:eastAsia="宋体" w:cs="Times New Roman"/>
          <w:color w:val="auto"/>
          <w:sz w:val="28"/>
          <w:szCs w:val="28"/>
          <w:highlight w:val="none"/>
        </w:rPr>
        <w:t>目 录</w:t>
      </w:r>
      <w:r>
        <w:rPr>
          <w:rFonts w:hint="default" w:ascii="Times New Roman" w:hAnsi="Times New Roman" w:eastAsia="宋体" w:cs="Times New Roman"/>
          <w:snapToGrid w:val="0"/>
          <w:color w:val="auto"/>
          <w:sz w:val="28"/>
          <w:szCs w:val="28"/>
          <w:highlight w:val="none"/>
        </w:rPr>
        <w:fldChar w:fldCharType="begin"/>
      </w:r>
      <w:r>
        <w:rPr>
          <w:rFonts w:hint="default" w:ascii="Times New Roman" w:hAnsi="Times New Roman" w:eastAsia="宋体" w:cs="Times New Roman"/>
          <w:snapToGrid w:val="0"/>
          <w:color w:val="auto"/>
          <w:sz w:val="28"/>
          <w:szCs w:val="28"/>
          <w:highlight w:val="none"/>
        </w:rPr>
        <w:instrText xml:space="preserve">TOC \o "1-1" \h \u </w:instrText>
      </w:r>
      <w:r>
        <w:rPr>
          <w:rFonts w:hint="default" w:ascii="Times New Roman" w:hAnsi="Times New Roman" w:eastAsia="宋体" w:cs="Times New Roman"/>
          <w:snapToGrid w:val="0"/>
          <w:color w:val="auto"/>
          <w:sz w:val="28"/>
          <w:szCs w:val="28"/>
          <w:highlight w:val="none"/>
        </w:rPr>
        <w:fldChar w:fldCharType="separate"/>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_Toc17180 </w:instrText>
      </w:r>
      <w:r>
        <w:rPr>
          <w:rFonts w:hint="default" w:ascii="Times New Roman" w:hAnsi="Times New Roman" w:eastAsia="宋体" w:cs="Times New Roman"/>
          <w:snapToGrid w:val="0"/>
          <w:sz w:val="28"/>
          <w:szCs w:val="40"/>
          <w:highlight w:val="none"/>
        </w:rPr>
        <w:fldChar w:fldCharType="separate"/>
      </w:r>
      <w:r>
        <w:rPr>
          <w:rFonts w:hint="eastAsia" w:ascii="宋体" w:hAnsi="宋体" w:eastAsia="宋体" w:cs="宋体"/>
          <w:snapToGrid w:val="0"/>
          <w:sz w:val="28"/>
          <w:szCs w:val="40"/>
          <w:highlight w:val="none"/>
        </w:rPr>
        <w:t>一、建设项目基本情况</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_Toc17180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_Toc11945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二、建设内容</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_Toc11945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40</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_Toc32276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三、生态环境现状、保护目标及评价标准</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_Toc32276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64</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_Toc30669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四、生态环境影响分析</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_Toc30669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74</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_Toc14370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五、主要生态环境保护措施</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_Toc14370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104</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_Toc32339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六、生态环境保护措施监督检查清单</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_Toc32339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135</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_Toc15773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七、结论</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_Toc15773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139</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_Toc1632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附图1：项目地位置图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_Toc1632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140</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_Toc5026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附图2：项目周边关系图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_Toc5026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141</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_Toc2532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附图3：钻井期井场平面布置图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_Toc2532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142</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_Toc3832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附体4：区域土地利用类型图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_Toc3832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143</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_Toc16994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附图5：区域植被类型图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_Toc16994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144</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_Toc12707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附图6：区域土壤类型图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_Toc12707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145</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_Toc4883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附图7：项目与新疆生态环境保护红线位置关系图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_Toc4883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146</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_Toc15899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附图8：土地沙化现状图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_Toc15899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147</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_Toc30760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附图9：生态功能区划图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_Toc30760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148</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_Toc23807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附图10：巴音郭楞蒙古自治州综合管控单元分布图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_Toc23807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149</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_Toc26677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附图11：生态恢复措施示意图</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_Toc26677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150</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_Toc342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lang w:val="en-US" w:eastAsia="zh-CN"/>
        </w:rPr>
        <w:t>附件1：委托书</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_Toc342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151</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_Toc3542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附件2：建设单位承诺书</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_Toc3542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152</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_Toc2077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附件3：采矿许可证</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_Toc2077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153</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_Toc933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附件4：关于《塔里木油田“十四五”发展规划环境影响报告书》的审查意见</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_Toc933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156</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_Toc13544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附件5：《关于塔里木油田富源区块钻试修废液处理项目环境影响报告书的批复》</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_Toc13544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163</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_Toc19643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附件6：《关于塔里木油田钻试修废弃物环保处理站工程（哈拉哈塘 轮南 克拉苏 英买力 塔中 塔河南岸 塔西南区块）环境影响报告书的批复》</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_Toc19643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169</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_Toc31967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附件7：《关于塔里木油田钻试修废弃物环保处理站工程（轮南、塔中、塔河南岸区块）自主验收合格的批复》</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_Toc31967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174</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_Toc22092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cs="Times New Roman"/>
          <w:sz w:val="28"/>
          <w:szCs w:val="36"/>
          <w:highlight w:val="none"/>
          <w:lang w:val="en-US" w:eastAsia="zh-CN"/>
        </w:rPr>
        <w:t>附件8：编制单位其他材料</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_Toc22092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176</w:t>
      </w:r>
      <w:r>
        <w:rPr>
          <w:rFonts w:hint="default" w:ascii="Times New Roman" w:hAnsi="Times New Roman"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adjustRightInd w:val="0"/>
        <w:snapToGrid w:val="0"/>
        <w:spacing w:before="0" w:beforeAutospacing="0" w:after="0" w:afterAutospacing="0" w:line="288" w:lineRule="auto"/>
        <w:ind w:firstLine="560" w:firstLineChars="200"/>
        <w:jc w:val="center"/>
        <w:rPr>
          <w:rFonts w:hint="default" w:ascii="Times New Roman" w:hAnsi="Times New Roman" w:eastAsia="宋体" w:cs="Times New Roman"/>
          <w:snapToGrid w:val="0"/>
          <w:color w:val="0000FF"/>
          <w:sz w:val="28"/>
          <w:szCs w:val="28"/>
          <w:highlight w:val="none"/>
        </w:rPr>
      </w:pPr>
      <w:r>
        <w:rPr>
          <w:rFonts w:hint="default" w:ascii="Times New Roman" w:hAnsi="Times New Roman" w:eastAsia="宋体" w:cs="Times New Roman"/>
          <w:snapToGrid w:val="0"/>
          <w:color w:val="auto"/>
          <w:sz w:val="28"/>
          <w:szCs w:val="28"/>
          <w:highlight w:val="none"/>
        </w:rPr>
        <w:fldChar w:fldCharType="end"/>
      </w:r>
    </w:p>
    <w:p>
      <w:pPr>
        <w:pStyle w:val="29"/>
        <w:adjustRightInd w:val="0"/>
        <w:snapToGrid w:val="0"/>
        <w:spacing w:before="0" w:beforeAutospacing="0" w:after="0" w:afterAutospacing="0" w:line="360" w:lineRule="auto"/>
        <w:ind w:firstLine="480" w:firstLineChars="200"/>
        <w:rPr>
          <w:rFonts w:hint="default" w:ascii="Times New Roman" w:hAnsi="Times New Roman" w:cs="Times New Roman"/>
          <w:snapToGrid w:val="0"/>
          <w:color w:val="0000FF"/>
          <w:szCs w:val="24"/>
          <w:highlight w:val="none"/>
          <w:lang w:val="en-US" w:eastAsia="zh-CN"/>
        </w:rPr>
      </w:pPr>
    </w:p>
    <w:p>
      <w:pPr>
        <w:pStyle w:val="29"/>
        <w:adjustRightInd w:val="0"/>
        <w:snapToGrid w:val="0"/>
        <w:spacing w:before="0" w:beforeAutospacing="0" w:after="0" w:afterAutospacing="0" w:line="360" w:lineRule="auto"/>
        <w:ind w:firstLine="480" w:firstLineChars="200"/>
        <w:rPr>
          <w:rFonts w:hint="default" w:ascii="Times New Roman" w:hAnsi="Times New Roman" w:cs="Times New Roman"/>
          <w:snapToGrid w:val="0"/>
          <w:color w:val="0000FF"/>
          <w:szCs w:val="24"/>
          <w:highlight w:val="none"/>
          <w:lang w:val="en-US" w:eastAsia="zh-CN"/>
        </w:rPr>
        <w:sectPr>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9"/>
        <w:jc w:val="center"/>
        <w:outlineLvl w:val="0"/>
        <w:rPr>
          <w:rFonts w:hint="default" w:ascii="Times New Roman" w:hAnsi="Times New Roman" w:eastAsia="黑体" w:cs="Times New Roman"/>
          <w:snapToGrid w:val="0"/>
          <w:color w:val="auto"/>
          <w:sz w:val="30"/>
          <w:szCs w:val="30"/>
          <w:highlight w:val="none"/>
        </w:rPr>
      </w:pPr>
      <w:bookmarkStart w:id="10" w:name="_Toc17180"/>
      <w:r>
        <w:rPr>
          <w:rFonts w:hint="default" w:ascii="Times New Roman" w:hAnsi="Times New Roman" w:eastAsia="黑体" w:cs="Times New Roman"/>
          <w:snapToGrid w:val="0"/>
          <w:color w:val="auto"/>
          <w:sz w:val="30"/>
          <w:szCs w:val="30"/>
          <w:highlight w:val="none"/>
        </w:rPr>
        <w:t>一、建设项目基本情况</w:t>
      </w:r>
      <w:bookmarkEnd w:id="10"/>
    </w:p>
    <w:tbl>
      <w:tblPr>
        <w:tblStyle w:val="32"/>
        <w:tblW w:w="91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2779"/>
        <w:gridCol w:w="1665"/>
        <w:gridCol w:w="330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名称</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val="en-US" w:eastAsia="zh-CN"/>
              </w:rPr>
              <w:t>中寒301井</w:t>
            </w:r>
            <w:r>
              <w:rPr>
                <w:rFonts w:hint="default" w:ascii="Times New Roman" w:hAnsi="Times New Roman" w:cs="Times New Roman"/>
                <w:color w:val="auto"/>
                <w:sz w:val="24"/>
                <w:szCs w:val="24"/>
                <w:highlight w:val="none"/>
                <w:lang w:eastAsia="zh-CN"/>
              </w:rPr>
              <w:t>（勘探井）钻井工程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项目代码</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联系人</w:t>
            </w:r>
          </w:p>
        </w:tc>
        <w:tc>
          <w:tcPr>
            <w:tcW w:w="2779" w:type="dxa"/>
            <w:shd w:val="clear" w:color="auto" w:fill="auto"/>
            <w:noWrap w:val="0"/>
            <w:tcMar>
              <w:top w:w="16" w:type="dxa"/>
              <w:left w:w="108" w:type="dxa"/>
              <w:right w:w="108"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lang w:val="en-US" w:eastAsia="zh-CN" w:bidi="ar-SA"/>
              </w:rPr>
            </w:pPr>
          </w:p>
        </w:tc>
        <w:tc>
          <w:tcPr>
            <w:tcW w:w="1665" w:type="dxa"/>
            <w:shd w:val="clear" w:color="auto" w:fill="auto"/>
            <w:noWrap w:val="0"/>
            <w:tcMar>
              <w:top w:w="16"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highlight w:val="none"/>
              </w:rPr>
              <w:t>联系方式</w:t>
            </w:r>
          </w:p>
        </w:tc>
        <w:tc>
          <w:tcPr>
            <w:tcW w:w="3303" w:type="dxa"/>
            <w:shd w:val="clear" w:color="auto" w:fill="auto"/>
            <w:noWrap w:val="0"/>
            <w:tcMar>
              <w:top w:w="16"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新疆巴音郭楞蒙古自治州且末县塔中镇</w:t>
            </w:r>
            <w:r>
              <w:rPr>
                <w:rFonts w:hint="eastAsia" w:ascii="Times New Roman" w:cs="Times New Roman"/>
                <w:color w:val="auto"/>
                <w:sz w:val="24"/>
                <w:szCs w:val="24"/>
                <w:highlight w:val="none"/>
                <w:lang w:eastAsia="zh-CN"/>
              </w:rPr>
              <w:t>西北侧23.6km处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p>
        </w:tc>
        <w:tc>
          <w:tcPr>
            <w:tcW w:w="2779"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46-099陆地矿产资源地质勘查（含油气资源勘探）</w:t>
            </w:r>
          </w:p>
        </w:tc>
        <w:tc>
          <w:tcPr>
            <w:tcW w:w="1665"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用地（用海）面积（m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）/长度（km）</w:t>
            </w:r>
          </w:p>
        </w:tc>
        <w:tc>
          <w:tcPr>
            <w:tcW w:w="3303"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val="en-US" w:eastAsia="zh-CN"/>
              </w:rPr>
              <w:t>19760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highlight w:val="none"/>
                <w:lang w:val="en-US" w:eastAsia="zh-CN" w:bidi="ar"/>
              </w:rPr>
              <w:t>临时占地，道路长度</w:t>
            </w:r>
            <w:r>
              <w:rPr>
                <w:rFonts w:hint="eastAsia" w:ascii="Times New Roman" w:cs="Times New Roman"/>
                <w:color w:val="auto"/>
                <w:sz w:val="24"/>
                <w:highlight w:val="none"/>
                <w:lang w:val="en-US" w:eastAsia="zh-CN" w:bidi="ar"/>
              </w:rPr>
              <w:t>310</w:t>
            </w:r>
            <w:r>
              <w:rPr>
                <w:rFonts w:hint="eastAsia" w:ascii="Times New Roman" w:hAnsi="Times New Roman" w:cs="Times New Roman"/>
                <w:color w:val="auto"/>
                <w:sz w:val="24"/>
                <w:highlight w:val="none"/>
                <w:lang w:val="en-US" w:eastAsia="zh-CN" w:bidi="ar"/>
              </w:rPr>
              <w:t>m</w:t>
            </w: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p>
        </w:tc>
        <w:tc>
          <w:tcPr>
            <w:tcW w:w="2779"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1665"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3303"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不予批准后再次申报项目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超五年重新审核项目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项目审批（核准/备案）部门（选填）</w:t>
            </w:r>
          </w:p>
        </w:tc>
        <w:tc>
          <w:tcPr>
            <w:tcW w:w="2779"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665"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项目审批（核准/备案）文号（选填）</w:t>
            </w:r>
          </w:p>
        </w:tc>
        <w:tc>
          <w:tcPr>
            <w:tcW w:w="3303"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万元）</w:t>
            </w:r>
          </w:p>
        </w:tc>
        <w:tc>
          <w:tcPr>
            <w:tcW w:w="2779"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eastAsia" w:ascii="Times New Roman" w:cs="Times New Roman"/>
                <w:color w:val="auto"/>
                <w:sz w:val="24"/>
                <w:szCs w:val="24"/>
                <w:highlight w:val="none"/>
                <w:lang w:val="en-US" w:eastAsia="zh-CN"/>
              </w:rPr>
              <w:t>9700</w:t>
            </w:r>
          </w:p>
        </w:tc>
        <w:tc>
          <w:tcPr>
            <w:tcW w:w="1665"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（万元）</w:t>
            </w:r>
          </w:p>
        </w:tc>
        <w:tc>
          <w:tcPr>
            <w:tcW w:w="3303"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150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2779"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eastAsia" w:ascii="Times New Roman" w:cs="Times New Roman"/>
                <w:color w:val="auto"/>
                <w:sz w:val="24"/>
                <w:szCs w:val="24"/>
                <w:highlight w:val="none"/>
                <w:lang w:val="en-US" w:eastAsia="zh-CN"/>
              </w:rPr>
              <w:t>1.5</w:t>
            </w:r>
          </w:p>
        </w:tc>
        <w:tc>
          <w:tcPr>
            <w:tcW w:w="1665"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施工工期（天）</w:t>
            </w:r>
          </w:p>
        </w:tc>
        <w:tc>
          <w:tcPr>
            <w:tcW w:w="3303"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180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是否开工建设</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w:t>
            </w:r>
            <w:r>
              <w:rPr>
                <w:rFonts w:hint="default" w:ascii="Times New Roman" w:hAnsi="Times New Roman" w:eastAsia="宋体" w:cs="Times New Roman"/>
                <w:color w:val="auto"/>
                <w:sz w:val="24"/>
                <w:szCs w:val="24"/>
                <w:highlight w:val="none"/>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专项评价设置情况</w:t>
            </w:r>
          </w:p>
        </w:tc>
        <w:tc>
          <w:tcPr>
            <w:tcW w:w="7747" w:type="dxa"/>
            <w:gridSpan w:val="3"/>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rPr>
              <w:t>规划情况</w:t>
            </w:r>
          </w:p>
        </w:tc>
        <w:tc>
          <w:tcPr>
            <w:tcW w:w="7747" w:type="dxa"/>
            <w:gridSpan w:val="3"/>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文件名称：《塔里木油田“十四五”发展规划》</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审查单位：中国石油天然气股份有限公司勘探与生产分公司</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rPr>
              <w:t>审查文件名称及文号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规划环境影响评价情况</w:t>
            </w:r>
          </w:p>
        </w:tc>
        <w:tc>
          <w:tcPr>
            <w:tcW w:w="7747" w:type="dxa"/>
            <w:gridSpan w:val="3"/>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规划环境影响评价文件名称：《塔里木油田“十四五”发展规划环境影响报告书》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召集审查机关：新疆维吾尔自治区生态环境厅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审查文件名称：关于《塔里木油田“十四五”发展规划环境影响报告书》的审查意见</w:t>
            </w:r>
          </w:p>
          <w:p>
            <w:pPr>
              <w:keepNext w:val="0"/>
              <w:keepLines w:val="0"/>
              <w:pageBreakBefore w:val="0"/>
              <w:suppressLineNumbers w:val="0"/>
              <w:kinsoku/>
              <w:wordWrap/>
              <w:overflowPunct/>
              <w:topLinePunct w:val="0"/>
              <w:bidi w:val="0"/>
              <w:adjustRightInd w:val="0"/>
              <w:snapToGrid/>
              <w:spacing w:before="0" w:beforeAutospacing="0" w:after="0" w:afterAutospacing="0" w:line="440" w:lineRule="exact"/>
              <w:ind w:left="0" w:right="0"/>
              <w:jc w:val="left"/>
              <w:textAlignment w:val="auto"/>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kern w:val="0"/>
                <w:sz w:val="24"/>
                <w:szCs w:val="24"/>
                <w:highlight w:val="none"/>
                <w:lang w:bidi="ar"/>
              </w:rPr>
              <w:t>审查文件文号：新环审</w:t>
            </w:r>
            <w:r>
              <w:rPr>
                <w:rFonts w:hint="default" w:ascii="Times New Roman" w:hAnsi="Times New Roman" w:cs="Times New Roman"/>
                <w:color w:val="auto"/>
                <w:kern w:val="0"/>
                <w:sz w:val="24"/>
                <w:szCs w:val="24"/>
                <w:highlight w:val="none"/>
                <w:lang w:eastAsia="zh-CN" w:bidi="ar"/>
              </w:rPr>
              <w:t>〔</w:t>
            </w:r>
            <w:r>
              <w:rPr>
                <w:rFonts w:hint="default" w:ascii="Times New Roman" w:hAnsi="Times New Roman" w:cs="Times New Roman"/>
                <w:color w:val="auto"/>
                <w:kern w:val="0"/>
                <w:sz w:val="24"/>
                <w:szCs w:val="24"/>
                <w:highlight w:val="none"/>
                <w:lang w:bidi="ar"/>
              </w:rPr>
              <w:t>2022</w:t>
            </w:r>
            <w:r>
              <w:rPr>
                <w:rFonts w:hint="default" w:ascii="Times New Roman" w:hAnsi="Times New Roman" w:cs="Times New Roman"/>
                <w:color w:val="auto"/>
                <w:kern w:val="0"/>
                <w:sz w:val="24"/>
                <w:szCs w:val="24"/>
                <w:highlight w:val="none"/>
                <w:lang w:eastAsia="zh-CN" w:bidi="ar"/>
              </w:rPr>
              <w:t>〕</w:t>
            </w:r>
            <w:r>
              <w:rPr>
                <w:rFonts w:hint="default" w:ascii="Times New Roman" w:hAnsi="Times New Roman" w:cs="Times New Roman"/>
                <w:color w:val="auto"/>
                <w:kern w:val="0"/>
                <w:sz w:val="24"/>
                <w:szCs w:val="24"/>
                <w:highlight w:val="none"/>
                <w:lang w:bidi="ar"/>
              </w:rPr>
              <w:t>214号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2"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规划及规划环境影响评价符合性分析</w:t>
            </w:r>
          </w:p>
        </w:tc>
        <w:tc>
          <w:tcPr>
            <w:tcW w:w="7747" w:type="dxa"/>
            <w:gridSpan w:val="3"/>
            <w:noWrap w:val="0"/>
            <w:tcMar>
              <w:top w:w="16" w:type="dxa"/>
              <w:left w:w="108" w:type="dxa"/>
              <w:right w:w="108"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本项目与《塔里木油田“十四五”发展规划》《塔里木油田“十四五”发展规划环境影响报告书》及审查意见的符合性分析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表1</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与《塔里木油田“十四五”发展规划》《塔里木油田“十四五”发展规划环境影响报告书》及审查意见的符合性分析一览表</w:t>
            </w:r>
          </w:p>
          <w:tbl>
            <w:tblPr>
              <w:tblStyle w:val="32"/>
              <w:tblpPr w:leftFromText="180" w:rightFromText="180" w:vertAnchor="text" w:horzAnchor="page" w:tblpXSpec="center" w:tblpY="13"/>
              <w:tblOverlap w:val="never"/>
              <w:tblW w:w="75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22"/>
              <w:gridCol w:w="3717"/>
              <w:gridCol w:w="2420"/>
              <w:gridCol w:w="7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40" w:hRule="atLeast"/>
                <w:jc w:val="center"/>
              </w:trPr>
              <w:tc>
                <w:tcPr>
                  <w:tcW w:w="4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名称</w:t>
                  </w:r>
                </w:p>
              </w:tc>
              <w:tc>
                <w:tcPr>
                  <w:tcW w:w="245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文件要求</w:t>
                  </w:r>
                </w:p>
              </w:tc>
              <w:tc>
                <w:tcPr>
                  <w:tcW w:w="159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本项目</w:t>
                  </w:r>
                </w:p>
              </w:tc>
              <w:tc>
                <w:tcPr>
                  <w:tcW w:w="470"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32" w:hRule="atLeast"/>
                <w:jc w:val="center"/>
              </w:trPr>
              <w:tc>
                <w:tcPr>
                  <w:tcW w:w="4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lang w:bidi="ar"/>
                    </w:rPr>
                    <w:t>《塔里木油田“十四五”发展规划》</w:t>
                  </w:r>
                </w:p>
              </w:tc>
              <w:tc>
                <w:tcPr>
                  <w:tcW w:w="245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lang w:bidi="ar"/>
                    </w:rPr>
                    <w:t>“十四五期间”持续上产，着力推进“库车山前天然气、塔北</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塔中原油”两大根据地，实施老油气田综合治理、新油气田效益建产和油气田精益生产，努力实现原油产量稳中上升和天然气快速上产。到2025年实现年产天然气360亿方，石油液体880万吨，产量当量3750万吨</w:t>
                  </w:r>
                  <w:r>
                    <w:rPr>
                      <w:rFonts w:hint="default" w:ascii="Times New Roman" w:hAnsi="Times New Roman" w:eastAsia="宋体" w:cs="Times New Roman"/>
                      <w:snapToGrid w:val="0"/>
                      <w:color w:val="auto"/>
                      <w:spacing w:val="-10"/>
                      <w:kern w:val="0"/>
                      <w:sz w:val="21"/>
                      <w:szCs w:val="21"/>
                      <w:highlight w:val="none"/>
                      <w:lang w:eastAsia="zh-CN" w:bidi="ar"/>
                    </w:rPr>
                    <w:t>。</w:t>
                  </w:r>
                </w:p>
              </w:tc>
              <w:tc>
                <w:tcPr>
                  <w:tcW w:w="159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lang w:bidi="ar"/>
                    </w:rPr>
                    <w:t>本项目属于油气勘探项目，为实现原油产量稳中上升和天然气快速上产，做好前期勘探准备。项目符合《塔里木油田“十四五”发展规划》</w:t>
                  </w:r>
                  <w:r>
                    <w:rPr>
                      <w:rFonts w:hint="default" w:ascii="Times New Roman" w:hAnsi="Times New Roman" w:eastAsia="宋体" w:cs="Times New Roman"/>
                      <w:snapToGrid w:val="0"/>
                      <w:color w:val="auto"/>
                      <w:spacing w:val="-10"/>
                      <w:kern w:val="0"/>
                      <w:sz w:val="21"/>
                      <w:szCs w:val="21"/>
                      <w:highlight w:val="none"/>
                      <w:lang w:eastAsia="zh-CN" w:bidi="ar"/>
                    </w:rPr>
                    <w:t>。</w:t>
                  </w:r>
                </w:p>
              </w:tc>
              <w:tc>
                <w:tcPr>
                  <w:tcW w:w="470"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32" w:hRule="atLeast"/>
                <w:jc w:val="center"/>
              </w:trPr>
              <w:tc>
                <w:tcPr>
                  <w:tcW w:w="476"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《塔里木油田“十四五”发展规划环境影响报告书》</w:t>
                  </w:r>
                  <w:r>
                    <w:rPr>
                      <w:rFonts w:hint="default" w:ascii="Times New Roman" w:hAnsi="Times New Roman" w:eastAsia="宋体" w:cs="Times New Roman"/>
                      <w:snapToGrid w:val="0"/>
                      <w:color w:val="auto"/>
                      <w:spacing w:val="-10"/>
                      <w:kern w:val="0"/>
                      <w:sz w:val="21"/>
                      <w:szCs w:val="21"/>
                      <w:highlight w:val="none"/>
                      <w:lang w:val="en-US" w:eastAsia="zh-CN"/>
                    </w:rPr>
                    <w:t>结论</w:t>
                  </w:r>
                </w:p>
              </w:tc>
              <w:tc>
                <w:tcPr>
                  <w:tcW w:w="2454"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0"/>
                      <w:kern w:val="0"/>
                      <w:sz w:val="21"/>
                      <w:szCs w:val="21"/>
                      <w:highlight w:val="none"/>
                      <w:lang w:bidi="ar"/>
                    </w:rPr>
                    <w:t>塔里木油田“十四五”发展规划的发展思路清晰，发展目标明确，油气开发总体部署和规划方案结合开发现状和勘探开发规划进行合理布局，并对老油气田地面系统进行全面优化升级，与国家国民经济与社会发展 “十四五”规划纲要等相符，与新疆维吾尔自治区国民经济与社会发展“十四五”规划及行业规划等相符、符合相关环境保护规划及污染防治行动计划中的相关要求。在落实本评价提出规划优化调整建议、环境管理及污染防治减缓措施的前提下，规划实施过程对区域大气环境、水环境、声环境、土壤环境、生态环境等产生的不利影响可以得到有效减缓或控制，环境风险可以接受。从环境保护角度分析，塔里木油田“十四五”</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default" w:ascii="Times New Roman" w:hAnsi="Times New Roman" w:eastAsia="宋体" w:cs="Times New Roman"/>
                      <w:snapToGrid w:val="0"/>
                      <w:color w:val="auto"/>
                      <w:spacing w:val="-10"/>
                      <w:kern w:val="0"/>
                      <w:sz w:val="21"/>
                      <w:szCs w:val="21"/>
                      <w:highlight w:val="none"/>
                      <w:lang w:bidi="ar"/>
                    </w:rPr>
                    <w:t>发展规划总体可行。</w:t>
                  </w:r>
                </w:p>
              </w:tc>
              <w:tc>
                <w:tcPr>
                  <w:tcW w:w="1597"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default" w:ascii="Times New Roman" w:hAnsi="Times New Roman" w:eastAsia="宋体" w:cs="Times New Roman"/>
                      <w:snapToGrid w:val="0"/>
                      <w:color w:val="auto"/>
                      <w:spacing w:val="-10"/>
                      <w:kern w:val="0"/>
                      <w:sz w:val="21"/>
                      <w:szCs w:val="21"/>
                      <w:highlight w:val="none"/>
                      <w:lang w:bidi="ar"/>
                    </w:rPr>
                    <w:t>本项目</w:t>
                  </w:r>
                  <w:r>
                    <w:rPr>
                      <w:rFonts w:hint="default" w:ascii="Times New Roman" w:hAnsi="Times New Roman" w:eastAsia="宋体" w:cs="Times New Roman"/>
                      <w:snapToGrid w:val="0"/>
                      <w:color w:val="auto"/>
                      <w:spacing w:val="-10"/>
                      <w:kern w:val="0"/>
                      <w:sz w:val="21"/>
                      <w:szCs w:val="21"/>
                      <w:highlight w:val="none"/>
                      <w:lang w:val="en-US" w:eastAsia="zh-CN" w:bidi="ar"/>
                    </w:rPr>
                    <w:t>钻井期间，对</w:t>
                  </w:r>
                  <w:r>
                    <w:rPr>
                      <w:rFonts w:hint="default" w:ascii="Times New Roman" w:hAnsi="Times New Roman" w:eastAsia="宋体" w:cs="Times New Roman"/>
                      <w:snapToGrid w:val="0"/>
                      <w:color w:val="auto"/>
                      <w:spacing w:val="-10"/>
                      <w:kern w:val="0"/>
                      <w:sz w:val="21"/>
                      <w:szCs w:val="21"/>
                      <w:highlight w:val="none"/>
                      <w:lang w:bidi="ar"/>
                    </w:rPr>
                    <w:t>大气环境、水环境、声环境、土壤环境、生态环境等产生的</w:t>
                  </w:r>
                  <w:r>
                    <w:rPr>
                      <w:rFonts w:hint="default" w:ascii="Times New Roman" w:hAnsi="Times New Roman" w:eastAsia="宋体" w:cs="Times New Roman"/>
                      <w:snapToGrid w:val="0"/>
                      <w:color w:val="auto"/>
                      <w:spacing w:val="-10"/>
                      <w:kern w:val="0"/>
                      <w:sz w:val="21"/>
                      <w:szCs w:val="21"/>
                      <w:highlight w:val="none"/>
                      <w:lang w:val="en-US" w:eastAsia="zh-CN" w:bidi="ar"/>
                    </w:rPr>
                    <w:t>不利影响均采取合理的处置措施，</w:t>
                  </w:r>
                  <w:r>
                    <w:rPr>
                      <w:rFonts w:hint="default" w:ascii="Times New Roman" w:hAnsi="Times New Roman" w:eastAsia="宋体" w:cs="Times New Roman"/>
                      <w:snapToGrid w:val="0"/>
                      <w:color w:val="auto"/>
                      <w:spacing w:val="-10"/>
                      <w:kern w:val="0"/>
                      <w:sz w:val="21"/>
                      <w:szCs w:val="21"/>
                      <w:highlight w:val="none"/>
                      <w:lang w:bidi="ar"/>
                    </w:rPr>
                    <w:t>钻井期测试放喷时间一般为1</w:t>
                  </w:r>
                  <w:r>
                    <w:rPr>
                      <w:rFonts w:hint="default" w:ascii="Times New Roman" w:hAnsi="Times New Roman" w:eastAsia="宋体" w:cs="Times New Roman"/>
                      <w:snapToGrid w:val="0"/>
                      <w:color w:val="auto"/>
                      <w:spacing w:val="-10"/>
                      <w:kern w:val="0"/>
                      <w:sz w:val="21"/>
                      <w:szCs w:val="21"/>
                      <w:highlight w:val="none"/>
                      <w:lang w:val="en-US" w:eastAsia="zh-CN" w:bidi="ar"/>
                    </w:rPr>
                    <w:t>5</w:t>
                  </w:r>
                  <w:r>
                    <w:rPr>
                      <w:rFonts w:hint="default" w:ascii="Times New Roman" w:hAnsi="Times New Roman" w:eastAsia="宋体" w:cs="Times New Roman"/>
                      <w:snapToGrid w:val="0"/>
                      <w:color w:val="auto"/>
                      <w:spacing w:val="-10"/>
                      <w:kern w:val="0"/>
                      <w:sz w:val="21"/>
                      <w:szCs w:val="21"/>
                      <w:highlight w:val="none"/>
                      <w:lang w:bidi="ar"/>
                    </w:rPr>
                    <w:t>～</w:t>
                  </w:r>
                  <w:r>
                    <w:rPr>
                      <w:rFonts w:hint="default" w:ascii="Times New Roman" w:hAnsi="Times New Roman" w:eastAsia="宋体" w:cs="Times New Roman"/>
                      <w:snapToGrid w:val="0"/>
                      <w:color w:val="auto"/>
                      <w:spacing w:val="-10"/>
                      <w:kern w:val="0"/>
                      <w:sz w:val="21"/>
                      <w:szCs w:val="21"/>
                      <w:highlight w:val="none"/>
                      <w:lang w:val="en-US" w:eastAsia="zh-CN" w:bidi="ar"/>
                    </w:rPr>
                    <w:t>20</w:t>
                  </w:r>
                  <w:r>
                    <w:rPr>
                      <w:rFonts w:hint="default" w:ascii="Times New Roman" w:hAnsi="Times New Roman" w:eastAsia="宋体" w:cs="Times New Roman"/>
                      <w:snapToGrid w:val="0"/>
                      <w:color w:val="auto"/>
                      <w:spacing w:val="-10"/>
                      <w:kern w:val="0"/>
                      <w:sz w:val="21"/>
                      <w:szCs w:val="21"/>
                      <w:highlight w:val="none"/>
                      <w:lang w:bidi="ar"/>
                    </w:rPr>
                    <w:t>d，采用放喷管线接至放喷池点火放空，项目施工活动范围区域开阔，气象扩散条件好，不会对区域环境空气产生明显影响</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酸化压裂返排液在井场加碱中和后，暂存于废液收集罐，运至富源7环保处理站处置；锅炉排污水用于井区周边洒水抑尘；生活污水经井场撬装式污水处理装置处理后，水质达到《农村生活污水处理排放标准》（DB65 4275-2019）表2的B级标准，用于荒漠生态恢复；岩屑随钻井泥浆带出，采用“泥浆不落地”工艺收集，泥浆排入泥浆罐循环使用，完井后拉运至下一口井再利用，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，处理达标后还原土用于铺垫油区内的井场、道路</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lang w:bidi="ar"/>
                    </w:rPr>
                    <w:t>沾油废物、废烧碱包装袋、废矿物油及其包装物在危废贮存点</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val="en-US" w:eastAsia="zh-CN" w:bidi="ar"/>
                    </w:rPr>
                    <w:t>8m</w:t>
                  </w:r>
                  <w:r>
                    <w:rPr>
                      <w:rFonts w:hint="default" w:ascii="Times New Roman" w:hAnsi="Times New Roman" w:eastAsia="宋体" w:cs="Times New Roman"/>
                      <w:snapToGrid w:val="0"/>
                      <w:color w:val="auto"/>
                      <w:spacing w:val="-10"/>
                      <w:kern w:val="0"/>
                      <w:sz w:val="21"/>
                      <w:szCs w:val="21"/>
                      <w:highlight w:val="none"/>
                      <w:vertAlign w:val="superscript"/>
                      <w:lang w:val="en-US" w:eastAsia="zh-CN" w:bidi="ar"/>
                    </w:rPr>
                    <w:t>2</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暂存，定期由有处理资质的单位接收妥善处置；</w:t>
                  </w:r>
                  <w:r>
                    <w:rPr>
                      <w:rFonts w:hint="default" w:ascii="Times New Roman" w:hAnsi="Times New Roman" w:eastAsia="宋体" w:cs="Times New Roman"/>
                      <w:snapToGrid w:val="0"/>
                      <w:color w:val="auto"/>
                      <w:spacing w:val="-10"/>
                      <w:kern w:val="0"/>
                      <w:sz w:val="21"/>
                      <w:szCs w:val="21"/>
                      <w:highlight w:val="none"/>
                      <w:lang w:val="en-US" w:eastAsia="zh-CN" w:bidi="ar"/>
                    </w:rPr>
                    <w:t>锅炉灰渣及除尘灰送至周边固废填埋场填埋；废布袋由厂家回收处理；生活垃圾及污水处理站污泥规范收集后统一清运至</w:t>
                  </w:r>
                  <w:r>
                    <w:rPr>
                      <w:rFonts w:hint="eastAsia" w:ascii="Times New Roman" w:cs="Times New Roman"/>
                      <w:snapToGrid w:val="0"/>
                      <w:color w:val="auto"/>
                      <w:spacing w:val="-10"/>
                      <w:kern w:val="0"/>
                      <w:sz w:val="21"/>
                      <w:szCs w:val="21"/>
                      <w:highlight w:val="none"/>
                      <w:lang w:val="en-US" w:eastAsia="zh-CN" w:bidi="ar"/>
                    </w:rPr>
                    <w:t>塔中镇生活垃圾填埋场处理</w:t>
                  </w:r>
                  <w:r>
                    <w:rPr>
                      <w:rFonts w:hint="default" w:ascii="Times New Roman" w:hAnsi="Times New Roman" w:eastAsia="宋体" w:cs="Times New Roman"/>
                      <w:snapToGrid w:val="0"/>
                      <w:color w:val="auto"/>
                      <w:spacing w:val="-10"/>
                      <w:kern w:val="0"/>
                      <w:sz w:val="21"/>
                      <w:szCs w:val="21"/>
                      <w:highlight w:val="none"/>
                      <w:lang w:val="en-US" w:eastAsia="zh-CN" w:bidi="ar"/>
                    </w:rPr>
                    <w:t>。</w:t>
                  </w:r>
                </w:p>
              </w:tc>
              <w:tc>
                <w:tcPr>
                  <w:tcW w:w="470"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4" w:hRule="atLeast"/>
                <w:jc w:val="center"/>
              </w:trPr>
              <w:tc>
                <w:tcPr>
                  <w:tcW w:w="476"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1"/>
                      <w:kern w:val="0"/>
                      <w:sz w:val="21"/>
                      <w:szCs w:val="21"/>
                      <w:highlight w:val="none"/>
                    </w:rPr>
                    <w:t>关于《塔里木油田“十四五”发展规划环境影响报告书》</w:t>
                  </w:r>
                  <w:r>
                    <w:rPr>
                      <w:rFonts w:hint="default" w:ascii="Times New Roman" w:hAnsi="Times New Roman" w:eastAsia="宋体" w:cs="Times New Roman"/>
                      <w:snapToGrid w:val="0"/>
                      <w:color w:val="auto"/>
                      <w:spacing w:val="-11"/>
                      <w:kern w:val="0"/>
                      <w:sz w:val="21"/>
                      <w:szCs w:val="21"/>
                      <w:highlight w:val="none"/>
                      <w:lang w:val="en-US" w:eastAsia="zh-CN"/>
                    </w:rPr>
                    <w:t>的</w:t>
                  </w:r>
                  <w:r>
                    <w:rPr>
                      <w:rFonts w:hint="default" w:ascii="Times New Roman" w:hAnsi="Times New Roman" w:eastAsia="宋体" w:cs="Times New Roman"/>
                      <w:snapToGrid w:val="0"/>
                      <w:color w:val="auto"/>
                      <w:spacing w:val="-11"/>
                      <w:kern w:val="0"/>
                      <w:sz w:val="21"/>
                      <w:szCs w:val="21"/>
                      <w:highlight w:val="none"/>
                    </w:rPr>
                    <w:t>审查意见</w:t>
                  </w:r>
                </w:p>
              </w:tc>
              <w:tc>
                <w:tcPr>
                  <w:tcW w:w="245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1"/>
                      <w:kern w:val="0"/>
                      <w:sz w:val="21"/>
                      <w:szCs w:val="21"/>
                      <w:highlight w:val="none"/>
                      <w:lang w:bidi="ar"/>
                    </w:rPr>
                    <w:t>严格生态环境保护，强化各类污染物防治。针对规划实施可能出现的累积性、长期性生态环境问题，采取积极有效的生态复垦和生态恢复措施，确保实现《报告书》提出的各项生态恢复治理要求，有效减缓规划区生态环境退化趋势。根据油气开采产业政策和生态环境保护政策要求，严格落实资源环境指标要求，进一步控制污染物排放以及能源消耗水平，对油气开采产生的废弃油基泥浆、含油废液及其他固体废物，提出减量化的源头控制措施、资源化的利用路径、无害化的处理要求，按照国家和地方有关固体废物的管理规定进行处置，提高废弃油基泥浆和含油钻屑及其处理产物的综合利用率。根据油气开采产业政策和生态环境保护政策要求，严格落实资源环境指标要求，进一步控制污染物排放以及能源消耗水平。油气开采、输送、储存、净化等过程及非正常工况应加强挥发性有机物等污染物排放控制，确保满足区域环境空气质量要求。加强开采废水污染控制，涉及回注的应经处理满足《碎屑岩油藏注水水质推荐指标及分析方法》</w:t>
                  </w:r>
                  <w:r>
                    <w:rPr>
                      <w:rFonts w:hint="default" w:ascii="Times New Roman" w:hAnsi="Times New Roman" w:eastAsia="宋体" w:cs="Times New Roman"/>
                      <w:snapToGrid w:val="0"/>
                      <w:color w:val="auto"/>
                      <w:spacing w:val="-11"/>
                      <w:kern w:val="0"/>
                      <w:sz w:val="21"/>
                      <w:szCs w:val="21"/>
                      <w:highlight w:val="none"/>
                      <w:lang w:eastAsia="zh-CN" w:bidi="ar"/>
                    </w:rPr>
                    <w:t>（</w:t>
                  </w:r>
                  <w:r>
                    <w:rPr>
                      <w:rFonts w:hint="default" w:ascii="Times New Roman" w:hAnsi="Times New Roman" w:eastAsia="宋体" w:cs="Times New Roman"/>
                      <w:snapToGrid w:val="0"/>
                      <w:color w:val="auto"/>
                      <w:spacing w:val="-11"/>
                      <w:kern w:val="0"/>
                      <w:sz w:val="21"/>
                      <w:szCs w:val="21"/>
                      <w:highlight w:val="none"/>
                      <w:lang w:bidi="ar"/>
                    </w:rPr>
                    <w:t>SY/T5329</w:t>
                  </w:r>
                  <w:r>
                    <w:rPr>
                      <w:rFonts w:hint="default" w:ascii="Times New Roman" w:hAnsi="Times New Roman" w:eastAsia="宋体" w:cs="Times New Roman"/>
                      <w:snapToGrid w:val="0"/>
                      <w:color w:val="auto"/>
                      <w:spacing w:val="-11"/>
                      <w:kern w:val="0"/>
                      <w:sz w:val="21"/>
                      <w:szCs w:val="21"/>
                      <w:highlight w:val="none"/>
                      <w:lang w:eastAsia="zh-CN" w:bidi="ar"/>
                    </w:rPr>
                    <w:t>）</w:t>
                  </w:r>
                  <w:r>
                    <w:rPr>
                      <w:rFonts w:hint="default" w:ascii="Times New Roman" w:hAnsi="Times New Roman" w:eastAsia="宋体" w:cs="Times New Roman"/>
                      <w:snapToGrid w:val="0"/>
                      <w:color w:val="auto"/>
                      <w:spacing w:val="-11"/>
                      <w:kern w:val="0"/>
                      <w:sz w:val="21"/>
                      <w:szCs w:val="21"/>
                      <w:highlight w:val="none"/>
                      <w:lang w:bidi="ar"/>
                    </w:rPr>
                    <w:t>等相关标准要求，采取切实可行的地下水污染防治和监控措施，防止造成地下水污染。油气开采过程中产生的固体废物应当遵循减量化、资源化、无害化原则，合规处置。加强伴生气、落地油、采出水等回收利用，提高综合利用水平。</w:t>
                  </w:r>
                </w:p>
              </w:tc>
              <w:tc>
                <w:tcPr>
                  <w:tcW w:w="159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0"/>
                      <w:kern w:val="0"/>
                      <w:sz w:val="21"/>
                      <w:szCs w:val="21"/>
                      <w:highlight w:val="none"/>
                      <w:lang w:bidi="ar"/>
                    </w:rPr>
                    <w:t>本项目不涉及运营期，钻井期测试放喷时间一般为1</w:t>
                  </w:r>
                  <w:r>
                    <w:rPr>
                      <w:rFonts w:hint="default" w:ascii="Times New Roman" w:hAnsi="Times New Roman" w:eastAsia="宋体" w:cs="Times New Roman"/>
                      <w:snapToGrid w:val="0"/>
                      <w:color w:val="auto"/>
                      <w:spacing w:val="-10"/>
                      <w:kern w:val="0"/>
                      <w:sz w:val="21"/>
                      <w:szCs w:val="21"/>
                      <w:highlight w:val="none"/>
                      <w:lang w:val="en-US" w:eastAsia="zh-CN" w:bidi="ar"/>
                    </w:rPr>
                    <w:t>5</w:t>
                  </w:r>
                  <w:r>
                    <w:rPr>
                      <w:rFonts w:hint="default" w:ascii="Times New Roman" w:hAnsi="Times New Roman" w:eastAsia="宋体" w:cs="Times New Roman"/>
                      <w:snapToGrid w:val="0"/>
                      <w:color w:val="auto"/>
                      <w:spacing w:val="-10"/>
                      <w:kern w:val="0"/>
                      <w:sz w:val="21"/>
                      <w:szCs w:val="21"/>
                      <w:highlight w:val="none"/>
                      <w:lang w:bidi="ar"/>
                    </w:rPr>
                    <w:t>～</w:t>
                  </w:r>
                  <w:r>
                    <w:rPr>
                      <w:rFonts w:hint="default" w:ascii="Times New Roman" w:hAnsi="Times New Roman" w:eastAsia="宋体" w:cs="Times New Roman"/>
                      <w:snapToGrid w:val="0"/>
                      <w:color w:val="auto"/>
                      <w:spacing w:val="-10"/>
                      <w:kern w:val="0"/>
                      <w:sz w:val="21"/>
                      <w:szCs w:val="21"/>
                      <w:highlight w:val="none"/>
                      <w:lang w:val="en-US" w:eastAsia="zh-CN" w:bidi="ar"/>
                    </w:rPr>
                    <w:t>20</w:t>
                  </w:r>
                  <w:r>
                    <w:rPr>
                      <w:rFonts w:hint="default" w:ascii="Times New Roman" w:hAnsi="Times New Roman" w:eastAsia="宋体" w:cs="Times New Roman"/>
                      <w:snapToGrid w:val="0"/>
                      <w:color w:val="auto"/>
                      <w:spacing w:val="-10"/>
                      <w:kern w:val="0"/>
                      <w:sz w:val="21"/>
                      <w:szCs w:val="21"/>
                      <w:highlight w:val="none"/>
                      <w:lang w:bidi="ar"/>
                    </w:rPr>
                    <w:t>d，</w:t>
                  </w:r>
                  <w:r>
                    <w:rPr>
                      <w:rFonts w:hint="default" w:ascii="Times New Roman" w:hAnsi="Times New Roman" w:eastAsia="宋体" w:cs="Times New Roman"/>
                      <w:snapToGrid w:val="0"/>
                      <w:color w:val="auto"/>
                      <w:spacing w:val="-10"/>
                      <w:kern w:val="0"/>
                      <w:sz w:val="21"/>
                      <w:szCs w:val="21"/>
                      <w:highlight w:val="none"/>
                      <w:lang w:eastAsia="zh-CN" w:bidi="ar"/>
                    </w:rPr>
                    <w:t>测试放喷废气，由放喷管线引至放喷池实施点火放空；</w:t>
                  </w:r>
                  <w:r>
                    <w:rPr>
                      <w:rFonts w:hint="default" w:ascii="Times New Roman" w:hAnsi="Times New Roman" w:eastAsia="宋体" w:cs="Times New Roman"/>
                      <w:snapToGrid w:val="0"/>
                      <w:color w:val="auto"/>
                      <w:spacing w:val="-10"/>
                      <w:kern w:val="0"/>
                      <w:sz w:val="21"/>
                      <w:szCs w:val="21"/>
                      <w:highlight w:val="none"/>
                      <w:lang w:bidi="ar"/>
                    </w:rPr>
                    <w:t>生物质蒸汽锅炉采用生物质成型燃料，采用低氮燃烧技术，燃烧烟气经管道收集后送至袋式除尘器</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处理后经</w:t>
                  </w:r>
                  <w:r>
                    <w:rPr>
                      <w:rFonts w:hint="eastAsia" w:ascii="Times New Roman" w:cs="Times New Roman"/>
                      <w:snapToGrid w:val="0"/>
                      <w:color w:val="auto"/>
                      <w:spacing w:val="-10"/>
                      <w:kern w:val="0"/>
                      <w:sz w:val="21"/>
                      <w:szCs w:val="21"/>
                      <w:highlight w:val="none"/>
                      <w:lang w:val="en-US" w:eastAsia="zh-CN" w:bidi="ar"/>
                    </w:rPr>
                    <w:t>30</w:t>
                  </w:r>
                  <w:r>
                    <w:rPr>
                      <w:rFonts w:hint="default" w:ascii="Times New Roman" w:hAnsi="Times New Roman" w:eastAsia="宋体" w:cs="Times New Roman"/>
                      <w:snapToGrid w:val="0"/>
                      <w:color w:val="auto"/>
                      <w:spacing w:val="-10"/>
                      <w:kern w:val="0"/>
                      <w:sz w:val="21"/>
                      <w:szCs w:val="21"/>
                      <w:highlight w:val="none"/>
                      <w:lang w:bidi="ar"/>
                    </w:rPr>
                    <w:t>m排气筒（可拆卸式）排放，项目施工活动范围区域开阔，气象扩散条件好，不会对区域环境空气产生明显影响</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岩屑随钻井泥浆带出，采用“泥浆不落地”工艺收集，泥浆排入泥浆罐循环使用，完井后拉运至下一口井再利用，膨润土体系废弃钻井岩屑排入防渗岩屑池干化，经检测达标后，用于井场平整；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lang w:eastAsia="zh-CN"/>
                    </w:rPr>
                    <w:t>，处理达标后还原土用于铺垫油区内的井场、道路；</w:t>
                  </w:r>
                  <w:r>
                    <w:rPr>
                      <w:rFonts w:hint="default" w:ascii="Times New Roman" w:hAnsi="Times New Roman" w:eastAsia="宋体" w:cs="Times New Roman"/>
                      <w:snapToGrid w:val="0"/>
                      <w:color w:val="auto"/>
                      <w:spacing w:val="-10"/>
                      <w:kern w:val="0"/>
                      <w:sz w:val="21"/>
                      <w:szCs w:val="21"/>
                      <w:highlight w:val="none"/>
                      <w:lang w:bidi="ar"/>
                    </w:rPr>
                    <w:t>沾油废物、废烧碱包装袋、废矿物油及其包装物在危废贮存点（8m</w:t>
                  </w:r>
                  <w:r>
                    <w:rPr>
                      <w:rFonts w:hint="default" w:ascii="Times New Roman" w:hAnsi="Times New Roman" w:eastAsia="宋体" w:cs="Times New Roman"/>
                      <w:snapToGrid w:val="0"/>
                      <w:color w:val="auto"/>
                      <w:spacing w:val="-10"/>
                      <w:kern w:val="0"/>
                      <w:sz w:val="21"/>
                      <w:szCs w:val="21"/>
                      <w:highlight w:val="none"/>
                      <w:vertAlign w:val="superscript"/>
                      <w:lang w:bidi="ar"/>
                    </w:rPr>
                    <w:t>2</w:t>
                  </w:r>
                  <w:r>
                    <w:rPr>
                      <w:rFonts w:hint="default" w:ascii="Times New Roman" w:hAnsi="Times New Roman" w:eastAsia="宋体" w:cs="Times New Roman"/>
                      <w:snapToGrid w:val="0"/>
                      <w:color w:val="auto"/>
                      <w:spacing w:val="-10"/>
                      <w:kern w:val="0"/>
                      <w:sz w:val="21"/>
                      <w:szCs w:val="21"/>
                      <w:highlight w:val="none"/>
                      <w:lang w:bidi="ar"/>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snapToGrid w:val="0"/>
                      <w:color w:val="auto"/>
                      <w:spacing w:val="-10"/>
                      <w:kern w:val="0"/>
                      <w:sz w:val="21"/>
                      <w:szCs w:val="21"/>
                      <w:highlight w:val="none"/>
                      <w:lang w:eastAsia="zh-CN" w:bidi="ar"/>
                    </w:rPr>
                    <w:t>塔中镇生活垃圾填埋场处理</w:t>
                  </w:r>
                  <w:r>
                    <w:rPr>
                      <w:rFonts w:hint="default" w:ascii="Times New Roman" w:hAnsi="Times New Roman" w:eastAsia="宋体" w:cs="Times New Roman"/>
                      <w:snapToGrid w:val="0"/>
                      <w:color w:val="auto"/>
                      <w:spacing w:val="-10"/>
                      <w:kern w:val="0"/>
                      <w:sz w:val="21"/>
                      <w:szCs w:val="21"/>
                      <w:highlight w:val="none"/>
                      <w:lang w:bidi="ar"/>
                    </w:rPr>
                    <w:t>。</w:t>
                  </w:r>
                </w:p>
              </w:tc>
              <w:tc>
                <w:tcPr>
                  <w:tcW w:w="470"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4" w:hRule="atLeast"/>
                <w:jc w:val="center"/>
              </w:trPr>
              <w:tc>
                <w:tcPr>
                  <w:tcW w:w="4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1"/>
                      <w:kern w:val="0"/>
                      <w:sz w:val="21"/>
                      <w:szCs w:val="21"/>
                      <w:highlight w:val="none"/>
                    </w:rPr>
                  </w:pPr>
                </w:p>
              </w:tc>
              <w:tc>
                <w:tcPr>
                  <w:tcW w:w="2454"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default" w:ascii="Times New Roman" w:hAnsi="Times New Roman" w:eastAsia="宋体" w:cs="Times New Roman"/>
                      <w:snapToGrid w:val="0"/>
                      <w:color w:val="auto"/>
                      <w:spacing w:val="-10"/>
                      <w:kern w:val="0"/>
                      <w:sz w:val="21"/>
                      <w:szCs w:val="21"/>
                      <w:highlight w:val="none"/>
                      <w:lang w:bidi="ar"/>
                    </w:rPr>
                    <w:t>加强生态环境系统治理，维护生态安全。坚持节约优先、保护优先、自然恢复为主，统筹推进山水林田湖草沙一体化保护和系统治理，守住自然生态安全边界。严格控制油气田开发扰动范围，加大生态治理力度，结合油气开采绿色矿山建设等相关要求，落实各项生态环境保护措施，保障区域生态功能不退化，油气开发应同步制定并落实生态保护和修复方案，综合考虑防沙治沙等相关要求，因地制宜开展生态恢复治理工作</w:t>
                  </w:r>
                </w:p>
              </w:tc>
              <w:tc>
                <w:tcPr>
                  <w:tcW w:w="15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钻完井后施工单位负责做到工完、料净、场地清，</w:t>
                  </w:r>
                  <w:r>
                    <w:rPr>
                      <w:rFonts w:hint="default" w:ascii="Times New Roman" w:hAnsi="Times New Roman" w:eastAsia="宋体" w:cs="Times New Roman"/>
                      <w:color w:val="auto"/>
                      <w:spacing w:val="-10"/>
                      <w:sz w:val="21"/>
                      <w:szCs w:val="21"/>
                      <w:highlight w:val="none"/>
                      <w:lang w:bidi="ar"/>
                    </w:rPr>
                    <w:t>施工结束后及时恢复原状，不降低占地环境质量</w:t>
                  </w:r>
                  <w:r>
                    <w:rPr>
                      <w:rFonts w:hint="default" w:ascii="Times New Roman" w:hAnsi="Times New Roman" w:eastAsia="宋体" w:cs="Times New Roman"/>
                      <w:snapToGrid w:val="0"/>
                      <w:color w:val="auto"/>
                      <w:spacing w:val="-10"/>
                      <w:kern w:val="0"/>
                      <w:sz w:val="21"/>
                      <w:szCs w:val="21"/>
                      <w:highlight w:val="none"/>
                    </w:rPr>
                    <w:t>。同时</w:t>
                  </w:r>
                  <w:r>
                    <w:rPr>
                      <w:rFonts w:hint="default" w:ascii="Times New Roman" w:hAnsi="Times New Roman" w:eastAsia="宋体" w:cs="Times New Roman"/>
                      <w:snapToGrid w:val="0"/>
                      <w:color w:val="auto"/>
                      <w:spacing w:val="-10"/>
                      <w:kern w:val="0"/>
                      <w:sz w:val="21"/>
                      <w:szCs w:val="21"/>
                      <w:highlight w:val="none"/>
                      <w:lang w:eastAsia="zh-CN"/>
                    </w:rPr>
                    <w:t>，报告</w:t>
                  </w:r>
                  <w:r>
                    <w:rPr>
                      <w:rFonts w:hint="default" w:ascii="Times New Roman" w:hAnsi="Times New Roman" w:eastAsia="宋体" w:cs="Times New Roman"/>
                      <w:snapToGrid w:val="0"/>
                      <w:color w:val="auto"/>
                      <w:spacing w:val="-10"/>
                      <w:kern w:val="0"/>
                      <w:sz w:val="21"/>
                      <w:szCs w:val="21"/>
                      <w:highlight w:val="none"/>
                    </w:rPr>
                    <w:t>中提出相关防沙治沙措施</w:t>
                  </w:r>
                  <w:r>
                    <w:rPr>
                      <w:rFonts w:hint="default" w:ascii="Times New Roman" w:hAnsi="Times New Roman" w:eastAsia="宋体" w:cs="Times New Roman"/>
                      <w:snapToGrid w:val="0"/>
                      <w:color w:val="auto"/>
                      <w:spacing w:val="-10"/>
                      <w:kern w:val="0"/>
                      <w:sz w:val="21"/>
                      <w:szCs w:val="21"/>
                      <w:highlight w:val="none"/>
                      <w:lang w:eastAsia="zh-CN"/>
                    </w:rPr>
                    <w:t>。</w:t>
                  </w:r>
                </w:p>
              </w:tc>
              <w:tc>
                <w:tcPr>
                  <w:tcW w:w="47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1"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br w:type="page"/>
            </w:r>
            <w:r>
              <w:rPr>
                <w:rFonts w:hint="default" w:ascii="Times New Roman" w:hAnsi="Times New Roman" w:eastAsia="宋体" w:cs="Times New Roman"/>
                <w:color w:val="auto"/>
                <w:sz w:val="24"/>
                <w:szCs w:val="24"/>
                <w:highlight w:val="none"/>
              </w:rPr>
              <w:t>其他符合性分析</w:t>
            </w:r>
          </w:p>
        </w:tc>
        <w:tc>
          <w:tcPr>
            <w:tcW w:w="7747" w:type="dxa"/>
            <w:gridSpan w:val="3"/>
            <w:noWrap w:val="0"/>
            <w:tcMar>
              <w:top w:w="16" w:type="dxa"/>
              <w:left w:w="108" w:type="dxa"/>
              <w:right w:w="108"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color w:val="auto"/>
                <w:sz w:val="24"/>
                <w:szCs w:val="20"/>
                <w:highlight w:val="none"/>
              </w:rPr>
              <w:t>1</w:t>
            </w:r>
            <w:r>
              <w:rPr>
                <w:rFonts w:hint="default" w:ascii="Times New Roman" w:hAnsi="Times New Roman" w:eastAsia="宋体" w:cs="Times New Roman"/>
                <w:b/>
                <w:bCs/>
                <w:color w:val="auto"/>
                <w:sz w:val="24"/>
                <w:highlight w:val="none"/>
              </w:rPr>
              <w:t>、《产业结构调整指导目录</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2024</w:t>
            </w:r>
            <w:r>
              <w:rPr>
                <w:rFonts w:hint="default" w:ascii="Times New Roman" w:hAnsi="Times New Roman" w:eastAsia="宋体" w:cs="Times New Roman"/>
                <w:b/>
                <w:bCs/>
                <w:color w:val="auto"/>
                <w:sz w:val="24"/>
                <w:highlight w:val="none"/>
              </w:rPr>
              <w:t>年本</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rPr>
              <w:t>》符合性分析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属于油气勘探钻井工程，对照《产业结构调整指导目录（2024年本）》，项目属于鼓励类中的“七、石油、天然气中”的“1、常规石油、天然气勘探与开采”；对照《市场准入负面清单（2025年版）》（发改体改规〔2025〕466号），本项目不在其禁止类之列，项目实施符合国家产业政策。</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rPr>
              <w:t>2、</w:t>
            </w:r>
            <w:r>
              <w:rPr>
                <w:rFonts w:hint="default" w:ascii="Times New Roman" w:hAnsi="Times New Roman" w:eastAsia="宋体" w:cs="Times New Roman"/>
                <w:b/>
                <w:bCs/>
                <w:color w:val="auto"/>
                <w:sz w:val="24"/>
                <w:highlight w:val="none"/>
                <w:lang w:val="en-US" w:eastAsia="zh-CN"/>
              </w:rPr>
              <w:t>选址合理性分析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sz w:val="24"/>
                <w:highlight w:val="none"/>
                <w:lang w:val="en-US" w:eastAsia="zh-CN"/>
              </w:rPr>
              <w:t>项目占地类型为</w:t>
            </w:r>
            <w:r>
              <w:rPr>
                <w:rFonts w:hint="default" w:ascii="Times New Roman" w:hAnsi="Times New Roman" w:cs="Times New Roman"/>
                <w:b w:val="0"/>
                <w:bCs w:val="0"/>
                <w:color w:val="auto"/>
                <w:sz w:val="24"/>
                <w:highlight w:val="none"/>
                <w:lang w:val="en-US" w:eastAsia="zh-CN"/>
              </w:rPr>
              <w:t>沙地</w:t>
            </w:r>
            <w:r>
              <w:rPr>
                <w:rFonts w:hint="default" w:ascii="Times New Roman" w:hAnsi="Times New Roman" w:eastAsia="宋体" w:cs="Times New Roman"/>
                <w:b w:val="0"/>
                <w:bCs w:val="0"/>
                <w:color w:val="auto"/>
                <w:sz w:val="24"/>
                <w:highlight w:val="none"/>
                <w:lang w:val="en-US" w:eastAsia="zh-CN"/>
              </w:rPr>
              <w:t>，地表无植被覆盖，周边无环境敏感区域，</w:t>
            </w:r>
            <w:r>
              <w:rPr>
                <w:rFonts w:hint="default" w:ascii="Times New Roman" w:hAnsi="Times New Roman" w:eastAsia="宋体" w:cs="Times New Roman"/>
                <w:color w:val="auto"/>
                <w:sz w:val="24"/>
                <w:szCs w:val="24"/>
                <w:highlight w:val="none"/>
                <w:lang w:val="en-US" w:eastAsia="zh-CN"/>
              </w:rPr>
              <w:t>项目划定严格的施工边界，不扰动红线外区域。本项目井场中心地理坐标为：</w:t>
            </w:r>
            <w:r>
              <w:rPr>
                <w:rFonts w:hint="default" w:ascii="Times New Roman" w:hAnsi="Times New Roman" w:cs="Times New Roman"/>
                <w:color w:val="auto"/>
                <w:sz w:val="24"/>
                <w:szCs w:val="24"/>
                <w:highlight w:val="none"/>
                <w:lang w:val="en-US" w:eastAsia="zh-CN"/>
              </w:rPr>
              <w:t>东经83°30′50.721″，北纬39°13′52.020″</w:t>
            </w:r>
            <w:r>
              <w:rPr>
                <w:rFonts w:hint="default" w:ascii="Times New Roman" w:hAnsi="Times New Roman" w:eastAsia="宋体" w:cs="Times New Roman"/>
                <w:color w:val="auto"/>
                <w:sz w:val="24"/>
                <w:szCs w:val="24"/>
                <w:highlight w:val="none"/>
                <w:lang w:val="en-US" w:eastAsia="zh-CN"/>
              </w:rPr>
              <w:t>。经过地质调查，项目区域是有利于油气聚集的地质区域，符合项目建设需求。项目位于“新疆塔里木盆地</w:t>
            </w:r>
            <w:r>
              <w:rPr>
                <w:rFonts w:hint="default" w:ascii="Times New Roman" w:hAnsi="Times New Roman" w:cs="Times New Roman"/>
                <w:color w:val="auto"/>
                <w:sz w:val="24"/>
                <w:szCs w:val="24"/>
                <w:highlight w:val="none"/>
                <w:lang w:val="en-US" w:eastAsia="zh-CN"/>
              </w:rPr>
              <w:t>塔中I号气田油田开采</w:t>
            </w:r>
            <w:r>
              <w:rPr>
                <w:rFonts w:hint="default" w:ascii="Times New Roman" w:hAnsi="Times New Roman" w:eastAsia="宋体" w:cs="Times New Roman"/>
                <w:color w:val="auto"/>
                <w:sz w:val="24"/>
                <w:szCs w:val="24"/>
                <w:highlight w:val="none"/>
                <w:lang w:val="en-US" w:eastAsia="zh-CN"/>
              </w:rPr>
              <w:t>”范围内。取得《</w:t>
            </w:r>
            <w:r>
              <w:rPr>
                <w:rFonts w:hint="default" w:ascii="Times New Roman" w:hAnsi="Times New Roman" w:cs="Times New Roman"/>
                <w:color w:val="auto"/>
                <w:sz w:val="24"/>
                <w:szCs w:val="24"/>
                <w:highlight w:val="none"/>
                <w:lang w:val="en-US" w:eastAsia="zh-CN"/>
              </w:rPr>
              <w:t>采矿</w:t>
            </w:r>
            <w:r>
              <w:rPr>
                <w:rFonts w:hint="default" w:ascii="Times New Roman" w:hAnsi="Times New Roman" w:eastAsia="宋体" w:cs="Times New Roman"/>
                <w:color w:val="auto"/>
                <w:sz w:val="24"/>
                <w:szCs w:val="24"/>
                <w:highlight w:val="none"/>
                <w:lang w:val="en-US" w:eastAsia="zh-CN"/>
              </w:rPr>
              <w:t>许可证》（证号</w:t>
            </w:r>
            <w:r>
              <w:rPr>
                <w:rFonts w:hint="default" w:ascii="Times New Roman" w:hAnsi="Times New Roman" w:cs="Times New Roman"/>
                <w:color w:val="auto"/>
                <w:sz w:val="24"/>
                <w:szCs w:val="24"/>
                <w:highlight w:val="none"/>
                <w:lang w:val="en-US" w:eastAsia="zh-CN"/>
              </w:rPr>
              <w:t>：C1000002021121318000192</w:t>
            </w:r>
            <w:r>
              <w:rPr>
                <w:rFonts w:hint="default" w:ascii="Times New Roman" w:hAnsi="Times New Roman" w:eastAsia="宋体" w:cs="Times New Roman"/>
                <w:color w:val="auto"/>
                <w:sz w:val="24"/>
                <w:szCs w:val="24"/>
                <w:highlight w:val="none"/>
                <w:lang w:val="en-US" w:eastAsia="zh-CN"/>
              </w:rPr>
              <w:t>），具有油气勘探资格，项目选址合理。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3</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环境功能区划</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所在区域为油气勘探开发区域，大气环境属于《环境空气质量标准》（GB3095-2026）二类区；根据《地下水质量标准》（GB/T14848-2017）地下水质量分类规定，工程所在区域地下水属于《地下水质量标准》（GB/T14848-2017）Ⅲ类区；工程区域以工业生产（油气勘探开发）为主要功能，声环境为《声环境质量标准》（GB3096-2008）2类区。</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4</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生态环境分区管控符合性分析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关于印发《新疆维吾尔自治区生态环境分区管控动态更新成果》的通知（新环环评发〔2024〕157号）及《关于印发巴音郭楞蒙古自治州生态环境分区管控动态更新成果（2023年）的通知》（巴政办发〔2024〕32号），本项目与生态环境分区管控的符合性分析见表1-2至表1-</w:t>
            </w:r>
            <w:r>
              <w:rPr>
                <w:rFonts w:hint="eastAsia" w:asci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rPr>
              <w:t>与《新疆维吾尔自治区生态环境分区管控动态更新成果》的符合性分析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2    与《新疆维吾尔自治区生态环境分区管控动态更新成果》符合性分析一览表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29"/>
              <w:gridCol w:w="376"/>
              <w:gridCol w:w="515"/>
              <w:gridCol w:w="2668"/>
              <w:gridCol w:w="2518"/>
              <w:gridCol w:w="6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45" w:type="pct"/>
                  <w:gridSpan w:val="3"/>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类别</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文件要求</w:t>
                  </w:r>
                </w:p>
              </w:tc>
              <w:tc>
                <w:tcPr>
                  <w:tcW w:w="167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本项目</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52"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6"/>
                      <w:sz w:val="21"/>
                      <w:szCs w:val="21"/>
                      <w:highlight w:val="none"/>
                      <w:lang w:bidi="ar"/>
                    </w:rPr>
                  </w:pPr>
                  <w:r>
                    <w:rPr>
                      <w:rFonts w:hint="default" w:ascii="Times New Roman" w:hAnsi="Times New Roman" w:eastAsia="宋体" w:cs="Times New Roman"/>
                      <w:bCs/>
                      <w:color w:val="auto"/>
                      <w:spacing w:val="-6"/>
                      <w:sz w:val="21"/>
                      <w:szCs w:val="21"/>
                      <w:highlight w:val="none"/>
                      <w:lang w:bidi="ar"/>
                    </w:rPr>
                    <w:t>关于印发《新疆维吾尔自治区生态环境分区管控动态更新成果》的通知（新环环评发〔2024〕</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6"/>
                      <w:sz w:val="21"/>
                      <w:szCs w:val="21"/>
                      <w:highlight w:val="none"/>
                      <w:lang w:bidi="ar"/>
                    </w:rPr>
                    <w:t>157号）</w:t>
                  </w:r>
                </w:p>
              </w:tc>
              <w:tc>
                <w:tcPr>
                  <w:tcW w:w="593"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生态保护红线</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按照“生态功能不降低、面积不减少、性质不改变”的基本要求，对划定的生态保护红线实施严格管控，保障和维护国家生态安全的底线和生命线。</w:t>
                  </w:r>
                </w:p>
              </w:tc>
              <w:tc>
                <w:tcPr>
                  <w:tcW w:w="167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val="en-US" w:eastAsia="zh-CN"/>
                    </w:rPr>
                    <w:t>本项目</w:t>
                  </w:r>
                  <w:r>
                    <w:rPr>
                      <w:rFonts w:hint="eastAsia" w:ascii="Times New Roman" w:cs="Times New Roman"/>
                      <w:color w:val="auto"/>
                      <w:spacing w:val="-10"/>
                      <w:sz w:val="21"/>
                      <w:szCs w:val="21"/>
                      <w:highlight w:val="none"/>
                      <w:lang w:val="en-US" w:eastAsia="zh-CN"/>
                    </w:rPr>
                    <w:t>西南距塔里木盆地南缘土地沙化防控生态保护红线区113.8km</w:t>
                  </w:r>
                  <w:r>
                    <w:rPr>
                      <w:rFonts w:hint="default" w:ascii="Times New Roman" w:hAnsi="Times New Roman" w:eastAsia="宋体" w:cs="Times New Roman"/>
                      <w:color w:val="auto"/>
                      <w:spacing w:val="-10"/>
                      <w:sz w:val="21"/>
                      <w:szCs w:val="21"/>
                      <w:highlight w:val="none"/>
                    </w:rPr>
                    <w:t>，不占用生态保护红线</w:t>
                  </w:r>
                  <w:r>
                    <w:rPr>
                      <w:rFonts w:hint="default" w:ascii="Times New Roman" w:hAnsi="Times New Roman" w:eastAsia="宋体" w:cs="Times New Roman"/>
                      <w:color w:val="auto"/>
                      <w:spacing w:val="-10"/>
                      <w:sz w:val="21"/>
                      <w:szCs w:val="21"/>
                      <w:highlight w:val="none"/>
                      <w:lang w:eastAsia="zh-CN"/>
                    </w:rPr>
                    <w:t>。</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5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p>
              </w:tc>
              <w:tc>
                <w:tcPr>
                  <w:tcW w:w="593"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环境质量底线</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67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50" w:lineRule="exact"/>
                    <w:ind w:left="0" w:right="0"/>
                    <w:textAlignment w:val="auto"/>
                    <w:rPr>
                      <w:rFonts w:hint="default"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rPr>
                    <w:t>本项</w:t>
                  </w:r>
                  <w:r>
                    <w:rPr>
                      <w:rFonts w:hint="default" w:ascii="Times New Roman" w:hAnsi="Times New Roman" w:eastAsia="宋体" w:cs="Times New Roman"/>
                      <w:color w:val="auto"/>
                      <w:spacing w:val="-16"/>
                      <w:sz w:val="21"/>
                      <w:szCs w:val="21"/>
                      <w:highlight w:val="none"/>
                    </w:rPr>
                    <w:t>目不涉及运营期，</w:t>
                  </w:r>
                  <w:r>
                    <w:rPr>
                      <w:rFonts w:hint="default" w:ascii="Times New Roman" w:hAnsi="Times New Roman" w:eastAsia="宋体" w:cs="Times New Roman"/>
                      <w:color w:val="auto"/>
                      <w:spacing w:val="-16"/>
                      <w:sz w:val="21"/>
                      <w:szCs w:val="21"/>
                      <w:highlight w:val="none"/>
                      <w:lang w:val="en-US" w:eastAsia="zh-CN"/>
                    </w:rPr>
                    <w:t>测试放喷废气，由放喷管线引至放喷池实施点火放空；生物质蒸汽锅炉采用生物质成型燃料，采用低氮燃烧技术，燃烧烟气经管道收集后送至袋式除尘器，处理后经</w:t>
                  </w:r>
                  <w:r>
                    <w:rPr>
                      <w:rFonts w:hint="eastAsia" w:ascii="Times New Roman" w:cs="Times New Roman"/>
                      <w:color w:val="auto"/>
                      <w:spacing w:val="-16"/>
                      <w:sz w:val="21"/>
                      <w:szCs w:val="21"/>
                      <w:highlight w:val="none"/>
                      <w:lang w:val="en-US" w:eastAsia="zh-CN"/>
                    </w:rPr>
                    <w:t>30</w:t>
                  </w:r>
                  <w:r>
                    <w:rPr>
                      <w:rFonts w:hint="default" w:ascii="Times New Roman" w:hAnsi="Times New Roman" w:eastAsia="宋体" w:cs="Times New Roman"/>
                      <w:color w:val="auto"/>
                      <w:spacing w:val="-16"/>
                      <w:sz w:val="21"/>
                      <w:szCs w:val="21"/>
                      <w:highlight w:val="none"/>
                      <w:lang w:val="en-US" w:eastAsia="zh-CN"/>
                    </w:rPr>
                    <w:t>m排气筒（可拆卸式）排放</w:t>
                  </w:r>
                  <w:r>
                    <w:rPr>
                      <w:rFonts w:hint="default" w:ascii="Times New Roman" w:hAnsi="Times New Roman" w:eastAsia="宋体" w:cs="Times New Roman"/>
                      <w:color w:val="auto"/>
                      <w:spacing w:val="-16"/>
                      <w:sz w:val="21"/>
                      <w:szCs w:val="21"/>
                      <w:highlight w:val="none"/>
                    </w:rPr>
                    <w:t>；本项目施工活动范围区域开阔，气象扩散条件好。因此，</w:t>
                  </w:r>
                  <w:r>
                    <w:rPr>
                      <w:rFonts w:hint="default" w:ascii="Times New Roman" w:hAnsi="Times New Roman" w:eastAsia="宋体" w:cs="Times New Roman"/>
                      <w:color w:val="auto"/>
                      <w:spacing w:val="-16"/>
                      <w:sz w:val="21"/>
                      <w:szCs w:val="21"/>
                      <w:highlight w:val="none"/>
                      <w:lang w:eastAsia="zh-CN"/>
                    </w:rPr>
                    <w:t>本项目不会</w:t>
                  </w:r>
                  <w:r>
                    <w:rPr>
                      <w:rFonts w:hint="default" w:ascii="Times New Roman" w:hAnsi="Times New Roman" w:eastAsia="宋体" w:cs="Times New Roman"/>
                      <w:color w:val="auto"/>
                      <w:spacing w:val="-16"/>
                      <w:sz w:val="21"/>
                      <w:szCs w:val="21"/>
                      <w:highlight w:val="none"/>
                    </w:rPr>
                    <w:t>对区域环境空气产生明显影响，且这种影响是局部的</w:t>
                  </w:r>
                  <w:r>
                    <w:rPr>
                      <w:rFonts w:hint="default" w:ascii="Times New Roman" w:hAnsi="Times New Roman" w:eastAsia="宋体" w:cs="Times New Roman"/>
                      <w:color w:val="auto"/>
                      <w:spacing w:val="-16"/>
                      <w:sz w:val="21"/>
                      <w:szCs w:val="21"/>
                      <w:highlight w:val="none"/>
                      <w:lang w:eastAsia="zh-CN"/>
                    </w:rPr>
                    <w:t>、</w:t>
                  </w:r>
                  <w:r>
                    <w:rPr>
                      <w:rFonts w:hint="default" w:ascii="Times New Roman" w:hAnsi="Times New Roman" w:eastAsia="宋体" w:cs="Times New Roman"/>
                      <w:color w:val="auto"/>
                      <w:spacing w:val="-16"/>
                      <w:sz w:val="21"/>
                      <w:szCs w:val="21"/>
                      <w:highlight w:val="none"/>
                    </w:rPr>
                    <w:t>短期的，项目建设完成之后影响就会消失。</w:t>
                  </w:r>
                  <w:r>
                    <w:rPr>
                      <w:rFonts w:hint="default" w:ascii="Times New Roman" w:hAnsi="Times New Roman" w:eastAsia="宋体" w:cs="Times New Roman"/>
                      <w:snapToGrid w:val="0"/>
                      <w:color w:val="auto"/>
                      <w:spacing w:val="-16"/>
                      <w:kern w:val="0"/>
                      <w:sz w:val="21"/>
                      <w:szCs w:val="21"/>
                      <w:highlight w:val="none"/>
                      <w:lang w:bidi="ar"/>
                    </w:rPr>
                    <w:t>酸化压裂返排液在井场加碱中和后，暂存于废液收集罐，运至富源7环保处理站处置</w:t>
                  </w:r>
                  <w:r>
                    <w:rPr>
                      <w:rFonts w:hint="default" w:ascii="Times New Roman" w:hAnsi="Times New Roman" w:eastAsia="宋体" w:cs="Times New Roman"/>
                      <w:color w:val="auto"/>
                      <w:spacing w:val="-16"/>
                      <w:sz w:val="21"/>
                      <w:szCs w:val="21"/>
                      <w:highlight w:val="none"/>
                    </w:rPr>
                    <w:t>；</w:t>
                  </w:r>
                  <w:r>
                    <w:rPr>
                      <w:rFonts w:hint="default" w:ascii="Times New Roman" w:hAnsi="Times New Roman" w:eastAsia="宋体" w:cs="Times New Roman"/>
                      <w:snapToGrid w:val="0"/>
                      <w:color w:val="auto"/>
                      <w:spacing w:val="-10"/>
                      <w:kern w:val="0"/>
                      <w:sz w:val="21"/>
                      <w:szCs w:val="21"/>
                      <w:highlight w:val="none"/>
                      <w:lang w:bidi="ar"/>
                    </w:rPr>
                    <w:t>生活污水经井场撬装式污水处理装置处理后，水质达到《农村生活污水处理排放标准》（DB65</w:t>
                  </w:r>
                  <w:r>
                    <w:rPr>
                      <w:rFonts w:hint="default" w:ascii="Times New Roman" w:hAnsi="Times New Roman" w:eastAsia="宋体" w:cs="Times New Roman"/>
                      <w:snapToGrid w:val="0"/>
                      <w:color w:val="auto"/>
                      <w:spacing w:val="-10"/>
                      <w:kern w:val="0"/>
                      <w:sz w:val="21"/>
                      <w:szCs w:val="21"/>
                      <w:highlight w:val="none"/>
                      <w:lang w:val="en-US" w:eastAsia="zh-CN" w:bidi="ar"/>
                    </w:rPr>
                    <w:t xml:space="preserve"> </w:t>
                  </w:r>
                  <w:r>
                    <w:rPr>
                      <w:rFonts w:hint="default" w:ascii="Times New Roman" w:hAnsi="Times New Roman" w:eastAsia="宋体" w:cs="Times New Roman"/>
                      <w:snapToGrid w:val="0"/>
                      <w:color w:val="auto"/>
                      <w:spacing w:val="-10"/>
                      <w:kern w:val="0"/>
                      <w:sz w:val="21"/>
                      <w:szCs w:val="21"/>
                      <w:highlight w:val="none"/>
                      <w:lang w:bidi="ar"/>
                    </w:rPr>
                    <w:t>4275-2019）表2的</w:t>
                  </w:r>
                  <w:r>
                    <w:rPr>
                      <w:rFonts w:hint="default" w:ascii="Times New Roman" w:hAnsi="Times New Roman" w:eastAsia="宋体" w:cs="Times New Roman"/>
                      <w:snapToGrid w:val="0"/>
                      <w:color w:val="auto"/>
                      <w:spacing w:val="-10"/>
                      <w:kern w:val="0"/>
                      <w:sz w:val="21"/>
                      <w:szCs w:val="21"/>
                      <w:highlight w:val="none"/>
                      <w:lang w:val="en-US" w:eastAsia="zh-CN" w:bidi="ar"/>
                    </w:rPr>
                    <w:t>B</w:t>
                  </w:r>
                  <w:r>
                    <w:rPr>
                      <w:rFonts w:hint="default" w:ascii="Times New Roman" w:hAnsi="Times New Roman" w:eastAsia="宋体" w:cs="Times New Roman"/>
                      <w:snapToGrid w:val="0"/>
                      <w:color w:val="auto"/>
                      <w:spacing w:val="-10"/>
                      <w:kern w:val="0"/>
                      <w:sz w:val="21"/>
                      <w:szCs w:val="21"/>
                      <w:highlight w:val="none"/>
                      <w:lang w:bidi="ar"/>
                    </w:rPr>
                    <w:t>级标准，用于荒漠生态恢复</w:t>
                  </w:r>
                  <w:r>
                    <w:rPr>
                      <w:rFonts w:hint="default" w:ascii="Times New Roman" w:hAnsi="Times New Roman" w:eastAsia="宋体" w:cs="Times New Roman"/>
                      <w:color w:val="auto"/>
                      <w:spacing w:val="-16"/>
                      <w:sz w:val="21"/>
                      <w:szCs w:val="21"/>
                      <w:highlight w:val="none"/>
                    </w:rPr>
                    <w:t>；岩屑随钻井泥浆带出，采用“泥浆不落地”工艺收集，泥浆排入泥浆罐循环使用，完井后拉运至下一口井再利用，</w:t>
                  </w:r>
                  <w:r>
                    <w:rPr>
                      <w:rFonts w:hint="default" w:ascii="Times New Roman" w:hAnsi="Times New Roman" w:eastAsia="宋体" w:cs="Times New Roman"/>
                      <w:snapToGrid w:val="0"/>
                      <w:color w:val="auto"/>
                      <w:spacing w:val="-16"/>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6"/>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6"/>
                      <w:sz w:val="21"/>
                      <w:szCs w:val="21"/>
                      <w:highlight w:val="none"/>
                      <w:lang w:eastAsia="zh-CN"/>
                    </w:rPr>
                    <w:t>，处理达标后还原土用于铺垫油区内的井场、道路；沾油废物、废烧碱包装袋、废矿物油及其包装物在危废贮存点（8m</w:t>
                  </w:r>
                  <w:r>
                    <w:rPr>
                      <w:rFonts w:hint="default" w:ascii="Times New Roman" w:hAnsi="Times New Roman" w:eastAsia="宋体" w:cs="Times New Roman"/>
                      <w:color w:val="auto"/>
                      <w:spacing w:val="-16"/>
                      <w:sz w:val="21"/>
                      <w:szCs w:val="21"/>
                      <w:highlight w:val="none"/>
                      <w:vertAlign w:val="superscript"/>
                      <w:lang w:eastAsia="zh-CN"/>
                    </w:rPr>
                    <w:t>2</w:t>
                  </w:r>
                  <w:r>
                    <w:rPr>
                      <w:rFonts w:hint="default" w:ascii="Times New Roman" w:hAnsi="Times New Roman" w:eastAsia="宋体" w:cs="Times New Roman"/>
                      <w:color w:val="auto"/>
                      <w:spacing w:val="-16"/>
                      <w:sz w:val="21"/>
                      <w:szCs w:val="21"/>
                      <w:highlight w:val="none"/>
                      <w:lang w:eastAsia="zh-CN"/>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color w:val="auto"/>
                      <w:spacing w:val="-16"/>
                      <w:sz w:val="21"/>
                      <w:szCs w:val="21"/>
                      <w:highlight w:val="none"/>
                      <w:lang w:eastAsia="zh-CN"/>
                    </w:rPr>
                    <w:t>塔中镇生活垃圾填埋场处理</w:t>
                  </w:r>
                  <w:r>
                    <w:rPr>
                      <w:rFonts w:hint="default" w:ascii="Times New Roman" w:hAnsi="Times New Roman" w:eastAsia="宋体" w:cs="Times New Roman"/>
                      <w:color w:val="auto"/>
                      <w:spacing w:val="-16"/>
                      <w:sz w:val="21"/>
                      <w:szCs w:val="21"/>
                      <w:highlight w:val="none"/>
                    </w:rPr>
                    <w:t>；产噪设备安装减振基础。本项目产生的污染物均能达标排放，经采取相应措施后对环境影响较小，不会突破环境质量底线</w:t>
                  </w:r>
                  <w:r>
                    <w:rPr>
                      <w:rFonts w:hint="default" w:ascii="Times New Roman" w:hAnsi="Times New Roman" w:eastAsia="宋体" w:cs="Times New Roman"/>
                      <w:color w:val="auto"/>
                      <w:spacing w:val="-16"/>
                      <w:sz w:val="21"/>
                      <w:szCs w:val="21"/>
                      <w:highlight w:val="none"/>
                      <w:lang w:eastAsia="zh-CN"/>
                    </w:rPr>
                    <w:t>。</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44" w:hRule="atLeast"/>
                <w:jc w:val="center"/>
              </w:trPr>
              <w:tc>
                <w:tcPr>
                  <w:tcW w:w="55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p>
              </w:tc>
              <w:tc>
                <w:tcPr>
                  <w:tcW w:w="593"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资源利用上线</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强化节约集约利用，持续提升资源能源利用效率，水资源、土地资源、能源消耗等达到国家、自治区下达的总量和强度控制目标。加快区域低碳发展，积极推动乌鲁木齐市、昌吉市、伊宁市、和田市等4个国家级低碳试点城市发挥低碳试点示范和引领作用。</w:t>
                  </w:r>
                </w:p>
              </w:tc>
              <w:tc>
                <w:tcPr>
                  <w:tcW w:w="16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自治区尚未下达资源能源利用效率，水资源、土地资源、能源消耗等总量和强度控制目标，本项目</w:t>
                  </w:r>
                  <w:r>
                    <w:rPr>
                      <w:rFonts w:hint="default" w:ascii="Times New Roman" w:hAnsi="Times New Roman" w:eastAsia="宋体" w:cs="Times New Roman"/>
                      <w:color w:val="auto"/>
                      <w:spacing w:val="-14"/>
                      <w:kern w:val="0"/>
                      <w:sz w:val="21"/>
                      <w:szCs w:val="21"/>
                      <w:highlight w:val="none"/>
                    </w:rPr>
                    <w:t>施工过程</w:t>
                  </w:r>
                  <w:r>
                    <w:rPr>
                      <w:rFonts w:hint="default" w:ascii="Times New Roman" w:hAnsi="Times New Roman" w:eastAsia="宋体" w:cs="Times New Roman"/>
                      <w:color w:val="auto"/>
                      <w:spacing w:val="-14"/>
                      <w:sz w:val="21"/>
                      <w:szCs w:val="21"/>
                      <w:highlight w:val="none"/>
                    </w:rPr>
                    <w:t>中消耗水量较小，占用土地面积为</w:t>
                  </w:r>
                  <w:r>
                    <w:rPr>
                      <w:rFonts w:hint="eastAsia" w:ascii="Times New Roman" w:cs="Times New Roman"/>
                      <w:color w:val="auto"/>
                      <w:spacing w:val="-14"/>
                      <w:sz w:val="21"/>
                      <w:szCs w:val="21"/>
                      <w:highlight w:val="none"/>
                      <w:lang w:val="en-US" w:eastAsia="zh-CN"/>
                    </w:rPr>
                    <w:t>19760</w:t>
                  </w:r>
                  <w:r>
                    <w:rPr>
                      <w:rFonts w:hint="default" w:ascii="Times New Roman" w:hAnsi="Times New Roman" w:eastAsia="宋体" w:cs="Times New Roman"/>
                      <w:color w:val="auto"/>
                      <w:spacing w:val="-14"/>
                      <w:sz w:val="21"/>
                      <w:szCs w:val="21"/>
                      <w:highlight w:val="none"/>
                    </w:rPr>
                    <w:t>m</w:t>
                  </w:r>
                  <w:r>
                    <w:rPr>
                      <w:rFonts w:hint="default" w:ascii="Times New Roman" w:hAnsi="Times New Roman" w:eastAsia="宋体" w:cs="Times New Roman"/>
                      <w:color w:val="auto"/>
                      <w:spacing w:val="-14"/>
                      <w:sz w:val="21"/>
                      <w:szCs w:val="21"/>
                      <w:highlight w:val="none"/>
                      <w:vertAlign w:val="superscript"/>
                    </w:rPr>
                    <w:t>2</w:t>
                  </w:r>
                  <w:r>
                    <w:rPr>
                      <w:rFonts w:hint="default" w:ascii="Times New Roman" w:hAnsi="Times New Roman" w:eastAsia="宋体" w:cs="Times New Roman"/>
                      <w:color w:val="auto"/>
                      <w:spacing w:val="-14"/>
                      <w:sz w:val="21"/>
                      <w:szCs w:val="21"/>
                      <w:highlight w:val="none"/>
                    </w:rPr>
                    <w:t>，全为临时占地，占用土地面积较小，工程开发符合资源利用</w:t>
                  </w:r>
                  <w:r>
                    <w:rPr>
                      <w:rFonts w:hint="default" w:ascii="Times New Roman" w:hAnsi="Times New Roman" w:eastAsia="宋体" w:cs="Times New Roman"/>
                      <w:color w:val="auto"/>
                      <w:spacing w:val="-14"/>
                      <w:sz w:val="21"/>
                      <w:szCs w:val="21"/>
                      <w:highlight w:val="none"/>
                      <w:lang w:val="en-US" w:eastAsia="zh-CN"/>
                    </w:rPr>
                    <w:t>上限</w:t>
                  </w:r>
                  <w:r>
                    <w:rPr>
                      <w:rFonts w:hint="default" w:ascii="Times New Roman" w:hAnsi="Times New Roman" w:eastAsia="宋体" w:cs="Times New Roman"/>
                      <w:color w:val="auto"/>
                      <w:spacing w:val="-14"/>
                      <w:sz w:val="21"/>
                      <w:szCs w:val="21"/>
                      <w:highlight w:val="none"/>
                    </w:rPr>
                    <w:t>要求。</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5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p>
              </w:tc>
              <w:tc>
                <w:tcPr>
                  <w:tcW w:w="25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环境管控单元</w:t>
                  </w:r>
                </w:p>
              </w:tc>
              <w:tc>
                <w:tcPr>
                  <w:tcW w:w="3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本项目位于一般管控单元</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自治区划定环境管控单元，分为优先保护单元、重点管控单元和一般管控单元三类，实施分类管控。一般管控单元主要落实生态环境保护基本要求，推动区域环境质量持续改善</w:t>
                  </w:r>
                </w:p>
              </w:tc>
              <w:tc>
                <w:tcPr>
                  <w:tcW w:w="16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20"/>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本项目位于新疆维吾尔自治区巴音郭楞蒙古自治州</w:t>
                  </w:r>
                  <w:r>
                    <w:rPr>
                      <w:rFonts w:hint="eastAsia" w:ascii="Times New Roman" w:cs="Times New Roman"/>
                      <w:color w:val="auto"/>
                      <w:spacing w:val="-14"/>
                      <w:sz w:val="21"/>
                      <w:szCs w:val="21"/>
                      <w:highlight w:val="none"/>
                      <w:lang w:eastAsia="zh-CN"/>
                    </w:rPr>
                    <w:t>且末县塔中镇西北侧23.6km处</w:t>
                  </w:r>
                  <w:r>
                    <w:rPr>
                      <w:rFonts w:hint="default" w:ascii="Times New Roman" w:hAnsi="Times New Roman" w:eastAsia="宋体" w:cs="Times New Roman"/>
                      <w:color w:val="auto"/>
                      <w:spacing w:val="-14"/>
                      <w:sz w:val="21"/>
                      <w:szCs w:val="21"/>
                      <w:highlight w:val="none"/>
                    </w:rPr>
                    <w:t>，属于</w:t>
                  </w:r>
                  <w:r>
                    <w:rPr>
                      <w:rFonts w:hint="eastAsia" w:ascii="Times New Roman" w:cs="Times New Roman"/>
                      <w:color w:val="auto"/>
                      <w:spacing w:val="-14"/>
                      <w:sz w:val="21"/>
                      <w:szCs w:val="21"/>
                      <w:highlight w:val="none"/>
                      <w:lang w:eastAsia="zh-CN"/>
                    </w:rPr>
                    <w:t>且末县</w:t>
                  </w:r>
                  <w:r>
                    <w:rPr>
                      <w:rFonts w:hint="default" w:ascii="Times New Roman" w:hAnsi="Times New Roman" w:eastAsia="宋体" w:cs="Times New Roman"/>
                      <w:color w:val="auto"/>
                      <w:spacing w:val="-14"/>
                      <w:sz w:val="21"/>
                      <w:szCs w:val="21"/>
                      <w:highlight w:val="none"/>
                      <w:lang w:eastAsia="zh-CN"/>
                    </w:rPr>
                    <w:t>一般管控单元（</w:t>
                  </w:r>
                  <w:r>
                    <w:rPr>
                      <w:rFonts w:hint="eastAsia" w:ascii="Times New Roman" w:cs="Times New Roman"/>
                      <w:color w:val="auto"/>
                      <w:spacing w:val="-14"/>
                      <w:sz w:val="21"/>
                      <w:szCs w:val="21"/>
                      <w:highlight w:val="none"/>
                      <w:lang w:eastAsia="zh-CN"/>
                    </w:rPr>
                    <w:t>ZH65282530001</w:t>
                  </w:r>
                  <w:r>
                    <w:rPr>
                      <w:rFonts w:hint="default" w:ascii="Times New Roman" w:hAnsi="Times New Roman" w:eastAsia="宋体" w:cs="Times New Roman"/>
                      <w:color w:val="auto"/>
                      <w:spacing w:val="-14"/>
                      <w:sz w:val="21"/>
                      <w:szCs w:val="21"/>
                      <w:highlight w:val="none"/>
                      <w:lang w:eastAsia="zh-CN"/>
                    </w:rPr>
                    <w:t>）</w:t>
                  </w:r>
                  <w:r>
                    <w:rPr>
                      <w:rFonts w:hint="default" w:ascii="Times New Roman" w:hAnsi="Times New Roman" w:eastAsia="宋体" w:cs="Times New Roman"/>
                      <w:color w:val="auto"/>
                      <w:spacing w:val="-14"/>
                      <w:sz w:val="21"/>
                      <w:szCs w:val="21"/>
                      <w:highlight w:val="none"/>
                    </w:rPr>
                    <w:t>，项目建设过程中以生态环境保护优先为原则，开发建设过程中严格执行相关法律法规要求，严守生态环境质量底线，生态功能不会降低。本项目实施后通过采取完善的污染治理措施，可确保污染得到有效控制，对场址周围大气环境、地下水环境、声环境、土壤环境影响可接受</w:t>
                  </w:r>
                  <w:r>
                    <w:rPr>
                      <w:rFonts w:hint="default" w:ascii="Times New Roman" w:hAnsi="Times New Roman" w:eastAsia="宋体" w:cs="Times New Roman"/>
                      <w:color w:val="auto"/>
                      <w:spacing w:val="-14"/>
                      <w:sz w:val="21"/>
                      <w:szCs w:val="21"/>
                      <w:highlight w:val="none"/>
                      <w:lang w:eastAsia="zh-CN"/>
                    </w:rPr>
                    <w:t>。</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符合</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lang w:val="en-US" w:eastAsia="zh-CN"/>
              </w:rPr>
              <w:t>2</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rPr>
              <w:t>与新疆维吾尔自治区生态环境分区管控总体要求符合性分析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表1-3    本项目与新疆维吾尔自治区生态环境分区管控总体要求符合性分析一览表</w:t>
            </w:r>
          </w:p>
          <w:tbl>
            <w:tblPr>
              <w:tblStyle w:val="32"/>
              <w:tblW w:w="75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26"/>
              <w:gridCol w:w="369"/>
              <w:gridCol w:w="393"/>
              <w:gridCol w:w="3415"/>
              <w:gridCol w:w="2214"/>
              <w:gridCol w:w="7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名称</w:t>
                  </w:r>
                </w:p>
              </w:tc>
              <w:tc>
                <w:tcPr>
                  <w:tcW w:w="4177" w:type="dxa"/>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管控要求</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拟建工程</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新疆维吾尔自治区生态环境分区管控总体要求</w:t>
                  </w: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A1空间布局约束</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A1.1禁止开发建设的活动</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【A1.1-1】禁止新建、扩建《产业结构调整指导目录（2024年本）》中淘汰类项目。禁止引入《市场准入负面清单（2022年版）》禁止准入类事项。</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属于油气勘探钻井工程，属于《产业结构调整指导目录（2024年本）》（国家发展改革委令2023年第7号）中的鼓励类项目；不属于《市场准入负面清单（2025年版）》（发改体改规〔2025〕466号）中禁止准入类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【A1.1-2】禁止建设不符合国家和自治区环境保护标准的项目。</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本项目执行标准符合国家和自治区环境保护标准</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【A1.1-4】禁止在水源涵养区、地下水源、饮用水源、自然保护区、风景名胜区、森林公园、重要湿地及人群密集区等生态敏感区域内进行煤炭、石油、天然气开发。</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本项目占地范围内不涉及水源涵养区、地下水源、饮用水源、自然保护区、风景名胜区、森林公园、重要湿地及人群密集区等生态敏感区域</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本项目不属于高污染（排放）、高能（水）耗、高环境风险的工业项目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【A1.1-7】①坚决遏制高耗能高排放低水平项目盲目发展。严把高耗能高排放低水平项目准入关口，严格落实污染物排放区域削减要求，对不符合规定的项目坚决停批停建。依法依规淘汰落后产能和化解过剩产能。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本项目不属于高耗能高排放低水平项目；不属于重点行业企业</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【A1.1-8】严格执行危险化学品“禁限控”目录，新建危险化学品生产项目必须进入一般或较低安全风险的化工园区（与其他行业生产装置配套建设的项目除外），引导其他石化化工项目在化工园区发展。</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本项目不属于新建危险化学品生产项目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-9】严禁新建自治区《禁止、控制和限制危险化学品目录》中淘汰类、禁止类危险化学品化工项目。严格执行生态保护红线、永久基本农田管控要求，禁止新（改、扩）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含化工集中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本项目不属于危险化学品化工项目；本项目</w:t>
                  </w:r>
                  <w:r>
                    <w:rPr>
                      <w:rFonts w:hint="eastAsia" w:ascii="Times New Roman" w:cs="Times New Roman"/>
                      <w:color w:val="auto"/>
                      <w:spacing w:val="-10"/>
                      <w:kern w:val="0"/>
                      <w:sz w:val="21"/>
                      <w:szCs w:val="21"/>
                      <w:highlight w:val="none"/>
                      <w:lang w:val="en-US" w:eastAsia="zh-CN"/>
                    </w:rPr>
                    <w:t>西南距塔里木盆地南缘土地沙化防控生态保护红线区113.8km</w:t>
                  </w:r>
                  <w:r>
                    <w:rPr>
                      <w:rFonts w:hint="default" w:ascii="Times New Roman" w:hAnsi="Times New Roman" w:eastAsia="宋体" w:cs="Times New Roman"/>
                      <w:color w:val="auto"/>
                      <w:spacing w:val="-10"/>
                      <w:kern w:val="0"/>
                      <w:sz w:val="21"/>
                      <w:szCs w:val="21"/>
                      <w:highlight w:val="none"/>
                      <w:lang w:eastAsia="zh-CN"/>
                    </w:rPr>
                    <w:t>，</w:t>
                  </w:r>
                  <w:r>
                    <w:rPr>
                      <w:rFonts w:hint="default" w:ascii="Times New Roman" w:hAnsi="Times New Roman" w:eastAsia="宋体" w:cs="Times New Roman"/>
                      <w:color w:val="auto"/>
                      <w:spacing w:val="-10"/>
                      <w:kern w:val="0"/>
                      <w:sz w:val="21"/>
                      <w:szCs w:val="21"/>
                      <w:highlight w:val="none"/>
                    </w:rPr>
                    <w:t>不在生态保护红线范围内；本项目不属于化工项目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-10】推动涉重金属产业集中优化发展，禁止新建用汞的电石法（聚）氯乙烯生产工艺，新建、扩建的重有色金属冶炼、电镀、制革企业优先选择布设在依法合规设立并依法开展规划环境影响评价的产业园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本项目不属于用汞的电石法（聚）氯乙烯生产工艺，不属于重有色金属冶炼、电镀、制革企业</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A1.2限制开发建设的活动</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【A1.2-1】严格控制缺水地区、水污染严重区域和敏感区域高耗水高污染行业发展。</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本项目不属于高耗水高污染行业</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【A1.2-2】建设项目用地原则上不得占用永久基本农田，确需占用永久基本农田的建设项目须符合《中华人民共和国基本农田保护条例》中的相关要求，占用耕地、林地或</w:t>
                  </w:r>
                  <w:r>
                    <w:rPr>
                      <w:rFonts w:hint="default" w:ascii="Times New Roman" w:hAnsi="Times New Roman" w:eastAsia="宋体" w:cs="Times New Roman"/>
                      <w:color w:val="auto"/>
                      <w:spacing w:val="-10"/>
                      <w:kern w:val="0"/>
                      <w:sz w:val="21"/>
                      <w:szCs w:val="21"/>
                      <w:highlight w:val="none"/>
                      <w:lang w:val="en-US" w:eastAsia="zh-CN"/>
                    </w:rPr>
                    <w:t>草地</w:t>
                  </w:r>
                  <w:r>
                    <w:rPr>
                      <w:rFonts w:hint="default" w:ascii="Times New Roman" w:hAnsi="Times New Roman" w:eastAsia="宋体" w:cs="Times New Roman"/>
                      <w:color w:val="auto"/>
                      <w:spacing w:val="-10"/>
                      <w:kern w:val="0"/>
                      <w:sz w:val="21"/>
                      <w:szCs w:val="21"/>
                      <w:highlight w:val="none"/>
                    </w:rPr>
                    <w:t>的建设项目须按照国家、自治区相关补偿要求进行补偿。</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本项目不占用基本农田</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【A1.2-4】严格控制建设项目占用湿地。因国家和自治区重点建设工程、基础设施建设，以及重点公益性项目建设，确需占用湿地的应当按照有关法律、法规规定的权限和程序办理批准手续。</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本项目不涉及占用湿地</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A1.3不符合空间布局要求活动的退出要求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【A1.3-1】任何单位和个人不得在水源涵养区、饮用水水源保护区内和河流、湖泊、水库周围建设重化工、涉重金属等工业污染项目；对已建成的工业污染项目，当地人民政府应当组织限期搬迁。</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本项目不属于重化工、涉重金属等工业污染项目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【A1.3-3】根据《产业结构调整指导目录》《限期淘汰产生严重污染环境的工业固体废物的落后生产工艺设备名录》等要求，配合有关部门依法淘汰烧结</w:t>
                  </w:r>
                  <w:r>
                    <w:rPr>
                      <w:rFonts w:hint="default" w:ascii="Times New Roman" w:hAnsi="Times New Roman" w:eastAsia="宋体" w:cs="Times New Roman"/>
                      <w:color w:val="auto"/>
                      <w:spacing w:val="-10"/>
                      <w:kern w:val="0"/>
                      <w:sz w:val="21"/>
                      <w:szCs w:val="21"/>
                      <w:highlight w:val="none"/>
                      <w:lang w:eastAsia="zh-CN"/>
                    </w:rPr>
                    <w:t>－</w:t>
                  </w:r>
                  <w:r>
                    <w:rPr>
                      <w:rFonts w:hint="default" w:ascii="Times New Roman" w:hAnsi="Times New Roman" w:eastAsia="宋体" w:cs="Times New Roman"/>
                      <w:color w:val="auto"/>
                      <w:spacing w:val="-10"/>
                      <w:kern w:val="0"/>
                      <w:sz w:val="21"/>
                      <w:szCs w:val="21"/>
                      <w:highlight w:val="none"/>
                    </w:rPr>
                    <w:t>鼓风炉炼铅工艺炼铅等涉重金属落后产能和化解过剩产能。严格执行生态环境保护等相关法规标准，推动经整改仍达不到要求的产能依法依规关闭退出。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本项目不涉及重金属落后产能和化解过剩产能</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A1.4其它布局要求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本项目与区域主体功能区划目标相协调，符合塔里木油田“十四五”规划及规划环评</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【A1.4-2】新建、扩建石化、化工、焦化、有色金属冶炼、平板玻璃项目应布设在依法合规设立并经规划环评的产业园区。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本项目不属于石化、化工、焦化、有色金属冶炼、平板玻璃项目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本项目不属于危险化学品生产企业搬迁改造及新建化工项目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A2污染物排放管控</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A2.1污染物削减/替代要求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-1】新、改、扩建重点行业建设项目应符合“三线一单”、产业政策、区域环评、规划环评和行业环境准入管控要求。重点区域的新、改、扩建重点行业建设项目应遵循重点重金属污染物排放“减量替代”原则。</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本项目属于油气勘探钻井工程，不属于重点行业建设项目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【A2.1-2】以石化、化工、涂装、医药、包装印刷、油品储运销等行业领域为重点，安全高效推进挥发性有机物综合治理，实施原辅材料和产品源头替代工程。</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本项目仅测试放喷</w:t>
                  </w:r>
                  <w:r>
                    <w:rPr>
                      <w:rFonts w:hint="default" w:ascii="Times New Roman" w:hAnsi="Times New Roman" w:eastAsia="宋体" w:cs="Times New Roman"/>
                      <w:snapToGrid w:val="0"/>
                      <w:color w:val="auto"/>
                      <w:spacing w:val="-10"/>
                      <w:kern w:val="0"/>
                      <w:sz w:val="21"/>
                      <w:szCs w:val="21"/>
                      <w:highlight w:val="none"/>
                      <w:lang w:val="en-US" w:eastAsia="zh-CN"/>
                    </w:rPr>
                    <w:t>期间</w:t>
                  </w:r>
                  <w:r>
                    <w:rPr>
                      <w:rFonts w:hint="default" w:ascii="Times New Roman" w:hAnsi="Times New Roman" w:eastAsia="宋体" w:cs="Times New Roman"/>
                      <w:snapToGrid w:val="0"/>
                      <w:color w:val="auto"/>
                      <w:spacing w:val="-10"/>
                      <w:kern w:val="0"/>
                      <w:sz w:val="21"/>
                      <w:szCs w:val="21"/>
                      <w:highlight w:val="none"/>
                    </w:rPr>
                    <w:t>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排放</w:t>
                  </w:r>
                  <w:r>
                    <w:rPr>
                      <w:rFonts w:hint="default" w:ascii="Times New Roman" w:hAnsi="Times New Roman" w:eastAsia="宋体" w:cs="Times New Roman"/>
                      <w:color w:val="auto"/>
                      <w:spacing w:val="-11"/>
                      <w:sz w:val="21"/>
                      <w:szCs w:val="21"/>
                      <w:highlight w:val="none"/>
                      <w:lang w:val="en-US" w:eastAsia="zh-CN"/>
                    </w:rPr>
                    <w:t>。</w:t>
                  </w:r>
                  <w:r>
                    <w:rPr>
                      <w:rFonts w:hint="default" w:ascii="Times New Roman" w:hAnsi="Times New Roman" w:eastAsia="宋体" w:cs="Times New Roman"/>
                      <w:snapToGrid w:val="0"/>
                      <w:color w:val="auto"/>
                      <w:spacing w:val="-10"/>
                      <w:kern w:val="0"/>
                      <w:sz w:val="21"/>
                      <w:szCs w:val="21"/>
                      <w:highlight w:val="none"/>
                      <w:lang w:val="en-US" w:eastAsia="zh-CN"/>
                    </w:rPr>
                    <w:t>项目</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产生量小，且项目地处空旷区域，废气扩散条件好，对周围大气环境影响可接受</w:t>
                  </w:r>
                  <w:r>
                    <w:rPr>
                      <w:rFonts w:hint="default" w:ascii="Times New Roman" w:hAnsi="Times New Roman" w:eastAsia="宋体" w:cs="Times New Roman"/>
                      <w:snapToGrid w:val="0"/>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【A2.1-4】严控建材、铸造、冶炼等行业无组织排放，推进石化、化工、涂装、医药、包装印刷、油品储运销等行业项目挥发性有机物（VOC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kern w:val="0"/>
                      <w:sz w:val="21"/>
                      <w:szCs w:val="21"/>
                      <w:highlight w:val="none"/>
                    </w:rPr>
                    <w:t>）防治。严格有色金属冶炼、石油加工、化工、焦化等行业项目的土壤、地下水污染防治措施要求。推进工业园区和企业集群建设涉VOC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kern w:val="0"/>
                      <w:sz w:val="21"/>
                      <w:szCs w:val="21"/>
                      <w:highlight w:val="none"/>
                    </w:rPr>
                    <w:t>“绿岛”项目，统筹规划建设一批集中涂装中心、活性炭集中处理中心、溶剂回收中心等，实现VOC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kern w:val="0"/>
                      <w:sz w:val="21"/>
                      <w:szCs w:val="21"/>
                      <w:highlight w:val="none"/>
                    </w:rPr>
                    <w:t>集中高效处理。</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本项目仅测试放喷</w:t>
                  </w:r>
                  <w:r>
                    <w:rPr>
                      <w:rFonts w:hint="default" w:ascii="Times New Roman" w:hAnsi="Times New Roman" w:eastAsia="宋体" w:cs="Times New Roman"/>
                      <w:snapToGrid w:val="0"/>
                      <w:color w:val="auto"/>
                      <w:spacing w:val="-10"/>
                      <w:kern w:val="0"/>
                      <w:sz w:val="21"/>
                      <w:szCs w:val="21"/>
                      <w:highlight w:val="none"/>
                      <w:lang w:val="en-US" w:eastAsia="zh-CN"/>
                    </w:rPr>
                    <w:t>期间</w:t>
                  </w:r>
                  <w:r>
                    <w:rPr>
                      <w:rFonts w:hint="default" w:ascii="Times New Roman" w:hAnsi="Times New Roman" w:eastAsia="宋体" w:cs="Times New Roman"/>
                      <w:snapToGrid w:val="0"/>
                      <w:color w:val="auto"/>
                      <w:spacing w:val="-10"/>
                      <w:kern w:val="0"/>
                      <w:sz w:val="21"/>
                      <w:szCs w:val="21"/>
                      <w:highlight w:val="none"/>
                    </w:rPr>
                    <w:t>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排放</w:t>
                  </w:r>
                  <w:r>
                    <w:rPr>
                      <w:rFonts w:hint="default" w:ascii="Times New Roman" w:hAnsi="Times New Roman" w:eastAsia="宋体" w:cs="Times New Roman"/>
                      <w:color w:val="auto"/>
                      <w:spacing w:val="-11"/>
                      <w:sz w:val="21"/>
                      <w:szCs w:val="21"/>
                      <w:highlight w:val="none"/>
                      <w:lang w:val="en-US" w:eastAsia="zh-CN"/>
                    </w:rPr>
                    <w:t>。</w:t>
                  </w:r>
                  <w:r>
                    <w:rPr>
                      <w:rFonts w:hint="default" w:ascii="Times New Roman" w:hAnsi="Times New Roman" w:eastAsia="宋体" w:cs="Times New Roman"/>
                      <w:snapToGrid w:val="0"/>
                      <w:color w:val="auto"/>
                      <w:spacing w:val="-10"/>
                      <w:kern w:val="0"/>
                      <w:sz w:val="21"/>
                      <w:szCs w:val="21"/>
                      <w:highlight w:val="none"/>
                      <w:lang w:val="en-US" w:eastAsia="zh-CN"/>
                    </w:rPr>
                    <w:t>项目</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产生量小，且项目地处空旷区域，废气扩散条件好，对周围大气环境影响可接受</w:t>
                  </w:r>
                  <w:r>
                    <w:rPr>
                      <w:rFonts w:hint="default" w:ascii="Times New Roman" w:hAnsi="Times New Roman" w:eastAsia="宋体" w:cs="Times New Roman"/>
                      <w:snapToGrid w:val="0"/>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A2.2污染控制措施要求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本项目不属于能源、钢铁、建材、有色、电力、化工等重点领域</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2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A3环境风险防控</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A3.1人居环境要求</w:t>
                  </w:r>
                </w:p>
              </w:tc>
              <w:tc>
                <w:tcPr>
                  <w:tcW w:w="3415" w:type="dxa"/>
                  <w:shd w:val="clear" w:color="auto" w:fill="auto"/>
                  <w:noWrap w:val="0"/>
                  <w:tcMar>
                    <w:left w:w="28" w:type="dxa"/>
                    <w:right w:w="28" w:type="dxa"/>
                  </w:tcMar>
                  <w:vAlign w:val="center"/>
                </w:tcPr>
                <w:p>
                  <w:pPr>
                    <w:keepNext w:val="0"/>
                    <w:keepLines w:val="0"/>
                    <w:pageBreakBefore w:val="0"/>
                    <w:widowControl w:val="0"/>
                    <w:suppressLineNumbers w:val="0"/>
                    <w:shd w:val="clear"/>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rPr>
                    <w:t>【A3.2-</w:t>
                  </w:r>
                  <w:r>
                    <w:rPr>
                      <w:rFonts w:hint="default" w:ascii="Times New Roman" w:hAnsi="Times New Roman" w:eastAsia="宋体" w:cs="Times New Roman"/>
                      <w:color w:val="auto"/>
                      <w:spacing w:val="0"/>
                      <w:kern w:val="0"/>
                      <w:position w:val="0"/>
                      <w:sz w:val="21"/>
                      <w:szCs w:val="21"/>
                      <w:highlight w:val="none"/>
                      <w:lang w:val="en-US" w:eastAsia="zh-CN"/>
                    </w:rPr>
                    <w:t>8</w:t>
                  </w:r>
                  <w:r>
                    <w:rPr>
                      <w:rFonts w:hint="default" w:ascii="Times New Roman" w:hAnsi="Times New Roman" w:eastAsia="宋体" w:cs="Times New Roman"/>
                      <w:color w:val="auto"/>
                      <w:spacing w:val="0"/>
                      <w:kern w:val="0"/>
                      <w:position w:val="0"/>
                      <w:sz w:val="21"/>
                      <w:szCs w:val="21"/>
                      <w:highlight w:val="none"/>
                    </w:rPr>
                    <w:t>】加强环境风险预警防控。加强涉危险物企业、涉重金属企业、化工园区、集中式饮用水水源地及重点流域环境风险调查评估，实施分类分级风险管控，协同推进重点区域、流域生态环境污染综合防治、风险防控与生态修复。</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本项目已</w:t>
                  </w:r>
                  <w:r>
                    <w:rPr>
                      <w:rFonts w:hint="default" w:ascii="Times New Roman" w:hAnsi="Times New Roman" w:eastAsia="宋体" w:cs="Times New Roman"/>
                      <w:color w:val="auto"/>
                      <w:spacing w:val="-10"/>
                      <w:sz w:val="21"/>
                      <w:szCs w:val="21"/>
                      <w:highlight w:val="none"/>
                      <w:lang w:bidi="ar"/>
                    </w:rPr>
                    <w:t>提出</w:t>
                  </w:r>
                  <w:r>
                    <w:rPr>
                      <w:rFonts w:hint="default" w:ascii="Times New Roman" w:hAnsi="Times New Roman" w:eastAsia="宋体" w:cs="Times New Roman"/>
                      <w:color w:val="auto"/>
                      <w:spacing w:val="-10"/>
                      <w:sz w:val="21"/>
                      <w:szCs w:val="21"/>
                      <w:highlight w:val="none"/>
                    </w:rPr>
                    <w:t>一系列环境风险防范措施及应急要求</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25"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shd w:val="clear" w:color="auto" w:fill="auto"/>
                  <w:noWrap w:val="0"/>
                  <w:tcMar>
                    <w:left w:w="28" w:type="dxa"/>
                    <w:right w:w="28" w:type="dxa"/>
                  </w:tcMar>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50" w:lineRule="exact"/>
                    <w:ind w:left="0" w:right="0"/>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rPr>
                    <w:t>【A3.2-</w:t>
                  </w:r>
                  <w:r>
                    <w:rPr>
                      <w:rFonts w:hint="default" w:ascii="Times New Roman" w:hAnsi="Times New Roman" w:eastAsia="宋体" w:cs="Times New Roman"/>
                      <w:color w:val="auto"/>
                      <w:spacing w:val="0"/>
                      <w:kern w:val="0"/>
                      <w:position w:val="0"/>
                      <w:sz w:val="21"/>
                      <w:szCs w:val="21"/>
                      <w:highlight w:val="none"/>
                      <w:lang w:val="en-US" w:eastAsia="zh-CN"/>
                    </w:rPr>
                    <w:t>9</w:t>
                  </w:r>
                  <w:r>
                    <w:rPr>
                      <w:rFonts w:hint="default" w:ascii="Times New Roman" w:hAnsi="Times New Roman" w:eastAsia="宋体" w:cs="Times New Roman"/>
                      <w:color w:val="auto"/>
                      <w:spacing w:val="0"/>
                      <w:kern w:val="0"/>
                      <w:position w:val="0"/>
                      <w:sz w:val="21"/>
                      <w:szCs w:val="21"/>
                      <w:highlight w:val="none"/>
                    </w:rPr>
                    <w:t>】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本项目已</w:t>
                  </w:r>
                  <w:r>
                    <w:rPr>
                      <w:rFonts w:hint="default" w:ascii="Times New Roman" w:hAnsi="Times New Roman" w:eastAsia="宋体" w:cs="Times New Roman"/>
                      <w:color w:val="auto"/>
                      <w:spacing w:val="-10"/>
                      <w:sz w:val="21"/>
                      <w:szCs w:val="21"/>
                      <w:highlight w:val="none"/>
                      <w:lang w:bidi="ar"/>
                    </w:rPr>
                    <w:t>提出</w:t>
                  </w:r>
                  <w:r>
                    <w:rPr>
                      <w:rFonts w:hint="default" w:ascii="Times New Roman" w:hAnsi="Times New Roman" w:eastAsia="宋体" w:cs="Times New Roman"/>
                      <w:color w:val="auto"/>
                      <w:spacing w:val="-10"/>
                      <w:sz w:val="21"/>
                      <w:szCs w:val="21"/>
                      <w:highlight w:val="none"/>
                    </w:rPr>
                    <w:t>一系列环境风险防范措施及应急要求</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A4资源利用要求</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A4.1水资源</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【A4.1-1】自治区用水总量2025年、2030年控制在国家下达的指标内。</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bidi="ar"/>
                    </w:rPr>
                  </w:pPr>
                  <w:r>
                    <w:rPr>
                      <w:rFonts w:hint="default" w:ascii="Times New Roman" w:hAnsi="Times New Roman" w:eastAsia="宋体" w:cs="Times New Roman"/>
                      <w:color w:val="auto"/>
                      <w:spacing w:val="-10"/>
                      <w:sz w:val="21"/>
                      <w:szCs w:val="21"/>
                      <w:highlight w:val="none"/>
                      <w:lang w:bidi="ar"/>
                    </w:rPr>
                    <w:t>本项目用水量较小，对区域水资源消耗较小，不会超过自治区地下水供水量控制指标</w:t>
                  </w:r>
                  <w:r>
                    <w:rPr>
                      <w:rFonts w:hint="default" w:ascii="Times New Roman" w:hAnsi="Times New Roman" w:eastAsia="宋体" w:cs="Times New Roman"/>
                      <w:color w:val="auto"/>
                      <w:spacing w:val="-10"/>
                      <w:sz w:val="21"/>
                      <w:szCs w:val="21"/>
                      <w:highlight w:val="none"/>
                      <w:lang w:eastAsia="zh-CN" w:bidi="ar"/>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shd w:val="clear"/>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0"/>
                      <w:kern w:val="0"/>
                      <w:position w:val="0"/>
                      <w:sz w:val="21"/>
                      <w:szCs w:val="21"/>
                      <w:highlight w:val="none"/>
                    </w:rPr>
                    <w:t>【A4.1-</w:t>
                  </w:r>
                  <w:r>
                    <w:rPr>
                      <w:rFonts w:hint="default" w:ascii="Times New Roman" w:hAnsi="Times New Roman" w:eastAsia="宋体" w:cs="Times New Roman"/>
                      <w:color w:val="auto"/>
                      <w:spacing w:val="0"/>
                      <w:kern w:val="0"/>
                      <w:position w:val="0"/>
                      <w:sz w:val="21"/>
                      <w:szCs w:val="21"/>
                      <w:highlight w:val="none"/>
                      <w:lang w:val="en-US" w:eastAsia="zh-CN"/>
                    </w:rPr>
                    <w:t>4</w:t>
                  </w:r>
                  <w:r>
                    <w:rPr>
                      <w:rFonts w:hint="default" w:ascii="Times New Roman" w:hAnsi="Times New Roman" w:eastAsia="宋体" w:cs="Times New Roman"/>
                      <w:color w:val="auto"/>
                      <w:spacing w:val="0"/>
                      <w:kern w:val="0"/>
                      <w:position w:val="0"/>
                      <w:sz w:val="21"/>
                      <w:szCs w:val="21"/>
                      <w:highlight w:val="none"/>
                    </w:rPr>
                    <w:t>】地下水资源利用实行总量控制和水位控制。取用地下水资源，应当按照国家和自治区有关规定申请取水许可。地下水利用应当以浅层地下水为主。</w:t>
                  </w:r>
                </w:p>
              </w:tc>
              <w:tc>
                <w:tcPr>
                  <w:tcW w:w="2214" w:type="dxa"/>
                  <w:noWrap w:val="0"/>
                  <w:tcMar>
                    <w:left w:w="28" w:type="dxa"/>
                    <w:right w:w="28" w:type="dxa"/>
                  </w:tcMar>
                  <w:vAlign w:val="center"/>
                </w:tcPr>
                <w:p>
                  <w:pPr>
                    <w:keepNext w:val="0"/>
                    <w:keepLines w:val="0"/>
                    <w:pageBreakBefore w:val="0"/>
                    <w:widowControl w:val="0"/>
                    <w:suppressLineNumbers w:val="0"/>
                    <w:shd w:val="clear"/>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0"/>
                      <w:position w:val="0"/>
                      <w:sz w:val="21"/>
                      <w:szCs w:val="21"/>
                      <w:highlight w:val="none"/>
                      <w:lang w:bidi="ar"/>
                    </w:rPr>
                    <w:t>本项目用水量较小，对区域水资源消耗较小，不会超过自治区地下水供水量控制指标</w:t>
                  </w:r>
                  <w:r>
                    <w:rPr>
                      <w:rFonts w:hint="default" w:ascii="Times New Roman" w:hAnsi="Times New Roman" w:eastAsia="宋体" w:cs="Times New Roman"/>
                      <w:color w:val="auto"/>
                      <w:spacing w:val="0"/>
                      <w:position w:val="0"/>
                      <w:sz w:val="21"/>
                      <w:szCs w:val="21"/>
                      <w:highlight w:val="none"/>
                      <w:lang w:eastAsia="zh-CN" w:bidi="ar"/>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A4.2土地资源</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【A4.2-1】土地资源上线指标控制在最终批复的国土空间规划控制指标内。</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本项目</w:t>
                  </w:r>
                  <w:r>
                    <w:rPr>
                      <w:rFonts w:hint="default" w:ascii="Times New Roman" w:hAnsi="Times New Roman" w:eastAsia="宋体" w:cs="Times New Roman"/>
                      <w:color w:val="auto"/>
                      <w:spacing w:val="-10"/>
                      <w:sz w:val="21"/>
                      <w:szCs w:val="21"/>
                      <w:highlight w:val="none"/>
                    </w:rPr>
                    <w:t>井场为临时占地，对土地资源占用较少，土地资源消耗符合要求</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81"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A4.4禁燃区要求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【A4.4-1】在禁燃区内，禁止销售、燃用高污染燃料；禁止新建、扩建燃用高污染燃料的设施。已建成的，应当在规定期限内改用清洁能源。</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本项目</w:t>
                  </w:r>
                  <w:r>
                    <w:rPr>
                      <w:rFonts w:hint="default" w:ascii="Times New Roman" w:hAnsi="Times New Roman" w:eastAsia="宋体" w:cs="Times New Roman"/>
                      <w:color w:val="auto"/>
                      <w:spacing w:val="-10"/>
                      <w:sz w:val="21"/>
                      <w:szCs w:val="21"/>
                      <w:highlight w:val="none"/>
                    </w:rPr>
                    <w:t>不涉及煤炭的消耗，不涉及燃用</w:t>
                  </w:r>
                  <w:r>
                    <w:rPr>
                      <w:rFonts w:hint="default" w:ascii="Times New Roman" w:hAnsi="Times New Roman" w:eastAsia="宋体" w:cs="Times New Roman"/>
                      <w:color w:val="auto"/>
                      <w:spacing w:val="-10"/>
                      <w:kern w:val="0"/>
                      <w:sz w:val="21"/>
                      <w:szCs w:val="21"/>
                      <w:highlight w:val="none"/>
                    </w:rPr>
                    <w:t>高污染燃料的设施</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A4.5资源综合利用</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岩屑随钻井泥浆带出，采用“泥浆不落地”工艺收集，泥浆排入泥浆罐循环使用，完井后拉运至下一口井再利用，</w:t>
                  </w:r>
                  <w:r>
                    <w:rPr>
                      <w:rFonts w:hint="default" w:ascii="Times New Roman" w:hAnsi="Times New Roman" w:eastAsia="宋体" w:cs="Times New Roman"/>
                      <w:snapToGrid w:val="0"/>
                      <w:color w:val="auto"/>
                      <w:spacing w:val="-10"/>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lang w:eastAsia="zh-CN"/>
                    </w:rPr>
                    <w:t>，处理达标后还原土用于铺垫油区内的井场、道路；沾油废物、废烧碱包装袋、废矿物油及其包装物在危废贮存点（8m</w:t>
                  </w:r>
                  <w:r>
                    <w:rPr>
                      <w:rFonts w:hint="default" w:ascii="Times New Roman" w:hAnsi="Times New Roman" w:eastAsia="宋体" w:cs="Times New Roman"/>
                      <w:color w:val="auto"/>
                      <w:spacing w:val="-10"/>
                      <w:sz w:val="21"/>
                      <w:szCs w:val="21"/>
                      <w:highlight w:val="none"/>
                      <w:vertAlign w:val="superscript"/>
                      <w:lang w:eastAsia="zh-CN"/>
                    </w:rPr>
                    <w:t>2</w:t>
                  </w:r>
                  <w:r>
                    <w:rPr>
                      <w:rFonts w:hint="default" w:ascii="Times New Roman" w:hAnsi="Times New Roman" w:eastAsia="宋体" w:cs="Times New Roman"/>
                      <w:color w:val="auto"/>
                      <w:spacing w:val="-10"/>
                      <w:sz w:val="21"/>
                      <w:szCs w:val="21"/>
                      <w:highlight w:val="none"/>
                      <w:lang w:eastAsia="zh-CN"/>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3</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rPr>
              <w:t>与</w:t>
            </w:r>
            <w:r>
              <w:rPr>
                <w:rFonts w:hint="default" w:ascii="Times New Roman" w:hAnsi="Times New Roman" w:eastAsia="宋体" w:cs="Times New Roman"/>
                <w:b/>
                <w:color w:val="auto"/>
                <w:sz w:val="24"/>
                <w:szCs w:val="20"/>
                <w:highlight w:val="none"/>
                <w:lang w:val="en-US" w:eastAsia="zh-CN"/>
              </w:rPr>
              <w:t>《关于印发巴音郭楞蒙古自治州生态环境分区管控动态更新成果（2023年）的通知》中</w:t>
            </w:r>
            <w:r>
              <w:rPr>
                <w:rFonts w:hint="default" w:ascii="Times New Roman" w:hAnsi="Times New Roman" w:eastAsia="宋体" w:cs="Times New Roman"/>
                <w:b/>
                <w:color w:val="auto"/>
                <w:sz w:val="24"/>
                <w:szCs w:val="20"/>
                <w:highlight w:val="none"/>
              </w:rPr>
              <w:t>“巴音郭楞蒙古自治州总体管控要求”符合性分析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eastAsia" w:ascii="Times New Roman"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与巴音郭楞蒙古自治州总体管控要求符合性分析一览表</w:t>
            </w:r>
          </w:p>
          <w:tbl>
            <w:tblPr>
              <w:tblStyle w:val="32"/>
              <w:tblW w:w="501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10"/>
              <w:gridCol w:w="465"/>
              <w:gridCol w:w="3465"/>
              <w:gridCol w:w="2241"/>
              <w:gridCol w:w="6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文件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名称</w:t>
                  </w:r>
                </w:p>
              </w:tc>
              <w:tc>
                <w:tcPr>
                  <w:tcW w:w="2606"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文件要求</w:t>
                  </w:r>
                </w:p>
              </w:tc>
              <w:tc>
                <w:tcPr>
                  <w:tcW w:w="148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本项目</w:t>
                  </w:r>
                </w:p>
              </w:tc>
              <w:tc>
                <w:tcPr>
                  <w:tcW w:w="43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snapToGrid w:val="0"/>
                      <w:color w:val="auto"/>
                      <w:spacing w:val="-10"/>
                      <w:kern w:val="0"/>
                      <w:sz w:val="21"/>
                      <w:szCs w:val="21"/>
                      <w:highlight w:val="none"/>
                    </w:rPr>
                    <w:t>巴音郭楞蒙古自治州总体管控要求</w:t>
                  </w: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eastAsia" w:ascii="Times New Roman" w:hAnsi="Times New Roman" w:eastAsia="宋体" w:cs="Times New Roman"/>
                      <w:color w:val="auto"/>
                      <w:spacing w:val="-10"/>
                      <w:sz w:val="21"/>
                      <w:szCs w:val="21"/>
                      <w:highlight w:val="none"/>
                    </w:rPr>
                    <w:t>空间布局约束</w:t>
                  </w: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 禁止在人口集中地区和其他依法需要特殊保护的区域内焚烧沥青、油毡、橡胶、塑料、皮革、垃圾以及其他产生有毒有害烟尘和恶臭气体的物质。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 禁止在居民住宅楼、未配套设立专用烟道的商住综合楼以及商住综合楼内与居住层相邻的商业楼层内新建、改建、扩建产生油烟、异味、废气的餐饮服务项目。任何单位和个人不得在当地人民政府禁止的区域内露天烧烤食品或者为露天烧烤食品提供场地。</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1.3县级及以上城市建成区原则上不再新建每小时 35 蒸吨以下的燃煤锅炉，其他地区原则上不再新建每小时 10 蒸吨及以下的燃煤锅炉。</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本项目不涉及建设燃煤锅炉</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1.4禁止在自治州行政区域内引进能（水）耗不符合相关国家标准中准入值要求，且污染物排放和环境风险防控不符合国家（地方）标准及有关产业准入条件的高污染（排放）、高能（水）耗、高环境风险的工业项目。</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本项目不属于高污染</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排放</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、高能</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水</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耗、高环境风险的工业项目</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1.5禁止新建、改建、扩建严重污染大气环境的项目。工业和信息化主管部门应当会同发展和改革、生态环境等部门，根据巴州生态环境局提供的大气监测数据制定工业产业转型升级行动计划和严重污染大气项目退出计划，报本级人民政府批准后向社会公布。对城市建成区大气环境质量造成明显影响的项目，自治州、各县（市）人民政府规定期限内未达到治理要求的项目，应当停产、限期搬迁或者关闭。</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本项目不属于严重污染大气环境的项目</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1.6在饮用水水源保护区内，禁止设置排污口。</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本项目不在饮用水水源保护区</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1.7开都-孔雀河流域、塔里木河流域沿岸，要严格控制石油加工、化学原料和化学制品制造、医药制造、化学纤维制造、有色金属冶炼、纺织印染等项目环境风险，合理布局生产装置及危险化学品仓储等设施。</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本项目位于</w:t>
                  </w:r>
                  <w:r>
                    <w:rPr>
                      <w:rFonts w:hint="eastAsia" w:ascii="Times New Roman" w:hAnsi="Times New Roman" w:eastAsia="宋体" w:cs="Times New Roman"/>
                      <w:color w:val="auto"/>
                      <w:spacing w:val="-10"/>
                      <w:sz w:val="21"/>
                      <w:szCs w:val="21"/>
                      <w:highlight w:val="none"/>
                      <w:lang w:val="en-US" w:eastAsia="zh-CN"/>
                    </w:rPr>
                    <w:t>且末</w:t>
                  </w:r>
                  <w:r>
                    <w:rPr>
                      <w:rFonts w:hint="eastAsia" w:ascii="Times New Roman" w:hAnsi="Times New Roman" w:eastAsia="宋体" w:cs="Times New Roman"/>
                      <w:color w:val="auto"/>
                      <w:spacing w:val="-10"/>
                      <w:sz w:val="21"/>
                      <w:szCs w:val="21"/>
                      <w:highlight w:val="none"/>
                    </w:rPr>
                    <w:t>县，不在开都-孔雀河流域、塔里木河流域沿岸</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1.8禁止任何单位和个人在基本农田保护区内建窑、建房、建坟、挖砂、采石、采矿、取土、堆放固体废弃物或者进行其他破坏基本农田的活动。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本项目不涉及基本农田保护区</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1.9 县级以上地方人民政府应当依法将符合条件的优先保护类耕地划为永久基本农田，实行严格保护。在永久基本农田集中区域，不得新建可能造成土壤污染的建设项目；已经建成的，应当限期关闭拆除。</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本项目不涉及永久基本农田集中区域</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1.10 落实重度污染土地严格管控措施。加强对严格管控类耕地、园地、草地的用途管理，依法将其划定为农产品禁止生产区域，严禁种植食用农产品，不得列入国家中央财政投资农业高效节水项目建设；对威胁地下水、饮用水水源安全的，有关县市人民政府要制定环境风险管控方案，并落实有关措施。研究推进严格管控类耕地、园地、草地纳入新一轮退耕还林还草实施范围，制定实施重度污染耕地、园地、草地种植结构调整或退耕还林还草计划。推行耕地轮作休耕制度试点、草地轮牧休牧禁牧制度试点。</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1.11 强化空间布局管控。严格执行相关行业企业布局选址要求，禁止在居民区、学校、医疗和养老机构等周边新建土壤环境重点监管行业企业；结合推进新型城镇化、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本项目不属于土壤环境重点监管行业企业</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1.12 【生态红线禁止类】生态保护红线内，自然保护地核心保护区原则上禁止人为活动，其他区域严格禁止开发性、生产性建设活动。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本项目不在生态保护红线内</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1.13 【生态红线允许类】共</w:t>
                  </w:r>
                  <w:r>
                    <w:rPr>
                      <w:rFonts w:hint="eastAsia" w:ascii="Times New Roman" w:hAnsi="Times New Roman" w:eastAsia="宋体" w:cs="Times New Roman"/>
                      <w:color w:val="auto"/>
                      <w:spacing w:val="-10"/>
                      <w:sz w:val="21"/>
                      <w:szCs w:val="21"/>
                      <w:highlight w:val="none"/>
                      <w:lang w:val="en-US" w:eastAsia="zh-CN"/>
                    </w:rPr>
                    <w:t>10</w:t>
                  </w:r>
                  <w:r>
                    <w:rPr>
                      <w:rFonts w:hint="eastAsia" w:ascii="Times New Roman" w:hAnsi="Times New Roman" w:eastAsia="宋体" w:cs="Times New Roman"/>
                      <w:color w:val="auto"/>
                      <w:spacing w:val="-10"/>
                      <w:sz w:val="21"/>
                      <w:szCs w:val="21"/>
                      <w:highlight w:val="none"/>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本项目不在生态保护红线内</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1.14 自治州、各县（市）人民政府不得批准在沙漠边缘地带和林地、草原开垦耕地；已经开垦并对生态产生不良影响的，应当有计划地组织退耕还林还草；对已退耕、闲置和未开垦的荒滩、荒地，采取引洪灌溉、生态输水、扎草方格等措施，促进生态自然修复。禁止在退耕还林还草实施范围内复耕和从事滥采、乱挖等破坏地表植被的行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1.15 严格保护具有水源涵养功能的自然植被，禁止过度放牧、无序采矿、毁林开荒、开垦草原等行为。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1.16 限制陡坡垦殖和超载过牧；加强小流域综合治理，实行封山禁牧，恢复退化植被。加强对能源和矿产资源开发及建设项目的监管，加大矿山环境整治修复力度，最大限度地减少人为因素造成新的水土流失。</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r>
                    <w:rPr>
                      <w:rFonts w:hint="eastAsia"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1.17 对重要水源涵养区建立生态功能保护区，加强对水源涵养区的保护与管理，严格保护具有重要水源涵养功能的自然植被，限制或禁止各种损害生态系统水源涵养功能的经济社会活动和生产方式，如无序采矿、毁林开荒、湿地和草地开垦、过度放牧、道路建设等；</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本项目不涉及重要水源涵养区</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1.18 主体功能区实行更加严格的产业准入标准。严格限制区内“两高一资”产业落地，禁止高水资源消耗产业在水源涵养生态功能区布局，限制土地资源高消耗产业在水土保持生态功能区发展，降低防风固沙生态功能区的农牧业开发强度，禁止生物多样性维护生态功能区的大规模水电开发和林纸一体化产业发展。</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本项目不属于“两高一资”产业</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86"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en-US"/>
                    </w:rPr>
                    <w:t>1.19</w:t>
                  </w:r>
                  <w:r>
                    <w:rPr>
                      <w:rFonts w:hint="eastAsia" w:ascii="Times New Roman" w:hAnsi="Times New Roman" w:eastAsia="宋体" w:cs="Times New Roman"/>
                      <w:color w:val="auto"/>
                      <w:spacing w:val="-10"/>
                      <w:sz w:val="21"/>
                      <w:szCs w:val="21"/>
                      <w:highlight w:val="none"/>
                    </w:rPr>
                    <w:t>自然保护区核心保护区：</w:t>
                  </w:r>
                  <w:r>
                    <w:rPr>
                      <w:rFonts w:hint="eastAsia" w:ascii="Times New Roman" w:hAnsi="Times New Roman" w:eastAsia="宋体" w:cs="Times New Roman"/>
                      <w:color w:val="auto"/>
                      <w:spacing w:val="-10"/>
                      <w:sz w:val="21"/>
                      <w:szCs w:val="21"/>
                      <w:highlight w:val="none"/>
                      <w:lang w:val="en-US"/>
                    </w:rPr>
                    <w:t>共7条。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1.20自然保护区一般控制区：共9条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1.21 生态保护红线外的生态空间，原则上按限制开发区域的要求进行管理。按照生态空间用途分区，依法制定区域准入条件，明确允许、限制、禁止的产业和项目类型清单，根据空间规划确定的开发强度，提出城乡建设、工农业生产、矿产开发、旅游康体等活动的规模、强度、布局和环境保护等方面的要求，由同级人民政府予以公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本项目属于《产业结构调整指导目录</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2024年本</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国家发展改革委令2023年第7号</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中的鼓励类项目</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color w:val="auto"/>
                      <w:spacing w:val="-10"/>
                      <w:kern w:val="2"/>
                      <w:sz w:val="21"/>
                      <w:szCs w:val="21"/>
                      <w:highlight w:val="none"/>
                      <w:lang w:val="en-US" w:eastAsia="zh-CN" w:bidi="ar-SA"/>
                    </w:rPr>
                  </w:pPr>
                  <w:r>
                    <w:rPr>
                      <w:rFonts w:hint="eastAsia"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1.22 严格限制农业开发占用生态保护红线外的生态空间，符合条件的农业开发项目，须依法由市县级及以上地方人民政府统筹安排。生态保护红线外的耕地，除符合国家生态退耕条件，并纳入国家生态退耕总体安排，或因国家重大生态工程建设需要外，不得随意转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1.23 在不改变利用方式的前提下，依据资源环境承载能力，对依法保护的生态空间实行承载力控制，防止过度垦殖、放牧、采伐、取水、渔猎、旅游等对生态功能造成损害，确保自然生态系统的稳定。</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zh-CN" w:eastAsia="zh-CN"/>
                    </w:rPr>
                  </w:pPr>
                  <w:r>
                    <w:rPr>
                      <w:rFonts w:hint="eastAsia" w:ascii="Times New Roman" w:hAnsi="Times New Roman" w:eastAsia="宋体" w:cs="Times New Roman"/>
                      <w:color w:val="auto"/>
                      <w:spacing w:val="-10"/>
                      <w:sz w:val="21"/>
                      <w:szCs w:val="21"/>
                      <w:highlight w:val="none"/>
                      <w:lang w:val="zh-CN"/>
                    </w:rPr>
                    <w:t>1.24 禁止在自然保护区内进行砍伐、放牧、狩猎、捕捞、采药、开垦、烧荒、开矿、采石、挖沙等活动；但是，法律、行政法规另有规定的除外。禁止任何人进入自然保护区的核心区。禁止在自然保护区的缓冲区开展旅游和生产经营活动。严禁开设与自然保护区保护方向不一致的参观、旅游项目。</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在自然保护区内</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color w:val="auto"/>
                      <w:spacing w:val="-10"/>
                      <w:kern w:val="2"/>
                      <w:sz w:val="21"/>
                      <w:szCs w:val="21"/>
                      <w:highlight w:val="none"/>
                      <w:lang w:val="en-US" w:eastAsia="zh-CN" w:bidi="ar-SA"/>
                    </w:rPr>
                  </w:pPr>
                  <w:r>
                    <w:rPr>
                      <w:rFonts w:hint="eastAsia"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1.25 在风景名胜区内禁止进行下列活动：</w:t>
                  </w:r>
                  <w:r>
                    <w:rPr>
                      <w:rFonts w:hint="eastAsia" w:ascii="Times New Roman" w:hAnsi="Times New Roman" w:eastAsia="宋体" w:cs="Times New Roman"/>
                      <w:color w:val="auto"/>
                      <w:spacing w:val="-10"/>
                      <w:sz w:val="21"/>
                      <w:szCs w:val="21"/>
                      <w:highlight w:val="none"/>
                      <w:lang w:val="en-US"/>
                    </w:rPr>
                    <w:t>共4条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在风景名胜区内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86"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1.26 禁止违反风景名胜区规划，在风景名胜区内设立各类开发区和在核心景区内建设宾馆、招待所、培训中心、疗养院以及与风景名胜资源保护无关的其他建筑物； 已经建设的，应当按照风景名胜区规划，逐步迁出。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在风景名胜区内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1.27 禁止下列破坏湿地及其生态功能的行为：</w:t>
                  </w:r>
                  <w:r>
                    <w:rPr>
                      <w:rFonts w:hint="eastAsia" w:ascii="Times New Roman" w:hAnsi="Times New Roman" w:eastAsia="宋体" w:cs="Times New Roman"/>
                      <w:color w:val="auto"/>
                      <w:spacing w:val="-10"/>
                      <w:sz w:val="21"/>
                      <w:szCs w:val="21"/>
                      <w:highlight w:val="none"/>
                    </w:rPr>
                    <w:t>共</w:t>
                  </w:r>
                  <w:r>
                    <w:rPr>
                      <w:rFonts w:hint="eastAsia" w:ascii="Times New Roman" w:hAnsi="Times New Roman" w:eastAsia="宋体" w:cs="Times New Roman"/>
                      <w:color w:val="auto"/>
                      <w:spacing w:val="-10"/>
                      <w:sz w:val="21"/>
                      <w:szCs w:val="21"/>
                      <w:highlight w:val="none"/>
                      <w:lang w:val="en-US"/>
                    </w:rPr>
                    <w:t>5</w:t>
                  </w:r>
                  <w:r>
                    <w:rPr>
                      <w:rFonts w:hint="eastAsia" w:ascii="Times New Roman" w:hAnsi="Times New Roman" w:eastAsia="宋体" w:cs="Times New Roman"/>
                      <w:color w:val="auto"/>
                      <w:spacing w:val="-10"/>
                      <w:sz w:val="21"/>
                      <w:szCs w:val="21"/>
                      <w:highlight w:val="none"/>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在国家湿地公园内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1.28 国家级森林公园内：</w:t>
                  </w:r>
                  <w:r>
                    <w:rPr>
                      <w:rFonts w:hint="eastAsia" w:ascii="Times New Roman" w:hAnsi="Times New Roman" w:eastAsia="宋体" w:cs="Times New Roman"/>
                      <w:color w:val="auto"/>
                      <w:spacing w:val="-10"/>
                      <w:sz w:val="21"/>
                      <w:szCs w:val="21"/>
                      <w:highlight w:val="none"/>
                    </w:rPr>
                    <w:t>共</w:t>
                  </w:r>
                  <w:r>
                    <w:rPr>
                      <w:rFonts w:hint="eastAsia" w:ascii="Times New Roman" w:hAnsi="Times New Roman" w:eastAsia="宋体" w:cs="Times New Roman"/>
                      <w:color w:val="auto"/>
                      <w:spacing w:val="-10"/>
                      <w:sz w:val="21"/>
                      <w:szCs w:val="21"/>
                      <w:highlight w:val="none"/>
                      <w:lang w:val="en-US"/>
                    </w:rPr>
                    <w:t>6</w:t>
                  </w:r>
                  <w:r>
                    <w:rPr>
                      <w:rFonts w:hint="eastAsia" w:ascii="Times New Roman" w:hAnsi="Times New Roman" w:eastAsia="宋体" w:cs="Times New Roman"/>
                      <w:color w:val="auto"/>
                      <w:spacing w:val="-10"/>
                      <w:sz w:val="21"/>
                      <w:szCs w:val="21"/>
                      <w:highlight w:val="none"/>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在自然保护区内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1.29 除国家另有规定外，在国家沙漠公园范围内禁止下列行为：</w:t>
                  </w:r>
                  <w:r>
                    <w:rPr>
                      <w:rFonts w:hint="eastAsia" w:ascii="Times New Roman" w:hAnsi="Times New Roman" w:eastAsia="宋体" w:cs="Times New Roman"/>
                      <w:color w:val="auto"/>
                      <w:spacing w:val="-10"/>
                      <w:sz w:val="21"/>
                      <w:szCs w:val="21"/>
                      <w:highlight w:val="none"/>
                    </w:rPr>
                    <w:t>共3条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w:t>
                  </w:r>
                  <w:r>
                    <w:rPr>
                      <w:rFonts w:hint="eastAsia" w:ascii="Times New Roman" w:hAnsi="Times New Roman" w:eastAsia="宋体" w:cs="Times New Roman"/>
                      <w:color w:val="auto"/>
                      <w:spacing w:val="-10"/>
                      <w:sz w:val="21"/>
                      <w:szCs w:val="21"/>
                      <w:highlight w:val="none"/>
                      <w:lang w:val="zh-CN"/>
                    </w:rPr>
                    <w:t>国家沙漠公园内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1.30 在天山自然遗产地内，禁止实施下列行为：</w:t>
                  </w:r>
                  <w:r>
                    <w:rPr>
                      <w:rFonts w:hint="eastAsia" w:ascii="Times New Roman" w:hAnsi="Times New Roman" w:eastAsia="宋体" w:cs="Times New Roman"/>
                      <w:color w:val="auto"/>
                      <w:spacing w:val="-10"/>
                      <w:sz w:val="21"/>
                      <w:szCs w:val="21"/>
                      <w:highlight w:val="none"/>
                    </w:rPr>
                    <w:t>共4条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在天山自然遗产地内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1.31 在天山自然遗产地禁建区内，除配置必要的研究监测和安全防护设施外，禁止进行任何建设活动。天山自然遗产地限建区内，可以建设与自然遗产保护有关的设施。天山自然遗产地展示区内，可以建设与游览观光、文体娱乐等活动有关的公共服务设施和管理设施。按照前款规定实施建设活动的，建设单位、施工单位应当制定生态保护方案，采取有效措施，保护好周围景物、水体、林草植被、野生动物资源和</w:t>
                  </w:r>
                  <w:r>
                    <w:rPr>
                      <w:rFonts w:hint="eastAsia" w:ascii="Times New Roman" w:hAnsi="Times New Roman" w:eastAsia="宋体" w:cs="Times New Roman"/>
                      <w:color w:val="auto"/>
                      <w:spacing w:val="-10"/>
                      <w:sz w:val="21"/>
                      <w:szCs w:val="21"/>
                      <w:highlight w:val="none"/>
                      <w:lang w:val="en-US"/>
                    </w:rPr>
                    <w:t>地</w:t>
                  </w:r>
                  <w:r>
                    <w:rPr>
                      <w:rFonts w:hint="eastAsia" w:ascii="Times New Roman" w:hAnsi="Times New Roman" w:eastAsia="宋体" w:cs="Times New Roman"/>
                      <w:color w:val="auto"/>
                      <w:spacing w:val="-10"/>
                      <w:sz w:val="21"/>
                      <w:szCs w:val="21"/>
                      <w:highlight w:val="none"/>
                      <w:lang w:val="zh-CN"/>
                    </w:rPr>
                    <w:t>形地貌，并经天山自然遗产管理机构审核同意后，依照有关法律、法规的规定办理审批手续；天山自然遗产地详细规划已经明确建设项 选址、布局与规模的，可以不再申请核发建设项目选址意见书。</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在天山自然遗产地禁建区内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1.32 【开都河流域空间布局约束】：</w:t>
                  </w:r>
                  <w:r>
                    <w:rPr>
                      <w:rFonts w:hint="eastAsia" w:ascii="Times New Roman" w:hAnsi="Times New Roman" w:eastAsia="宋体" w:cs="Times New Roman"/>
                      <w:color w:val="auto"/>
                      <w:spacing w:val="-10"/>
                      <w:sz w:val="21"/>
                      <w:szCs w:val="21"/>
                      <w:highlight w:val="none"/>
                      <w:lang w:val="en-US"/>
                    </w:rPr>
                    <w:t>共7条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en-US" w:eastAsia="zh-CN"/>
                    </w:rPr>
                    <w:t>1.33 [冰川保护]国务院有关部门和青藏高原县级以上地方人民政府应当建立健全青藏 高原雪山冰川冻土保护制度，加强对雪山冰川冻土的监测预警和系统保护。青藏高原省级人民政府应当将大型冰帽冰川、小规模冰川群等划入生态保护红线，对重要雪山冰川实施封禁保护，采取有效措施，严格控制人为扰动。青藏高原省级人民政府应当划定冻土区保护范围，加强对多年冻土区和中深季节冻土区的保护，严格控制多年冻土区资源开发，严格审批多年冻土区城镇规划和交通、管线、输变电等重大工程项目。青藏高原省级人民政府应当开展雪山冰川冻土与周边生态系统的协同保护，维持有利于雪山冰川冻土保护的自然生态环境。</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en-US" w:eastAsia="zh-CN"/>
                    </w:rPr>
                    <w:t>1.34 [国家级自然公园]</w:t>
                  </w:r>
                  <w:r>
                    <w:rPr>
                      <w:rFonts w:hint="eastAsia" w:ascii="Times New Roman" w:hAnsi="Times New Roman" w:eastAsia="宋体" w:cs="Times New Roman"/>
                      <w:color w:val="auto"/>
                      <w:spacing w:val="-10"/>
                      <w:sz w:val="21"/>
                      <w:szCs w:val="21"/>
                      <w:highlight w:val="none"/>
                    </w:rPr>
                    <w:t>：</w:t>
                  </w:r>
                  <w:r>
                    <w:rPr>
                      <w:rFonts w:hint="eastAsia" w:ascii="Times New Roman" w:hAnsi="Times New Roman" w:eastAsia="宋体" w:cs="Times New Roman"/>
                      <w:color w:val="auto"/>
                      <w:spacing w:val="-10"/>
                      <w:sz w:val="21"/>
                      <w:szCs w:val="21"/>
                      <w:highlight w:val="none"/>
                      <w:lang w:val="en-US"/>
                    </w:rPr>
                    <w:t>共</w:t>
                  </w:r>
                  <w:r>
                    <w:rPr>
                      <w:rFonts w:hint="eastAsia" w:ascii="Times New Roman" w:hAnsi="Times New Roman" w:eastAsia="宋体" w:cs="Times New Roman"/>
                      <w:color w:val="auto"/>
                      <w:spacing w:val="-10"/>
                      <w:sz w:val="21"/>
                      <w:szCs w:val="21"/>
                      <w:highlight w:val="none"/>
                      <w:lang w:val="en-US" w:eastAsia="zh-CN"/>
                    </w:rPr>
                    <w:t>5</w:t>
                  </w:r>
                  <w:r>
                    <w:rPr>
                      <w:rFonts w:hint="eastAsia" w:ascii="Times New Roman" w:hAnsi="Times New Roman" w:eastAsia="宋体" w:cs="Times New Roman"/>
                      <w:color w:val="auto"/>
                      <w:spacing w:val="-10"/>
                      <w:sz w:val="21"/>
                      <w:szCs w:val="21"/>
                      <w:highlight w:val="none"/>
                      <w:lang w:val="en-US"/>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污染排放管控</w:t>
                  </w: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2.1水源涵养和生物多样性维护型重点生态功能区水质达到地表水、地下水I类，空气质量达到一级。</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w:t>
                  </w:r>
                  <w:r>
                    <w:rPr>
                      <w:rFonts w:hint="default" w:ascii="Times New Roman" w:hAnsi="Times New Roman" w:eastAsia="宋体" w:cs="Times New Roman"/>
                      <w:color w:val="auto"/>
                      <w:spacing w:val="-10"/>
                      <w:sz w:val="21"/>
                      <w:szCs w:val="21"/>
                      <w:highlight w:val="none"/>
                      <w:lang w:bidi="zh-CN"/>
                    </w:rPr>
                    <w:t>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2.2燃煤电厂和其他燃煤单位应当采用清洁生产工艺，配套建设除尘、脱硫、脱硝等装置，或者采取技术改造等其他控制大气污染物排放的措施。国家鼓励燃煤单位采用先进的除尘、脱硫、脱硝、脱汞等大气污染物协同控制的技术和装置，减少大气污染物的排放。</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本项目不涉及煤炭的消耗</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14"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2.5 库尔勒大气联防联控区域</w:t>
                  </w:r>
                  <w:r>
                    <w:rPr>
                      <w:rFonts w:hint="eastAsia" w:ascii="Times New Roman" w:hAnsi="Times New Roman" w:cs="Times New Roman"/>
                      <w:b w:val="0"/>
                      <w:color w:val="auto"/>
                      <w:spacing w:val="-10"/>
                      <w:sz w:val="21"/>
                      <w:szCs w:val="21"/>
                      <w:highlight w:val="none"/>
                      <w:lang w:eastAsia="zh-CN"/>
                    </w:rPr>
                    <w:t>（以</w:t>
                  </w:r>
                  <w:r>
                    <w:rPr>
                      <w:rFonts w:hint="default" w:ascii="Times New Roman" w:hAnsi="Times New Roman" w:eastAsia="宋体" w:cs="Times New Roman"/>
                      <w:b w:val="0"/>
                      <w:color w:val="auto"/>
                      <w:spacing w:val="-10"/>
                      <w:sz w:val="21"/>
                      <w:szCs w:val="21"/>
                      <w:highlight w:val="none"/>
                    </w:rPr>
                    <w:t>库尔勒人民广场为中心点，半径50公里的范围，主要包括库尔勒市和焉耆县、博湖县、和静县、尉犁县的部分行政区域）的火电、钢铁、水泥、石化行业和燃煤锅炉应执行相应大气污染物特别排放限值标准</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本项目位于</w:t>
                  </w:r>
                  <w:r>
                    <w:rPr>
                      <w:rFonts w:hint="eastAsia" w:ascii="Times New Roman" w:cs="Times New Roman"/>
                      <w:color w:val="auto"/>
                      <w:spacing w:val="-10"/>
                      <w:sz w:val="21"/>
                      <w:szCs w:val="21"/>
                      <w:highlight w:val="none"/>
                      <w:lang w:val="en-US" w:eastAsia="zh-CN"/>
                    </w:rPr>
                    <w:t>且末县</w:t>
                  </w:r>
                  <w:r>
                    <w:rPr>
                      <w:rFonts w:hint="default" w:ascii="Times New Roman" w:hAnsi="Times New Roman" w:eastAsia="宋体" w:cs="Times New Roman"/>
                      <w:color w:val="auto"/>
                      <w:spacing w:val="-10"/>
                      <w:sz w:val="21"/>
                      <w:szCs w:val="21"/>
                      <w:highlight w:val="none"/>
                    </w:rPr>
                    <w:t>，不属于火电、钢铁、水泥、石化行业和燃煤锅炉新（改、扩）建项目</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34"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2.6根据水环境保护的需要，在饮用水水源保护区内，采取禁止或者限制使用含磷洗涤剂、化肥、农药以及限制种植养殖等措施。</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本项目不在饮用水水源保护区内</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2.7饮用水源地准保护区内无新建、扩建制药、化工、造纸、制革、印染、染料、炼焦、炼硫、炼砷、炼油、 电镀、农药等对水体污染严重的建设项目。</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本项目不在饮用水水源保护区内</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2.8 饮用水水源二级保护区内城镇生活垃圾全部集中收集并在保护区外进行无害化处置。准保护区内工业园区企业的第一类水污染物达到车间排放要求、常规污染物达到间接排放标准后，进入园区污水处理厂集中处理。不能满足水质要求的地表水饮用水水源，准保护区或汇水区域采取水污染物容量总量控制措施，限期达标。</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本项目不在饮用水水源二级保护区内</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2.9 所有排污单位必须依法实现全面达标排放。逐一排查工业企业排污情况，重点排污单位应按要求安装污染物在线监控设施，达标企业应采取措施确保稳定达标。定期抽查排污单位达标排放情况，结果向社会公布。加大综合惩处和处罚执行力度，建立环保领域非诉案件执行联动配合机制，对行政处罚、行政命令执行情况实施后督察。</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本项目仅涉及施工期，施工期废弃物均妥善处置，达标排放</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1"/>
                      <w:w w:val="100"/>
                      <w:kern w:val="2"/>
                      <w:sz w:val="21"/>
                      <w:szCs w:val="21"/>
                      <w:highlight w:val="none"/>
                      <w:lang w:val="en-US" w:eastAsia="zh-CN" w:bidi="ar-SA"/>
                    </w:rPr>
                  </w:pPr>
                  <w:r>
                    <w:rPr>
                      <w:rFonts w:hint="default" w:ascii="Times New Roman" w:hAnsi="Times New Roman" w:eastAsia="宋体" w:cs="Times New Roman"/>
                      <w:b w:val="0"/>
                      <w:color w:val="auto"/>
                      <w:spacing w:val="-11"/>
                      <w:w w:val="100"/>
                      <w:sz w:val="21"/>
                      <w:szCs w:val="21"/>
                      <w:highlight w:val="none"/>
                    </w:rPr>
                    <w:t>2.14 狠抓工业污染防治。对水环境影响较大的“低、小、散”落后企业、加工点、作坊的专项整治，严防小型造纸、印染、染料、炼焦、炼油、电镀、农药等严重污染水环境的生产项目死灰复燃。</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本项目不属于造纸、印染、染料、炼焦、炼油、电镀、农药等严重污染水环境的生产项目</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2.15 推进污泥处理处置。建立污泥从产生、运输、储存、处置全过程监管体系。污水处理设施产生的污泥应进行稳定化、无害化和资源化处理处置，禁止处理处置不达标的污泥进入耕地，非法污泥堆放点一律予以取缔。</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本项目膨润土体系废弃钻井岩屑排入防渗岩屑池干化，经检测达标后，用于井场平整；</w:t>
                  </w:r>
                  <w:r>
                    <w:rPr>
                      <w:rFonts w:hint="eastAsia" w:ascii="Times New Roman" w:cs="Times New Roman"/>
                      <w:color w:val="auto"/>
                      <w:spacing w:val="-11"/>
                      <w:w w:val="10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1"/>
                      <w:w w:val="100"/>
                      <w:sz w:val="21"/>
                      <w:szCs w:val="21"/>
                      <w:highlight w:val="none"/>
                    </w:rPr>
                    <w:t>，处理达标后还原土用于铺垫油区内的井场、道路</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1"/>
                      <w:w w:val="100"/>
                      <w:kern w:val="2"/>
                      <w:sz w:val="21"/>
                      <w:szCs w:val="21"/>
                      <w:highlight w:val="none"/>
                      <w:lang w:val="en-US" w:eastAsia="zh-CN" w:bidi="ar-SA"/>
                    </w:rPr>
                  </w:pPr>
                  <w:r>
                    <w:rPr>
                      <w:rFonts w:hint="default" w:ascii="Times New Roman" w:hAnsi="Times New Roman" w:eastAsia="宋体" w:cs="Times New Roman"/>
                      <w:b w:val="0"/>
                      <w:color w:val="auto"/>
                      <w:spacing w:val="-11"/>
                      <w:w w:val="100"/>
                      <w:sz w:val="21"/>
                      <w:szCs w:val="21"/>
                      <w:highlight w:val="none"/>
                    </w:rPr>
                    <w:t>2.20 加强油（气）资源开发区土壤环境污染综合整治。以中国石油天然气股份有限公司塔里木油田分公司桑吉作业区、轮南作业区、塔中作业区以及河南油田分公司新疆采油厂等油（气）资源开发区为重点，加强油（气） 田废弃物的无害化处理和资源化利用，严防油（气）田勘探、开发、运行过程中以及事故排放产生的废弃物对土壤的污染。开展油（气）资源开发区历史遗留污染场地治理。</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本项目所在区域已加强油</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气</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田废弃物的无害化处理和资源化利用，严防油</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气</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田勘探、开发、运行过程中以及事故排放产生的废弃物对土壤的污染</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1"/>
                      <w:w w:val="100"/>
                      <w:sz w:val="21"/>
                      <w:szCs w:val="21"/>
                      <w:highlight w:val="none"/>
                    </w:rPr>
                    <w:t>环境风险防控</w:t>
                  </w: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3.1 强化污染防治区域联防联控。坚持属地管理与区域协调联动共治相结合，强化主体责任，完善跨区域大气污染联防联控工作机制，强化兵地区域同防同治，完善兵地沟通协作、信息共享机制以及生态环境治理体系，积极推进兵地生态环境执法改革，使兵地联合执法、交叉执法成为常态。健全污染过程预警应急响应机制。各县市人民政府负责本行政区内的重污染天气应急响应工作， 自治州重污染天气应急指挥部统筹指挥重污染应对工作，成员各司其职、密切配合。州生态环境局、气象局监测监控空气质量和气象条件变化，共享数据、科学预警、有效应对。强化部门间沟通协作，建立健全信息共享机制，充分发挥各部门专业优势，提高联防联控和快速反应</w:t>
                  </w:r>
                  <w:r>
                    <w:rPr>
                      <w:rFonts w:hint="eastAsia" w:ascii="Times New Roman" w:cs="Times New Roman"/>
                      <w:color w:val="auto"/>
                      <w:spacing w:val="-11"/>
                      <w:w w:val="100"/>
                      <w:sz w:val="21"/>
                      <w:szCs w:val="21"/>
                      <w:highlight w:val="none"/>
                      <w:lang w:eastAsia="zh-CN"/>
                    </w:rPr>
                    <w:t>能力。</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本项目严格落实区域重污染天气应急措施</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98"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1"/>
                      <w:w w:val="100"/>
                      <w:kern w:val="2"/>
                      <w:sz w:val="21"/>
                      <w:szCs w:val="21"/>
                      <w:highlight w:val="none"/>
                      <w:lang w:val="en-US" w:eastAsia="zh-CN" w:bidi="ar-SA"/>
                    </w:rPr>
                  </w:pPr>
                  <w:r>
                    <w:rPr>
                      <w:rFonts w:hint="default" w:ascii="Times New Roman" w:hAnsi="Times New Roman" w:eastAsia="宋体" w:cs="Times New Roman"/>
                      <w:b w:val="0"/>
                      <w:color w:val="auto"/>
                      <w:spacing w:val="-11"/>
                      <w:w w:val="100"/>
                      <w:sz w:val="21"/>
                      <w:szCs w:val="21"/>
                      <w:highlight w:val="none"/>
                    </w:rPr>
                    <w:t>3.4 自治州、各县（市）人民政府应当根据重污染天气的预警等级，及时启动重污染天气应急预案，并采取与预警等级对应的响应措施，相关单位和个人应当配合。</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本项目严格落实区域重污染天气应急措施</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59"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bCs/>
                      <w:color w:val="auto"/>
                      <w:spacing w:val="-11"/>
                      <w:w w:val="100"/>
                      <w:kern w:val="2"/>
                      <w:sz w:val="21"/>
                      <w:szCs w:val="21"/>
                      <w:highlight w:val="none"/>
                      <w:lang w:val="en-US" w:eastAsia="zh-CN" w:bidi="ar-SA"/>
                    </w:rPr>
                  </w:pPr>
                  <w:r>
                    <w:rPr>
                      <w:rFonts w:hint="default" w:ascii="Times New Roman" w:hAnsi="Times New Roman" w:eastAsia="宋体" w:cs="Times New Roman"/>
                      <w:b w:val="0"/>
                      <w:bCs/>
                      <w:color w:val="auto"/>
                      <w:spacing w:val="-11"/>
                      <w:w w:val="100"/>
                      <w:sz w:val="21"/>
                      <w:szCs w:val="21"/>
                      <w:highlight w:val="none"/>
                    </w:rPr>
                    <w:t>3.5 推进重点流域、饮用水源等环境敏感区域防控体系建设，落实环境风险防控措施，配备拦截、吸附等基本应急处置物资。落实饮用水源一级保护区周边人类活动频繁区域隔离墙、隔离网、视频监控等防范设施建设。</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bCs/>
                      <w:color w:val="auto"/>
                      <w:spacing w:val="-11"/>
                      <w:w w:val="100"/>
                      <w:sz w:val="21"/>
                      <w:szCs w:val="21"/>
                      <w:highlight w:val="none"/>
                    </w:rPr>
                    <w:t>本项目已采取严格的</w:t>
                  </w:r>
                  <w:r>
                    <w:rPr>
                      <w:rFonts w:hint="default" w:ascii="Times New Roman" w:hAnsi="Times New Roman" w:eastAsia="宋体" w:cs="Times New Roman"/>
                      <w:color w:val="auto"/>
                      <w:spacing w:val="-11"/>
                      <w:w w:val="100"/>
                      <w:sz w:val="21"/>
                      <w:szCs w:val="21"/>
                      <w:highlight w:val="none"/>
                    </w:rPr>
                    <w:t>环境风险控制措施</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3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bCs/>
                      <w:color w:val="auto"/>
                      <w:spacing w:val="-11"/>
                      <w:w w:val="100"/>
                      <w:kern w:val="2"/>
                      <w:sz w:val="21"/>
                      <w:szCs w:val="21"/>
                      <w:highlight w:val="none"/>
                      <w:lang w:val="en-US" w:eastAsia="zh-CN" w:bidi="ar-SA"/>
                    </w:rPr>
                  </w:pPr>
                  <w:r>
                    <w:rPr>
                      <w:rFonts w:hint="default" w:ascii="Times New Roman" w:hAnsi="Times New Roman" w:eastAsia="宋体" w:cs="Times New Roman"/>
                      <w:b w:val="0"/>
                      <w:bCs/>
                      <w:color w:val="auto"/>
                      <w:spacing w:val="-11"/>
                      <w:w w:val="100"/>
                      <w:sz w:val="21"/>
                      <w:szCs w:val="21"/>
                      <w:highlight w:val="none"/>
                    </w:rPr>
                    <w:t>3.6 禁止从事下列危及城镇排水与污水处理设施安全的活动：共6条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本项目不在饮用水水源保护区内</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3.8 严格环境风险控制。防范环境风险。定期评估沿河流湖库的工业企业、工业集聚区环境和健康风险，加强预案管理，落实防控措施，排除水污染隐患。评估现有化学物质环境和健康风险，根据国家公布的优先控制化学品名录，对高风险化学品生产、使用进行严格限制，并逐步淘汰替代</w:t>
                  </w:r>
                  <w:r>
                    <w:rPr>
                      <w:rFonts w:hint="default" w:ascii="Times New Roman" w:hAnsi="Times New Roman" w:eastAsia="宋体" w:cs="Times New Roman"/>
                      <w:bCs/>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资源开发利用效率</w:t>
                  </w: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4.1 推进循环发展。加强工业水循环利用。推进矿井水综合利用，煤炭矿区的补充用水、周边地区生产和生态用水应优先使用矿井水，加强洗煤废水循环利用。鼓励钢铁、纺织印染、造纸、石油石化、化工、制革等高耗水企业废水深度处理回用</w:t>
                  </w:r>
                  <w:r>
                    <w:rPr>
                      <w:rFonts w:hint="default" w:ascii="Times New Roman" w:hAnsi="Times New Roman" w:eastAsia="宋体" w:cs="Times New Roman"/>
                      <w:b w:val="0"/>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4.6 流域执行最严格的水资源管理制度，依法实行取水许可和有偿使用制度。在流域内从事生产、建设活动应当遵守生态环境保护规划，严格执行水资源用水总量控制、用水效率控制、水功能区限制纳污“三条红线”控制指标。流域内水资源开发利用应当兼顾上下游、左右岸和有关县、团镇之间的利益，发挥水资源的综合效益</w:t>
                  </w:r>
                  <w:r>
                    <w:rPr>
                      <w:rFonts w:hint="default" w:ascii="Times New Roman" w:hAnsi="Times New Roman" w:eastAsia="宋体" w:cs="Times New Roman"/>
                      <w:bCs/>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本项目用水量较小，未超过水资源用水总量控制、用水效率控制、水功能区限制纳污“三条红线”控制指标</w:t>
                  </w:r>
                  <w:r>
                    <w:rPr>
                      <w:rFonts w:hint="default" w:ascii="Times New Roman" w:hAnsi="Times New Roman" w:eastAsia="宋体" w:cs="Times New Roman"/>
                      <w:bCs/>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100"/>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4</w:t>
                  </w:r>
                  <w:r>
                    <w:rPr>
                      <w:rFonts w:hint="default" w:ascii="Times New Roman" w:hAnsi="Times New Roman" w:eastAsia="宋体" w:cs="Times New Roman"/>
                      <w:bCs/>
                      <w:color w:val="auto"/>
                      <w:spacing w:val="-10"/>
                      <w:sz w:val="21"/>
                      <w:szCs w:val="21"/>
                      <w:highlight w:val="none"/>
                      <w:lang w:val="en-US"/>
                    </w:rPr>
                    <w:t>.7</w:t>
                  </w:r>
                  <w:r>
                    <w:rPr>
                      <w:rFonts w:hint="default" w:ascii="Times New Roman" w:hAnsi="Times New Roman" w:eastAsia="宋体" w:cs="Times New Roman"/>
                      <w:bCs/>
                      <w:color w:val="auto"/>
                      <w:spacing w:val="-10"/>
                      <w:sz w:val="21"/>
                      <w:szCs w:val="21"/>
                      <w:highlight w:val="none"/>
                    </w:rPr>
                    <w:t>【开都河流域自然资源开发限制】：</w:t>
                  </w:r>
                  <w:r>
                    <w:rPr>
                      <w:rFonts w:hint="default" w:ascii="Times New Roman" w:hAnsi="Times New Roman" w:eastAsia="宋体" w:cs="Times New Roman"/>
                      <w:bCs/>
                      <w:color w:val="auto"/>
                      <w:spacing w:val="-10"/>
                      <w:sz w:val="21"/>
                      <w:szCs w:val="21"/>
                      <w:highlight w:val="none"/>
                      <w:lang w:val="en-US"/>
                    </w:rPr>
                    <w:t>共8条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100"/>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4.</w:t>
                  </w:r>
                  <w:r>
                    <w:rPr>
                      <w:rFonts w:hint="default" w:ascii="Times New Roman" w:hAnsi="Times New Roman" w:eastAsia="宋体" w:cs="Times New Roman"/>
                      <w:bCs/>
                      <w:color w:val="auto"/>
                      <w:spacing w:val="-10"/>
                      <w:sz w:val="21"/>
                      <w:szCs w:val="21"/>
                      <w:highlight w:val="none"/>
                      <w:lang w:val="en-US"/>
                    </w:rPr>
                    <w:t>8</w:t>
                  </w:r>
                  <w:r>
                    <w:rPr>
                      <w:rFonts w:hint="default" w:ascii="Times New Roman" w:hAnsi="Times New Roman" w:eastAsia="宋体" w:cs="Times New Roman"/>
                      <w:bCs/>
                      <w:color w:val="auto"/>
                      <w:spacing w:val="-10"/>
                      <w:sz w:val="21"/>
                      <w:szCs w:val="21"/>
                      <w:highlight w:val="none"/>
                    </w:rPr>
                    <w:t xml:space="preserve"> 开都河岸线保护区：</w:t>
                  </w:r>
                  <w:r>
                    <w:rPr>
                      <w:rFonts w:hint="default" w:ascii="Times New Roman" w:hAnsi="Times New Roman" w:eastAsia="宋体" w:cs="Times New Roman"/>
                      <w:bCs/>
                      <w:color w:val="auto"/>
                      <w:spacing w:val="-10"/>
                      <w:sz w:val="21"/>
                      <w:szCs w:val="21"/>
                      <w:highlight w:val="none"/>
                      <w:lang w:val="en-US"/>
                    </w:rPr>
                    <w:t>共2条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4.14 抓好工业节水。依据国家鼓励和淘汰的用水技术、工艺、产品和设备目录，加大工业节水先进技术的推广应用，加快落后技术、设备的淘汰退出。研究制定一批工业节水地方标准，推动重点行业开展企业用水定额对标工作。开展节水诊断、水平衡测试、用水效率评估，严格取用水定额管理。以工业用水重复利用、热力和工艺系统节水、工业给水和废水处理等领域为重点，支持企业实施节水技术改造</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bidi="ar"/>
                    </w:rPr>
                    <w:t>本项目营运期不消耗水资源</w:t>
                  </w:r>
                  <w:r>
                    <w:rPr>
                      <w:rFonts w:hint="default" w:ascii="Times New Roman" w:hAnsi="Times New Roman" w:eastAsia="宋体" w:cs="Times New Roman"/>
                      <w:color w:val="auto"/>
                      <w:spacing w:val="-10"/>
                      <w:kern w:val="0"/>
                      <w:sz w:val="21"/>
                      <w:szCs w:val="21"/>
                      <w:highlight w:val="none"/>
                      <w:lang w:eastAsia="zh-CN" w:bidi="ar"/>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4.15 加强城镇节水。禁止生产、销售不符合节水标准的产品：公共建筑必须采用节水器具，限期淘汰公共建筑中不符合节水标准的水嘴、便器水箱等生活用水器具。鼓励居民家庭选用节水器具，推动旅馆饭店、学校等用水单位用水器具的更新改造。加快城镇老旧供水管网更新改造</w:t>
                  </w:r>
                  <w:r>
                    <w:rPr>
                      <w:rFonts w:hint="default" w:ascii="Times New Roman" w:hAnsi="Times New Roman" w:eastAsia="宋体" w:cs="Times New Roman"/>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4.16 发展农业节水。推广渠道防渗、管道输水、喷灌、微灌等节水</w:t>
                  </w:r>
                  <w:r>
                    <w:rPr>
                      <w:rFonts w:hint="default" w:ascii="Times New Roman" w:hAnsi="Times New Roman" w:eastAsia="宋体" w:cs="Times New Roman"/>
                      <w:b w:val="0"/>
                      <w:color w:val="auto"/>
                      <w:spacing w:val="-10"/>
                      <w:sz w:val="21"/>
                      <w:szCs w:val="21"/>
                      <w:highlight w:val="none"/>
                      <w:lang w:eastAsia="zh-CN"/>
                    </w:rPr>
                    <w:t>灌溉</w:t>
                  </w:r>
                  <w:r>
                    <w:rPr>
                      <w:rFonts w:hint="default" w:ascii="Times New Roman" w:hAnsi="Times New Roman" w:eastAsia="宋体" w:cs="Times New Roman"/>
                      <w:b w:val="0"/>
                      <w:color w:val="auto"/>
                      <w:spacing w:val="-10"/>
                      <w:sz w:val="21"/>
                      <w:szCs w:val="21"/>
                      <w:highlight w:val="none"/>
                    </w:rPr>
                    <w:t>技术，完善灌溉用水计量设施。大力推进规模化高效节水灌溉，推广农作物节水抗旱技术。建立灌区测报网络，提高农业用水效率，降低农业用水比重</w:t>
                  </w:r>
                  <w:r>
                    <w:rPr>
                      <w:rFonts w:hint="default" w:ascii="Times New Roman" w:hAnsi="Times New Roman" w:eastAsia="宋体" w:cs="Times New Roman"/>
                      <w:b w:val="0"/>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4</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lang w:val="en-US" w:eastAsia="zh-CN"/>
              </w:rPr>
              <w:t>与《关于印发巴音郭楞蒙古自治州生态环境分区管控动态更新成果（2023年）的通知》中“</w:t>
            </w:r>
            <w:r>
              <w:rPr>
                <w:rFonts w:hint="eastAsia" w:ascii="Times New Roman" w:cs="Times New Roman"/>
                <w:b/>
                <w:color w:val="auto"/>
                <w:sz w:val="24"/>
                <w:szCs w:val="20"/>
                <w:highlight w:val="none"/>
                <w:lang w:val="en-US" w:eastAsia="zh-CN"/>
              </w:rPr>
              <w:t>且末县</w:t>
            </w:r>
            <w:r>
              <w:rPr>
                <w:rFonts w:hint="default" w:ascii="Times New Roman" w:hAnsi="Times New Roman" w:eastAsia="宋体" w:cs="Times New Roman"/>
                <w:b/>
                <w:color w:val="auto"/>
                <w:sz w:val="24"/>
                <w:szCs w:val="20"/>
                <w:highlight w:val="none"/>
                <w:lang w:val="en-US" w:eastAsia="zh-CN"/>
              </w:rPr>
              <w:t>环境管控单元准入清单”符合性分析。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eastAsia" w:asci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 xml:space="preserve">    本项目与</w:t>
            </w:r>
            <w:r>
              <w:rPr>
                <w:rFonts w:hint="eastAsia" w:ascii="Times New Roman" w:cs="Times New Roman"/>
                <w:b/>
                <w:bCs/>
                <w:color w:val="auto"/>
                <w:sz w:val="24"/>
                <w:szCs w:val="24"/>
                <w:highlight w:val="none"/>
                <w:lang w:val="en-US" w:eastAsia="zh-CN"/>
              </w:rPr>
              <w:t>且末县</w:t>
            </w:r>
            <w:r>
              <w:rPr>
                <w:rFonts w:hint="default" w:ascii="Times New Roman" w:hAnsi="Times New Roman" w:eastAsia="宋体" w:cs="Times New Roman"/>
                <w:b/>
                <w:bCs/>
                <w:color w:val="auto"/>
                <w:sz w:val="24"/>
                <w:szCs w:val="24"/>
                <w:highlight w:val="none"/>
                <w:lang w:val="en-US" w:eastAsia="zh-CN"/>
              </w:rPr>
              <w:t>环境管控单元准入清单一览表</w:t>
            </w:r>
          </w:p>
          <w:tbl>
            <w:tblPr>
              <w:tblStyle w:val="32"/>
              <w:tblW w:w="756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8"/>
              <w:gridCol w:w="488"/>
              <w:gridCol w:w="382"/>
              <w:gridCol w:w="3570"/>
              <w:gridCol w:w="2078"/>
              <w:gridCol w:w="5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文件名称</w:t>
                  </w:r>
                </w:p>
              </w:tc>
              <w:tc>
                <w:tcPr>
                  <w:tcW w:w="4440"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文件要求</w:t>
                  </w:r>
                </w:p>
              </w:tc>
              <w:tc>
                <w:tcPr>
                  <w:tcW w:w="207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本项目</w:t>
                  </w:r>
                </w:p>
              </w:tc>
              <w:tc>
                <w:tcPr>
                  <w:tcW w:w="57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eastAsia" w:ascii="Times New Roman" w:cs="Times New Roman"/>
                      <w:bCs/>
                      <w:color w:val="auto"/>
                      <w:spacing w:val="-10"/>
                      <w:sz w:val="21"/>
                      <w:szCs w:val="21"/>
                      <w:highlight w:val="none"/>
                      <w:lang w:val="en-US" w:eastAsia="zh-CN"/>
                    </w:rPr>
                    <w:t>且末县</w:t>
                  </w:r>
                  <w:r>
                    <w:rPr>
                      <w:rFonts w:hint="default" w:ascii="Times New Roman" w:hAnsi="Times New Roman" w:eastAsia="宋体" w:cs="Times New Roman"/>
                      <w:bCs/>
                      <w:color w:val="auto"/>
                      <w:spacing w:val="-10"/>
                      <w:sz w:val="21"/>
                      <w:szCs w:val="21"/>
                      <w:highlight w:val="none"/>
                    </w:rPr>
                    <w:t>环境管控单元准入清单</w:t>
                  </w:r>
                </w:p>
              </w:tc>
              <w:tc>
                <w:tcPr>
                  <w:tcW w:w="488"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eastAsia" w:ascii="Times New Roman" w:cs="Times New Roman"/>
                      <w:bCs/>
                      <w:color w:val="auto"/>
                      <w:spacing w:val="-10"/>
                      <w:sz w:val="21"/>
                      <w:szCs w:val="21"/>
                      <w:highlight w:val="none"/>
                      <w:lang w:eastAsia="zh-CN"/>
                    </w:rPr>
                    <w:t>且末县</w:t>
                  </w:r>
                  <w:r>
                    <w:rPr>
                      <w:rFonts w:hint="default" w:ascii="Times New Roman" w:hAnsi="Times New Roman" w:eastAsia="宋体" w:cs="Times New Roman"/>
                      <w:bCs/>
                      <w:color w:val="auto"/>
                      <w:spacing w:val="-10"/>
                      <w:sz w:val="21"/>
                      <w:szCs w:val="21"/>
                      <w:highlight w:val="none"/>
                    </w:rPr>
                    <w:t>一般管控单元</w:t>
                  </w:r>
                  <w:r>
                    <w:rPr>
                      <w:rFonts w:hint="default" w:ascii="Times New Roman" w:hAnsi="Times New Roman" w:eastAsia="宋体" w:cs="Times New Roman"/>
                      <w:bCs/>
                      <w:color w:val="auto"/>
                      <w:spacing w:val="-10"/>
                      <w:sz w:val="21"/>
                      <w:szCs w:val="21"/>
                      <w:highlight w:val="none"/>
                      <w:lang w:eastAsia="zh-CN"/>
                    </w:rPr>
                    <w:t>（</w:t>
                  </w:r>
                  <w:r>
                    <w:rPr>
                      <w:rFonts w:hint="eastAsia" w:ascii="Times New Roman" w:cs="Times New Roman"/>
                      <w:bCs/>
                      <w:color w:val="auto"/>
                      <w:spacing w:val="-10"/>
                      <w:sz w:val="21"/>
                      <w:szCs w:val="21"/>
                      <w:highlight w:val="none"/>
                      <w:lang w:eastAsia="zh-CN"/>
                    </w:rPr>
                    <w:t>ZH65282530001</w:t>
                  </w:r>
                  <w:r>
                    <w:rPr>
                      <w:rFonts w:hint="default" w:ascii="Times New Roman" w:hAnsi="Times New Roman" w:eastAsia="宋体" w:cs="Times New Roman"/>
                      <w:bCs/>
                      <w:color w:val="auto"/>
                      <w:spacing w:val="-10"/>
                      <w:sz w:val="21"/>
                      <w:szCs w:val="21"/>
                      <w:highlight w:val="none"/>
                      <w:lang w:eastAsia="zh-CN"/>
                    </w:rPr>
                    <w:t>）</w:t>
                  </w: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空间布局约束</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1.建设项目用地原则上不得占用基本农田，确需占用基本农田的建设项目须符合《中华人民共和国基本农田保护条例》中相关要求，占用耕地、林地或草地的建设项目须按照国家、自治区相关补偿要求进行补偿。</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本项目不占用基本农田</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2.对违反资源环境法律法规、规划，污染环境、破坏生态、乱采滥挖的露天矿山，依法整治； 对污染治理不规范的露天矿山，依法责令停产整治，对拒不停产或擅自恢复生产的依法强制关闭；对责任主体灭失的露天矿山，要加强修复绿化、减尘抑尘。</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3.永久基本农田集中区域禁止规划新建可能造成土壤污染的建设项目。涉及有毒有害物质可能造成土壤污染的新</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改、扩</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建项目，提出并落实土壤和地下水污染防治要求。</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本项目不占用永久基本农田</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4.严格执行畜禽养殖禁养区规定，根据区域用地和消纳水平，合理确定养殖规模。</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5.禁止向沙漠、滩涂、盐碱地、沼泽地等非法排污、倾倒有毒有害物质。</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本项目危险废物在</w:t>
                  </w:r>
                  <w:r>
                    <w:rPr>
                      <w:rFonts w:hint="default" w:ascii="Times New Roman" w:hAnsi="Times New Roman" w:eastAsia="宋体" w:cs="Times New Roman"/>
                      <w:color w:val="auto"/>
                      <w:spacing w:val="-10"/>
                      <w:sz w:val="21"/>
                      <w:szCs w:val="21"/>
                      <w:highlight w:val="none"/>
                      <w:lang w:eastAsia="zh-CN"/>
                    </w:rPr>
                    <w:t>危废</w:t>
                  </w:r>
                  <w:r>
                    <w:rPr>
                      <w:rFonts w:hint="default" w:ascii="Times New Roman" w:hAnsi="Times New Roman" w:eastAsia="宋体" w:cs="Times New Roman"/>
                      <w:color w:val="auto"/>
                      <w:spacing w:val="-10"/>
                      <w:sz w:val="21"/>
                      <w:szCs w:val="21"/>
                      <w:highlight w:val="none"/>
                      <w:lang w:val="en-US" w:eastAsia="zh-CN"/>
                    </w:rPr>
                    <w:t>暂存间</w:t>
                  </w:r>
                  <w:r>
                    <w:rPr>
                      <w:rFonts w:hint="default" w:ascii="Times New Roman" w:hAnsi="Times New Roman" w:eastAsia="宋体" w:cs="Times New Roman"/>
                      <w:color w:val="auto"/>
                      <w:spacing w:val="-10"/>
                      <w:sz w:val="21"/>
                      <w:szCs w:val="21"/>
                      <w:highlight w:val="none"/>
                    </w:rPr>
                    <w:t>暂存，定期由有处理资质的单位接收</w:t>
                  </w:r>
                  <w:r>
                    <w:rPr>
                      <w:rFonts w:hint="eastAsia" w:ascii="Times New Roman" w:cs="Times New Roman"/>
                      <w:color w:val="auto"/>
                      <w:spacing w:val="-10"/>
                      <w:sz w:val="21"/>
                      <w:szCs w:val="21"/>
                      <w:highlight w:val="none"/>
                      <w:lang w:eastAsia="zh-CN"/>
                    </w:rPr>
                    <w:t>并妥善处置</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7"/>
                      <w:kern w:val="2"/>
                      <w:sz w:val="21"/>
                      <w:szCs w:val="21"/>
                      <w:highlight w:val="none"/>
                      <w:lang w:val="en-US" w:eastAsia="zh-CN" w:bidi="ar-SA"/>
                    </w:rPr>
                  </w:pPr>
                  <w:r>
                    <w:rPr>
                      <w:rFonts w:hint="default" w:ascii="Times New Roman" w:hAnsi="Times New Roman" w:eastAsia="宋体" w:cs="Times New Roman"/>
                      <w:color w:val="auto"/>
                      <w:spacing w:val="-17"/>
                      <w:sz w:val="21"/>
                      <w:szCs w:val="21"/>
                      <w:highlight w:val="none"/>
                    </w:rPr>
                    <w:t>6.禁止利用渗坑、裂隙、溶洞或者采用稀释等方法处置危险废物。</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污染物排放管控</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1.强化畜禽粪污资源化利用，改善养殖场通风环境，提高畜禽粪污综合利用率，减少氨挥发 排放。鼓励和支持散养密集区实行畜禽粪污分户收集、集中处理。</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2.严格控制林地、草地、园地农药使用量，禁止使用高毒、高残留农药。</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4.对化学品生产企业、工业集聚区、尾矿库、矿山开采区、危险废物处置场、垃圾填埋场等地下水污染源及周边区域，逐步开展地下水环境状况调查评估，加强风险管控。</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本项目酸化压裂返排液</w:t>
                  </w:r>
                  <w:r>
                    <w:rPr>
                      <w:rFonts w:hint="eastAsia" w:ascii="Times New Roman" w:cs="Times New Roman"/>
                      <w:color w:val="auto"/>
                      <w:spacing w:val="-10"/>
                      <w:sz w:val="21"/>
                      <w:szCs w:val="21"/>
                      <w:highlight w:val="none"/>
                      <w:lang w:val="en-US" w:eastAsia="zh-CN"/>
                    </w:rPr>
                    <w:t>在井场加碱中和后，</w:t>
                  </w:r>
                  <w:r>
                    <w:rPr>
                      <w:rFonts w:hint="default" w:ascii="Times New Roman" w:hAnsi="Times New Roman" w:eastAsia="宋体" w:cs="Times New Roman"/>
                      <w:color w:val="auto"/>
                      <w:spacing w:val="-10"/>
                      <w:kern w:val="0"/>
                      <w:sz w:val="21"/>
                      <w:szCs w:val="21"/>
                      <w:highlight w:val="none"/>
                    </w:rPr>
                    <w:t>采用专用废液收集罐暂存，定期</w:t>
                  </w:r>
                  <w:r>
                    <w:rPr>
                      <w:rFonts w:hint="default" w:ascii="Times New Roman" w:hAnsi="Times New Roman" w:eastAsia="宋体" w:cs="Times New Roman"/>
                      <w:color w:val="auto"/>
                      <w:spacing w:val="-10"/>
                      <w:sz w:val="21"/>
                      <w:szCs w:val="21"/>
                      <w:highlight w:val="none"/>
                    </w:rPr>
                    <w:t>运至</w:t>
                  </w:r>
                  <w:r>
                    <w:rPr>
                      <w:rFonts w:hint="default" w:ascii="Times New Roman" w:hAnsi="Times New Roman" w:eastAsia="宋体" w:cs="Times New Roman"/>
                      <w:color w:val="auto"/>
                      <w:spacing w:val="-10"/>
                      <w:sz w:val="21"/>
                      <w:szCs w:val="21"/>
                      <w:highlight w:val="none"/>
                      <w:lang w:eastAsia="zh-CN"/>
                    </w:rPr>
                    <w:t>富源7环保处理站处置</w:t>
                  </w:r>
                  <w:r>
                    <w:rPr>
                      <w:rFonts w:hint="default" w:ascii="Times New Roman" w:hAnsi="Times New Roman" w:eastAsia="宋体" w:cs="Times New Roman"/>
                      <w:color w:val="auto"/>
                      <w:spacing w:val="-10"/>
                      <w:sz w:val="21"/>
                      <w:szCs w:val="21"/>
                      <w:highlight w:val="none"/>
                    </w:rPr>
                    <w:t>；生活污水经井场撬装式污水处理装置处理后，</w:t>
                  </w:r>
                  <w:r>
                    <w:rPr>
                      <w:rFonts w:hint="eastAsia" w:ascii="Times New Roman" w:cs="Times New Roman"/>
                      <w:color w:val="auto"/>
                      <w:spacing w:val="-10"/>
                      <w:sz w:val="21"/>
                      <w:szCs w:val="21"/>
                      <w:highlight w:val="none"/>
                      <w:lang w:eastAsia="zh-CN"/>
                    </w:rPr>
                    <w:t>处理</w:t>
                  </w:r>
                  <w:r>
                    <w:rPr>
                      <w:rFonts w:hint="default" w:ascii="Times New Roman" w:hAnsi="Times New Roman" w:eastAsia="宋体" w:cs="Times New Roman"/>
                      <w:color w:val="auto"/>
                      <w:spacing w:val="-10"/>
                      <w:sz w:val="21"/>
                      <w:szCs w:val="21"/>
                      <w:highlight w:val="none"/>
                    </w:rPr>
                    <w:t>后水质达到《农村生活污水处理排放标准》（DB654275-20</w:t>
                  </w:r>
                  <w:r>
                    <w:rPr>
                      <w:rFonts w:hint="eastAsia" w:ascii="Times New Roman" w:cs="Times New Roman"/>
                      <w:color w:val="auto"/>
                      <w:spacing w:val="-10"/>
                      <w:sz w:val="21"/>
                      <w:szCs w:val="21"/>
                      <w:highlight w:val="none"/>
                      <w:lang w:val="en-US" w:eastAsia="zh-CN"/>
                    </w:rPr>
                    <w:t xml:space="preserve"> </w:t>
                  </w:r>
                  <w:r>
                    <w:rPr>
                      <w:rFonts w:hint="default" w:ascii="Times New Roman" w:hAnsi="Times New Roman" w:eastAsia="宋体" w:cs="Times New Roman"/>
                      <w:color w:val="auto"/>
                      <w:spacing w:val="-10"/>
                      <w:sz w:val="21"/>
                      <w:szCs w:val="21"/>
                      <w:highlight w:val="none"/>
                    </w:rPr>
                    <w:t>19）表2的</w:t>
                  </w:r>
                  <w:r>
                    <w:rPr>
                      <w:rFonts w:hint="eastAsia" w:ascii="Times New Roman" w:cs="Times New Roman"/>
                      <w:color w:val="auto"/>
                      <w:spacing w:val="-10"/>
                      <w:sz w:val="21"/>
                      <w:szCs w:val="21"/>
                      <w:highlight w:val="none"/>
                      <w:lang w:val="en-US" w:eastAsia="zh-CN"/>
                    </w:rPr>
                    <w:t>B</w:t>
                  </w:r>
                  <w:r>
                    <w:rPr>
                      <w:rFonts w:hint="default" w:ascii="Times New Roman" w:hAnsi="Times New Roman" w:eastAsia="宋体" w:cs="Times New Roman"/>
                      <w:color w:val="auto"/>
                      <w:spacing w:val="-10"/>
                      <w:sz w:val="21"/>
                      <w:szCs w:val="21"/>
                      <w:highlight w:val="none"/>
                    </w:rPr>
                    <w:t>级标准，用于荒漠生态恢复；严格执行《环境影响评价技术导则 地下水环境》</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HJ610–2016</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“11.2.2分区防控措施”相关要求进行分区防渗；切实保障地下水生态环境安全</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bidi="ar-SA"/>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5.严控土壤重金属污染，加强油（气）田开发土壤污染防治，以历史遗留工业企业污染场地为重点，开展土壤污染风险管控与修复工程。</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本项目为新建勘探井，未涉及历史遗留废弃磺化泥浆遗留问题</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6.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r>
                    <w:rPr>
                      <w:rFonts w:hint="default" w:ascii="Times New Roman" w:hAnsi="Times New Roman" w:eastAsia="宋体" w:cs="Times New Roman"/>
                      <w:snapToGrid w:val="0"/>
                      <w:color w:val="auto"/>
                      <w:spacing w:val="-10"/>
                      <w:kern w:val="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lang w:bidi="ar"/>
                    </w:rPr>
                    <w:t>环境风险防控</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1.加强对矿山、油田等矿产资源开采影响区域内未利用地的环境监管，发现土壤污染问题的，要坚决查处，并及时督促有关单位采取有效防治措施消除或减轻污染。</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本工程占地范围内土地利用现状为</w:t>
                  </w:r>
                  <w:r>
                    <w:rPr>
                      <w:rFonts w:hint="eastAsia" w:ascii="Times New Roman" w:cs="Times New Roman"/>
                      <w:snapToGrid w:val="0"/>
                      <w:color w:val="auto"/>
                      <w:spacing w:val="-10"/>
                      <w:kern w:val="0"/>
                      <w:sz w:val="21"/>
                      <w:szCs w:val="21"/>
                      <w:highlight w:val="none"/>
                      <w:lang w:eastAsia="zh-CN"/>
                    </w:rPr>
                    <w:t>沙地</w:t>
                  </w:r>
                  <w:r>
                    <w:rPr>
                      <w:rFonts w:hint="default" w:ascii="Times New Roman" w:hAnsi="Times New Roman" w:eastAsia="宋体" w:cs="Times New Roman"/>
                      <w:snapToGrid w:val="0"/>
                      <w:color w:val="auto"/>
                      <w:spacing w:val="-10"/>
                      <w:kern w:val="0"/>
                      <w:sz w:val="21"/>
                      <w:szCs w:val="21"/>
                      <w:highlight w:val="none"/>
                    </w:rPr>
                    <w:t>，井场废弃物均合理妥善处置，不涉及土壤污染问题</w:t>
                  </w:r>
                  <w:r>
                    <w:rPr>
                      <w:rFonts w:hint="default" w:ascii="Times New Roman" w:hAnsi="Times New Roman" w:eastAsia="宋体" w:cs="Times New Roman"/>
                      <w:snapToGrid w:val="0"/>
                      <w:color w:val="auto"/>
                      <w:spacing w:val="-10"/>
                      <w:kern w:val="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2.对排查出的危库和病库以及风险评估有严重环境安全隐患的尾矿库，要求企业完善污染治理设施、进行治理和修复。全面整治历史遗留尾矿库，完善覆膜、压土、排洪、堤坝加固等隐患治理和闭库措施。</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3.依法推行农用地分类管理制度，强化受污染耕地安全利用和风险管控。因地制宜制定实施安全利用方案，鼓励采取种植结构调整等措施，确保受污染耕地全部实现安全利用。</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资源利用效率</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1.全面推进秸秆综合利用，鼓励秸秆资源化、饲料化、肥料化利用，推动秸秆还田与离田收集。</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2.减少化肥农药使用量，增加有机肥使用量，实现化肥农药使用量负增长。</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3.推广渠道防渗、管道输水、喷灌、微灌等节水灌溉技术，完善灌溉用水计量设施。推进规模化高效节水灌溉，推广农作物节水抗旱技术。建立灌区墒情测报网络，提高农业用水效率，降低农业用水比重。</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5</w:t>
            </w: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项目</w:t>
            </w:r>
            <w:r>
              <w:rPr>
                <w:rFonts w:hint="default" w:ascii="Times New Roman" w:hAnsi="Times New Roman" w:eastAsia="宋体" w:cs="Times New Roman"/>
                <w:b/>
                <w:color w:val="auto"/>
                <w:sz w:val="24"/>
                <w:szCs w:val="20"/>
                <w:highlight w:val="none"/>
              </w:rPr>
              <w:t>与《新疆维吾尔自治区七大片区“三线一单”生态环境分区管控要求》（新环环评发〔202</w:t>
            </w: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rPr>
              <w:t>〕1</w:t>
            </w:r>
            <w:r>
              <w:rPr>
                <w:rFonts w:hint="default" w:ascii="Times New Roman" w:hAnsi="Times New Roman" w:eastAsia="宋体" w:cs="Times New Roman"/>
                <w:b/>
                <w:color w:val="auto"/>
                <w:sz w:val="24"/>
                <w:szCs w:val="20"/>
                <w:highlight w:val="none"/>
                <w:lang w:val="en-US" w:eastAsia="zh-CN"/>
              </w:rPr>
              <w:t>62</w:t>
            </w:r>
            <w:r>
              <w:rPr>
                <w:rFonts w:hint="default" w:ascii="Times New Roman" w:hAnsi="Times New Roman" w:eastAsia="宋体" w:cs="Times New Roman"/>
                <w:b/>
                <w:color w:val="auto"/>
                <w:sz w:val="24"/>
                <w:szCs w:val="20"/>
                <w:highlight w:val="none"/>
              </w:rPr>
              <w:t>号）符合性分析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eastAsia" w:asci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与《新疆维吾尔自治区七大片区“三线一单”生态环境分区管控要求》符合性分析</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92"/>
              <w:gridCol w:w="415"/>
              <w:gridCol w:w="4327"/>
              <w:gridCol w:w="1710"/>
              <w:gridCol w:w="4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4"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《关于印发〈新疆维吾尔自治区七大片区“三线一单”生态环境分区管控要求〉的通知》（新政发〔2021〕162 号）</w:t>
                  </w:r>
                </w:p>
              </w:tc>
              <w:tc>
                <w:tcPr>
                  <w:tcW w:w="3156" w:type="pct"/>
                  <w:gridSpan w:val="2"/>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管控要求</w:t>
                  </w:r>
                </w:p>
              </w:tc>
              <w:tc>
                <w:tcPr>
                  <w:tcW w:w="1138"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本项目</w:t>
                  </w:r>
                </w:p>
              </w:tc>
              <w:tc>
                <w:tcPr>
                  <w:tcW w:w="310"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总体要求</w:t>
                  </w:r>
                </w:p>
              </w:tc>
              <w:tc>
                <w:tcPr>
                  <w:tcW w:w="2880"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污染物排放管控。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 散乱污”企业综合整治。优化区域交通运输结构，加快货物运输绿色转型，做好车油联合管控。以改善流域水环境质量为核心，强化源头控制，“一河（湖）一策”精准施治，减少水污染物排放，持续改善水环境质量。强化园区（工业集聚区）水污染防治，不断提高工业用水重复利用率。加快实施城镇污水处理设施提质增效，补齐生活污水收集和处理设施短板，提高再生水回用比例。持续推进农业农村污染防治。提升土壤环境监管能力，加强污染地块安全利用监管。强化工矿用地管理，严格建设用地土壤环境风险管控。加强农用地土壤污染源头控制，科学施用化肥农药，提高农膜回收率。</w:t>
                  </w:r>
                </w:p>
              </w:tc>
              <w:tc>
                <w:tcPr>
                  <w:tcW w:w="1138"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本项目不涉及火电、钢铁、表面涂装、燃煤锅炉；项目</w:t>
                  </w:r>
                  <w:r>
                    <w:rPr>
                      <w:rFonts w:hint="default" w:ascii="Times New Roman" w:hAnsi="Times New Roman" w:eastAsia="宋体" w:cs="Times New Roman"/>
                      <w:snapToGrid w:val="0"/>
                      <w:color w:val="auto"/>
                      <w:spacing w:val="0"/>
                      <w:kern w:val="0"/>
                      <w:sz w:val="21"/>
                      <w:szCs w:val="21"/>
                      <w:highlight w:val="none"/>
                      <w:lang w:bidi="ar"/>
                    </w:rPr>
                    <w:t>酸化压裂返排液在井场加碱中和后，暂存于废液收集罐，运至富源7环保处理站处置；生活污水经井场撬装式污水处理装置处理后，水质达到《农村生活污水处理排放标准》（DB6542</w:t>
                  </w:r>
                  <w:r>
                    <w:rPr>
                      <w:rFonts w:hint="eastAsia" w:ascii="Times New Roman" w:cs="Times New Roman"/>
                      <w:snapToGrid w:val="0"/>
                      <w:color w:val="auto"/>
                      <w:spacing w:val="0"/>
                      <w:kern w:val="0"/>
                      <w:sz w:val="21"/>
                      <w:szCs w:val="21"/>
                      <w:highlight w:val="none"/>
                      <w:lang w:val="en-US" w:eastAsia="zh-CN" w:bidi="ar"/>
                    </w:rPr>
                    <w:t xml:space="preserve"> </w:t>
                  </w:r>
                  <w:r>
                    <w:rPr>
                      <w:rFonts w:hint="default" w:ascii="Times New Roman" w:hAnsi="Times New Roman" w:eastAsia="宋体" w:cs="Times New Roman"/>
                      <w:snapToGrid w:val="0"/>
                      <w:color w:val="auto"/>
                      <w:spacing w:val="0"/>
                      <w:kern w:val="0"/>
                      <w:sz w:val="21"/>
                      <w:szCs w:val="21"/>
                      <w:highlight w:val="none"/>
                      <w:lang w:bidi="ar"/>
                    </w:rPr>
                    <w:t>75-2019）表2的</w:t>
                  </w:r>
                  <w:r>
                    <w:rPr>
                      <w:rFonts w:hint="default" w:ascii="Times New Roman" w:hAnsi="Times New Roman" w:eastAsia="宋体" w:cs="Times New Roman"/>
                      <w:snapToGrid w:val="0"/>
                      <w:color w:val="auto"/>
                      <w:spacing w:val="0"/>
                      <w:kern w:val="0"/>
                      <w:sz w:val="21"/>
                      <w:szCs w:val="21"/>
                      <w:highlight w:val="none"/>
                      <w:lang w:val="en-US" w:eastAsia="zh-CN" w:bidi="ar"/>
                    </w:rPr>
                    <w:t>B</w:t>
                  </w:r>
                  <w:r>
                    <w:rPr>
                      <w:rFonts w:hint="default" w:ascii="Times New Roman" w:hAnsi="Times New Roman" w:eastAsia="宋体" w:cs="Times New Roman"/>
                      <w:snapToGrid w:val="0"/>
                      <w:color w:val="auto"/>
                      <w:spacing w:val="0"/>
                      <w:kern w:val="0"/>
                      <w:sz w:val="21"/>
                      <w:szCs w:val="21"/>
                      <w:highlight w:val="none"/>
                      <w:lang w:bidi="ar"/>
                    </w:rPr>
                    <w:t>级标准，用于荒漠生态恢复；项目不涉及农业</w:t>
                  </w:r>
                  <w:r>
                    <w:rPr>
                      <w:rFonts w:hint="default" w:ascii="Times New Roman" w:hAnsi="Times New Roman" w:eastAsia="宋体" w:cs="Times New Roman"/>
                      <w:snapToGrid w:val="0"/>
                      <w:color w:val="auto"/>
                      <w:spacing w:val="0"/>
                      <w:kern w:val="0"/>
                      <w:sz w:val="21"/>
                      <w:szCs w:val="21"/>
                      <w:highlight w:val="none"/>
                      <w:lang w:eastAsia="zh-CN" w:bidi="ar"/>
                    </w:rPr>
                    <w:t>。</w:t>
                  </w:r>
                </w:p>
              </w:tc>
              <w:tc>
                <w:tcPr>
                  <w:tcW w:w="310"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val="en-US" w:eastAsia="zh-CN"/>
                    </w:rPr>
                  </w:pPr>
                  <w:r>
                    <w:rPr>
                      <w:rFonts w:hint="default" w:ascii="Times New Roman" w:hAnsi="Times New Roman" w:eastAsia="宋体" w:cs="Times New Roman"/>
                      <w:color w:val="auto"/>
                      <w:spacing w:val="-10"/>
                      <w:kern w:val="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restar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天山南坡片区总体管控要求</w:t>
                  </w: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切实保护托木尔峰和天山南坡中段冰雪水源及生物多样性保护生态功能区内的托木尔峰自然景观、高山冰川、野生动物、森林和草原，合理利用 天然草地，稳步推进草原减牧，加强保护区管理，维护自然景观和生物多样性。</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本项目不在托木尔峰和天山南坡中段冰雪水源及生物多样性保护生态功能区</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重点做好塔里木盆地北缘荒漠化防治。加强荒漠植被及河岸荒漠林保护，规范油气勘探开发作业，建立油田和公路扰动区域工程与生物相结合的防风固沙体系，逐步形成生态屏障。</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推进塔里木河流域用水结构调整，维护塔里木河、博斯腾湖基本生态用水。</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本项目不涉及塔里木河、博斯腾湖生态用水</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加强塔里木河流域水环境风险管控。加大博斯腾湖污染源头达标排放治理和监督力度，实施博斯腾湖综合治理。</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加强油</w:t>
                  </w:r>
                  <w:r>
                    <w:rPr>
                      <w:rFonts w:hint="default" w:ascii="Times New Roman" w:hAnsi="Times New Roman" w:eastAsia="宋体" w:cs="Times New Roman"/>
                      <w:snapToGrid w:val="0"/>
                      <w:color w:val="auto"/>
                      <w:spacing w:val="-10"/>
                      <w:kern w:val="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rPr>
                    <w:t>气</w:t>
                  </w:r>
                  <w:r>
                    <w:rPr>
                      <w:rFonts w:hint="default" w:ascii="Times New Roman" w:hAnsi="Times New Roman" w:eastAsia="宋体" w:cs="Times New Roman"/>
                      <w:snapToGrid w:val="0"/>
                      <w:color w:val="auto"/>
                      <w:spacing w:val="-10"/>
                      <w:kern w:val="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rPr>
                    <w:t>资源开发区土壤环境污染综合整治。强化涉重金属行业污染防控与工业废物处理处置。</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本项目不涉及重金属排放</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综上所述，本项目符合《新疆维吾尔自治区生态环境分区管控动态更新成果》</w:t>
            </w:r>
            <w:r>
              <w:rPr>
                <w:rFonts w:hint="default" w:ascii="Times New Roman" w:hAnsi="Times New Roman" w:eastAsia="宋体" w:cs="Times New Roman"/>
                <w:color w:val="auto"/>
                <w:kern w:val="0"/>
                <w:sz w:val="24"/>
                <w:szCs w:val="24"/>
                <w:highlight w:val="none"/>
              </w:rPr>
              <w:t>、新疆维吾尔自治区总体管控要求、巴音郭楞蒙古自治州总体管控要求、</w:t>
            </w:r>
            <w:r>
              <w:rPr>
                <w:rFonts w:hint="eastAsia" w:ascii="Times New Roman" w:cs="Times New Roman"/>
                <w:color w:val="auto"/>
                <w:kern w:val="0"/>
                <w:sz w:val="24"/>
                <w:szCs w:val="24"/>
                <w:highlight w:val="none"/>
                <w:lang w:val="en-US" w:eastAsia="zh-CN"/>
              </w:rPr>
              <w:t>且末县</w:t>
            </w:r>
            <w:r>
              <w:rPr>
                <w:rFonts w:hint="default" w:ascii="Times New Roman" w:hAnsi="Times New Roman" w:eastAsia="宋体" w:cs="Times New Roman"/>
                <w:color w:val="auto"/>
                <w:kern w:val="0"/>
                <w:sz w:val="24"/>
                <w:szCs w:val="24"/>
                <w:highlight w:val="none"/>
              </w:rPr>
              <w:t>环境管控单元准入清单、新疆维吾尔自治区七大片区“三线一单”生态环境分区管控要求中相关要求</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w:t>
            </w:r>
            <w:r>
              <w:rPr>
                <w:rFonts w:hint="eastAsia" w:ascii="Times New Roman" w:cs="Times New Roman"/>
                <w:b/>
                <w:bCs/>
                <w:color w:val="auto"/>
                <w:sz w:val="24"/>
                <w:szCs w:val="24"/>
                <w:highlight w:val="none"/>
                <w:lang w:val="en-US" w:eastAsia="zh-CN"/>
              </w:rPr>
              <w:t>项目</w:t>
            </w:r>
            <w:r>
              <w:rPr>
                <w:rFonts w:hint="default" w:ascii="Times New Roman" w:hAnsi="Times New Roman" w:eastAsia="宋体" w:cs="Times New Roman"/>
                <w:b/>
                <w:bCs/>
                <w:color w:val="auto"/>
                <w:sz w:val="24"/>
                <w:szCs w:val="24"/>
                <w:highlight w:val="none"/>
                <w:lang w:val="en-US" w:eastAsia="zh-CN"/>
              </w:rPr>
              <w:t>与《新疆生态环境保护“十四五”规划》符合性分析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本项目与《新疆生态环境保护“十四五”规划》的符合性分析见表1-7。</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1-7</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本项目与《新疆生态环境保护“十四五”规划》的符合性</w:t>
            </w:r>
          </w:p>
          <w:tbl>
            <w:tblPr>
              <w:tblStyle w:val="32"/>
              <w:tblW w:w="7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3"/>
              <w:gridCol w:w="3525"/>
              <w:gridCol w:w="2893"/>
              <w:gridCol w:w="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blHeader/>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序号</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文件要求</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项目实际</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3" w:hRule="atLeast"/>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加强重点行业VOCs治理。实施VOCs排放总量控制，重点推进石油天然气开采、石化、化工、包装印刷、工业涂装、油品储运销等重点行业排放源以及机动车等移动源VOCs污染防治，加强重点行业、重点企业的精细化管控；全面推进使用低VOCs含量涂料、油墨、胶粘剂、清洗剂等；加强汽修行业VOCs综合治理，加大餐饮油烟污染治理力度，持续削减VOCs排放量</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本工程为油气勘探项目，不属于重点行业。</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0" w:hRule="atLeast"/>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持续推进农用地分类管理和安全利用。严格保护优先保护类农用地，确保其面积不减少、土壤环境质量不下降。加强耕地污染源源头控制，推进耕地周边涉镉等重金属行业企业排查整治。鼓励采取种植结构调整等措施，确保受污染耕地全部实现安全利用。动态调整耕地土壤环境质量类别。</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本工程占地类型为</w:t>
                  </w:r>
                  <w:r>
                    <w:rPr>
                      <w:rFonts w:hint="eastAsia" w:ascii="Times New Roman" w:cs="Times New Roman"/>
                      <w:color w:val="auto"/>
                      <w:spacing w:val="0"/>
                      <w:sz w:val="21"/>
                      <w:szCs w:val="21"/>
                      <w:highlight w:val="none"/>
                      <w:lang w:val="en-US" w:eastAsia="zh-CN"/>
                    </w:rPr>
                    <w:t>沙地</w:t>
                  </w:r>
                  <w:r>
                    <w:rPr>
                      <w:rFonts w:hint="default" w:ascii="Times New Roman" w:hAnsi="Times New Roman" w:eastAsia="宋体" w:cs="Times New Roman"/>
                      <w:color w:val="auto"/>
                      <w:spacing w:val="0"/>
                      <w:sz w:val="21"/>
                      <w:szCs w:val="21"/>
                      <w:highlight w:val="none"/>
                      <w:lang w:val="en-US" w:eastAsia="zh-CN"/>
                    </w:rPr>
                    <w:t>，不占用农用地。</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3" w:hRule="atLeast"/>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强化危险废物全过程环境监管。建立健全各类危险废物重点监管单位清单，全面实行危险废物清单化管理。督促各类危险废物产生单位和经营单位依法申报危险废物产生处置情况，报备管理计划，做好信息公开工作，规范运行危险废物转移联单。</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本项目</w:t>
                  </w:r>
                  <w:r>
                    <w:rPr>
                      <w:rFonts w:hint="default" w:ascii="Times New Roman" w:hAnsi="Times New Roman" w:eastAsia="宋体" w:cs="Times New Roman"/>
                      <w:color w:val="auto"/>
                      <w:spacing w:val="0"/>
                      <w:sz w:val="21"/>
                      <w:szCs w:val="21"/>
                      <w:highlight w:val="none"/>
                    </w:rPr>
                    <w:t>沾油废物、废烧碱包装袋、废矿物油及其包装物暂存</w:t>
                  </w:r>
                  <w:r>
                    <w:rPr>
                      <w:rFonts w:hint="default" w:ascii="Times New Roman" w:hAnsi="Times New Roman" w:eastAsia="宋体" w:cs="Times New Roman"/>
                      <w:color w:val="auto"/>
                      <w:spacing w:val="0"/>
                      <w:sz w:val="21"/>
                      <w:szCs w:val="21"/>
                      <w:highlight w:val="none"/>
                      <w:lang w:val="en-US" w:eastAsia="zh-CN"/>
                    </w:rPr>
                    <w:t>于</w:t>
                  </w:r>
                  <w:r>
                    <w:rPr>
                      <w:rFonts w:hint="default" w:ascii="Times New Roman" w:hAnsi="Times New Roman" w:eastAsia="宋体" w:cs="Times New Roman"/>
                      <w:color w:val="auto"/>
                      <w:spacing w:val="0"/>
                      <w:sz w:val="21"/>
                      <w:szCs w:val="21"/>
                      <w:highlight w:val="none"/>
                    </w:rPr>
                    <w:t>危废间，委托有资质单位进行处理</w:t>
                  </w:r>
                  <w:r>
                    <w:rPr>
                      <w:rFonts w:hint="default" w:ascii="Times New Roman" w:hAnsi="Times New Roman" w:eastAsia="宋体" w:cs="Times New Roman"/>
                      <w:color w:val="auto"/>
                      <w:spacing w:val="-10"/>
                      <w:sz w:val="21"/>
                      <w:szCs w:val="21"/>
                      <w:highlight w:val="none"/>
                      <w:lang w:val="en-US" w:eastAsia="zh-CN"/>
                    </w:rPr>
                    <w:t>。</w:t>
                  </w:r>
                  <w:r>
                    <w:rPr>
                      <w:rFonts w:hint="default" w:ascii="Times New Roman" w:hAnsi="Times New Roman" w:eastAsia="宋体" w:cs="Times New Roman"/>
                      <w:color w:val="auto"/>
                      <w:spacing w:val="0"/>
                      <w:sz w:val="21"/>
                      <w:szCs w:val="21"/>
                      <w:highlight w:val="none"/>
                      <w:lang w:val="en-US" w:eastAsia="zh-CN"/>
                    </w:rPr>
                    <w:t>上述危险废物在井场暂存及转运过程中，严格执行《危险废物贮存污染控制标准》（GB18597-2023）相关要求，并严格按照《危险废物转移管理办法》（2021年11月30日生态环境部、公安部、交通运输部令第23号公布 自2022年1月1日起施行）、《危险废物管理计划和管理台账制定技术导则》（HJ 1259-2022）等相关要求制定危险废物管理台账，不会对周围环境造成污染影响。</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符合</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pacing w:val="-2"/>
                <w:sz w:val="24"/>
                <w:szCs w:val="24"/>
                <w:highlight w:val="none"/>
              </w:rPr>
            </w:pPr>
            <w:r>
              <w:rPr>
                <w:rFonts w:hint="default" w:ascii="Times New Roman" w:hAnsi="Times New Roman" w:eastAsia="宋体" w:cs="Times New Roman"/>
                <w:b/>
                <w:bCs/>
                <w:color w:val="auto"/>
                <w:sz w:val="24"/>
                <w:szCs w:val="24"/>
                <w:highlight w:val="none"/>
                <w:lang w:val="en-US" w:eastAsia="zh-CN"/>
              </w:rPr>
              <w:t>6、与</w:t>
            </w:r>
            <w:r>
              <w:rPr>
                <w:rFonts w:hint="default" w:ascii="Times New Roman" w:hAnsi="Times New Roman" w:eastAsia="宋体" w:cs="Times New Roman"/>
                <w:b/>
                <w:bCs/>
                <w:color w:val="auto"/>
                <w:spacing w:val="-2"/>
                <w:sz w:val="24"/>
                <w:szCs w:val="24"/>
                <w:highlight w:val="none"/>
              </w:rPr>
              <w:t>《巴音郭楞蒙古自治州生态环境“十四五”规划》符合性分析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pacing w:val="-2"/>
                <w:sz w:val="24"/>
                <w:szCs w:val="24"/>
                <w:highlight w:val="none"/>
                <w:lang w:eastAsia="zh-CN"/>
              </w:rPr>
            </w:pPr>
            <w:r>
              <w:rPr>
                <w:rFonts w:hint="default" w:ascii="Times New Roman" w:hAnsi="Times New Roman" w:eastAsia="宋体" w:cs="Times New Roman"/>
                <w:b/>
                <w:bCs/>
                <w:color w:val="auto"/>
                <w:sz w:val="24"/>
                <w:szCs w:val="24"/>
                <w:highlight w:val="none"/>
              </w:rPr>
              <w:t>表1-</w:t>
            </w: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 xml:space="preserve">    项目</w:t>
            </w:r>
            <w:r>
              <w:rPr>
                <w:rFonts w:hint="default" w:ascii="Times New Roman" w:hAnsi="Times New Roman" w:eastAsia="宋体" w:cs="Times New Roman"/>
                <w:b/>
                <w:bCs/>
                <w:color w:val="auto"/>
                <w:spacing w:val="-2"/>
                <w:sz w:val="24"/>
                <w:szCs w:val="24"/>
                <w:highlight w:val="none"/>
              </w:rPr>
              <w:t>与《巴音郭楞蒙古自治州生态环境“十四五”规划》符合性分析</w:t>
            </w:r>
            <w:r>
              <w:rPr>
                <w:rFonts w:hint="default" w:ascii="Times New Roman" w:hAnsi="Times New Roman" w:eastAsia="宋体" w:cs="Times New Roman"/>
                <w:b/>
                <w:bCs/>
                <w:color w:val="auto"/>
                <w:spacing w:val="-2"/>
                <w:sz w:val="24"/>
                <w:szCs w:val="24"/>
                <w:highlight w:val="none"/>
                <w:lang w:eastAsia="zh-CN"/>
              </w:rPr>
              <w:t>一览表</w:t>
            </w:r>
          </w:p>
          <w:tbl>
            <w:tblPr>
              <w:tblStyle w:val="32"/>
              <w:tblW w:w="7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79"/>
              <w:gridCol w:w="2448"/>
              <w:gridCol w:w="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0"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文件要求</w:t>
                  </w:r>
                </w:p>
              </w:tc>
              <w:tc>
                <w:tcPr>
                  <w:tcW w:w="1616"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项目情况</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7"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加强重点行业</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协同控制。深入实施《自治州重点行业挥发性有机物综合治理方案》，切实推进重点行业</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污染治理。重点推进石化、化工、包装印刷、工业涂装等重点行业以及机动车、油品储运销等交通源</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污染防治，加强芳香烃、烯烃、炔烃、醛类等活性强的</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排放控制，持续削减重点企业</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排放量。建立健全以改善环境空气质量为核心的</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污染防治管理体系，加强石化、煤化工、表面处理、印刷、油气储罐等重点排放行业的精细化管控，持续实施LARD治理。强化新增污染物排放控制，推进</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与NOx等的协同减排，改善环境空气质量。</w:t>
                  </w:r>
                </w:p>
              </w:tc>
              <w:tc>
                <w:tcPr>
                  <w:tcW w:w="1616" w:type="pct"/>
                  <w:noWrap w:val="0"/>
                  <w:vAlign w:val="center"/>
                </w:tcPr>
                <w:p>
                  <w:pPr>
                    <w:keepNext w:val="0"/>
                    <w:keepLines w:val="0"/>
                    <w:pageBreakBefore w:val="0"/>
                    <w:suppressLineNumbers w:val="0"/>
                    <w:kinsoku/>
                    <w:wordWrap/>
                    <w:overflowPunct/>
                    <w:topLinePunct w:val="0"/>
                    <w:autoSpaceDE/>
                    <w:autoSpaceDN/>
                    <w:bidi w:val="0"/>
                    <w:adjustRightInd w:val="0"/>
                    <w:spacing w:before="0" w:beforeAutospacing="0" w:after="0" w:afterAutospacing="0" w:line="0" w:lineRule="atLeast"/>
                    <w:ind w:left="0" w:right="0"/>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本工程仅测试放喷期间会排放少量</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，通过科学计算放喷时间，减少放喷过程中的</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w:t>
                  </w:r>
                  <w:r>
                    <w:rPr>
                      <w:rFonts w:hint="default" w:ascii="Times New Roman" w:hAnsi="Times New Roman" w:eastAsia="宋体" w:cs="Times New Roman"/>
                      <w:color w:val="auto"/>
                      <w:spacing w:val="0"/>
                      <w:sz w:val="21"/>
                      <w:szCs w:val="21"/>
                      <w:highlight w:val="none"/>
                      <w:lang w:val="zh-CN"/>
                    </w:rPr>
                    <w:t>，</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产生量小，且项目地处空旷区域，废气扩散条件好，对大气环境影响可接受</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b/>
                      <w:bCs/>
                      <w:color w:val="auto"/>
                      <w:spacing w:val="0"/>
                      <w:kern w:val="2"/>
                      <w:sz w:val="21"/>
                      <w:szCs w:val="21"/>
                      <w:highlight w:val="none"/>
                      <w:u w:val="none"/>
                      <w:lang w:val="en-US" w:eastAsia="zh-CN" w:bidi="ar-SA"/>
                    </w:rPr>
                  </w:pPr>
                  <w:r>
                    <w:rPr>
                      <w:rFonts w:hint="default" w:ascii="Times New Roman" w:hAnsi="Times New Roman" w:eastAsia="宋体" w:cs="Times New Roman"/>
                      <w:color w:val="auto"/>
                      <w:spacing w:val="0"/>
                      <w:sz w:val="21"/>
                      <w:szCs w:val="21"/>
                      <w:highlight w:val="none"/>
                    </w:rPr>
                    <w:t>有序实施建设用地风险管控和治理修复。推动全州重点行业企业用地土壤污染状况调查成果应用，提升土壤环境监管能力。严格落实建设用地土壤污染风险管控和修复名录制度。以用途变更为住宅、公共管理与公共服务用地的污染地块为重点，严格建设用地准入管理和风险管控。严控土壤重金属污染，加强油</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气</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田开发土壤污染防治，以历史遗留工业企业污染场地为重点，开展治理与修复工程。</w:t>
                  </w:r>
                </w:p>
              </w:tc>
              <w:tc>
                <w:tcPr>
                  <w:tcW w:w="1616" w:type="pct"/>
                  <w:noWrap w:val="0"/>
                  <w:vAlign w:val="center"/>
                </w:tcPr>
                <w:p>
                  <w:pPr>
                    <w:keepNext w:val="0"/>
                    <w:keepLines w:val="0"/>
                    <w:pageBreakBefore w:val="0"/>
                    <w:suppressLineNumbers w:val="0"/>
                    <w:kinsoku/>
                    <w:wordWrap/>
                    <w:overflowPunct/>
                    <w:topLinePunct w:val="0"/>
                    <w:autoSpaceDE/>
                    <w:autoSpaceDN/>
                    <w:bidi w:val="0"/>
                    <w:adjustRightInd w:val="0"/>
                    <w:spacing w:before="0" w:beforeAutospacing="0" w:after="0" w:afterAutospacing="0" w:line="0" w:lineRule="atLeast"/>
                    <w:ind w:left="0" w:right="0"/>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本项目废水、固废均妥善处置，并采取了严格的防渗</w:t>
                  </w:r>
                  <w:r>
                    <w:rPr>
                      <w:rFonts w:hint="eastAsia" w:ascii="Times New Roman" w:cs="Times New Roman"/>
                      <w:color w:val="auto"/>
                      <w:spacing w:val="0"/>
                      <w:sz w:val="21"/>
                      <w:szCs w:val="21"/>
                      <w:highlight w:val="none"/>
                      <w:lang w:eastAsia="zh-CN"/>
                    </w:rPr>
                    <w:t>措施防止</w:t>
                  </w:r>
                  <w:r>
                    <w:rPr>
                      <w:rFonts w:hint="default" w:ascii="Times New Roman" w:hAnsi="Times New Roman" w:eastAsia="宋体" w:cs="Times New Roman"/>
                      <w:color w:val="auto"/>
                      <w:spacing w:val="0"/>
                      <w:sz w:val="21"/>
                      <w:szCs w:val="21"/>
                      <w:highlight w:val="none"/>
                    </w:rPr>
                    <w:t>土壤和地下水的污染</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1"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kern w:val="2"/>
                      <w:sz w:val="21"/>
                      <w:szCs w:val="21"/>
                      <w:highlight w:val="none"/>
                      <w:u w:val="none"/>
                      <w:lang w:val="en-US" w:eastAsia="zh-CN" w:bidi="ar-SA"/>
                    </w:rPr>
                  </w:pPr>
                  <w:r>
                    <w:rPr>
                      <w:rFonts w:hint="default" w:ascii="Times New Roman" w:hAnsi="Times New Roman" w:eastAsia="宋体" w:cs="Times New Roman"/>
                      <w:color w:val="auto"/>
                      <w:spacing w:val="0"/>
                      <w:sz w:val="21"/>
                      <w:szCs w:val="21"/>
                      <w:highlight w:val="none"/>
                    </w:rPr>
                    <w:t>开展重点行业企业关闭搬迁企业场地土壤治理与修复工程、工业固体废物贮存场所土壤污染治理与修复工程、油气资源开发区污染场地治理与修复工程、生活垃圾填埋场土壤污染治理工程、历史遗留尾矿库治理与修复工程等。</w:t>
                  </w:r>
                </w:p>
              </w:tc>
              <w:tc>
                <w:tcPr>
                  <w:tcW w:w="1616"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测试过程中安装钻采一体化井口装置，完井后，当井没有开采价值时，用水泥固封，同时用铁质保护罩保护井口装置，其余设施将拆除、搬迁。钻井液材料将全部进行回收，不得遗弃在井场；</w:t>
                  </w:r>
                  <w:r>
                    <w:rPr>
                      <w:rFonts w:hint="default" w:ascii="Times New Roman" w:hAnsi="Times New Roman" w:eastAsia="宋体" w:cs="Times New Roman"/>
                      <w:color w:val="auto"/>
                      <w:spacing w:val="0"/>
                      <w:sz w:val="21"/>
                      <w:szCs w:val="21"/>
                      <w:highlight w:val="none"/>
                      <w:lang w:val="en-US" w:eastAsia="zh-CN"/>
                    </w:rPr>
                    <w:t>对</w:t>
                  </w:r>
                  <w:r>
                    <w:rPr>
                      <w:rFonts w:hint="default" w:ascii="Times New Roman" w:hAnsi="Times New Roman" w:eastAsia="宋体" w:cs="Times New Roman"/>
                      <w:color w:val="auto"/>
                      <w:spacing w:val="0"/>
                      <w:sz w:val="21"/>
                      <w:szCs w:val="21"/>
                      <w:highlight w:val="none"/>
                    </w:rPr>
                    <w:t>钻井过程中产生的废弃物进行清理。施工单位负责做到工完、料净、场地清，临时占地恢复，场地平整，植被自然恢复</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56"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auto"/>
                <w:spacing w:val="-6"/>
                <w:kern w:val="2"/>
                <w:sz w:val="24"/>
                <w:szCs w:val="20"/>
                <w:highlight w:val="none"/>
                <w:lang w:val="en-US" w:eastAsia="zh-CN" w:bidi="ar-SA"/>
              </w:rPr>
              <w:t>综上所述，本项目符合《巴音郭楞蒙古自治州生态环境“十四五”规划》要求。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7、与其他相关规范符合性分析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表1-9    相关生态环境保护法律法规政策符合性分析一览表</w:t>
            </w:r>
          </w:p>
          <w:tbl>
            <w:tblPr>
              <w:tblStyle w:val="32"/>
              <w:tblW w:w="75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023"/>
              <w:gridCol w:w="585"/>
              <w:gridCol w:w="2790"/>
              <w:gridCol w:w="2475"/>
              <w:gridCol w:w="7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文件名称</w:t>
                  </w:r>
                </w:p>
              </w:tc>
              <w:tc>
                <w:tcPr>
                  <w:tcW w:w="3375" w:type="dxa"/>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文件要求</w:t>
                  </w:r>
                </w:p>
              </w:tc>
              <w:tc>
                <w:tcPr>
                  <w:tcW w:w="247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本项目</w:t>
                  </w:r>
                </w:p>
              </w:tc>
              <w:tc>
                <w:tcPr>
                  <w:tcW w:w="71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480"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《中华人民共和国防沙治沙法》</w:t>
                  </w:r>
                </w:p>
              </w:tc>
              <w:tc>
                <w:tcPr>
                  <w:tcW w:w="3375" w:type="dxa"/>
                  <w:gridSpan w:val="2"/>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rightChars="0"/>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沙化土地所在地区的县级以上人民政府应当加强防沙治沙</w:t>
                  </w:r>
                  <w:r>
                    <w:rPr>
                      <w:rFonts w:hint="default" w:ascii="Times New Roman" w:hAnsi="Times New Roman" w:eastAsia="宋体" w:cs="Times New Roman"/>
                      <w:snapToGrid w:val="0"/>
                      <w:color w:val="auto"/>
                      <w:spacing w:val="-10"/>
                      <w:kern w:val="0"/>
                      <w:sz w:val="21"/>
                      <w:szCs w:val="21"/>
                      <w:highlight w:val="none"/>
                    </w:rPr>
                    <w:t>规</w:t>
                  </w:r>
                  <w:r>
                    <w:rPr>
                      <w:rFonts w:hint="default" w:ascii="Times New Roman" w:hAnsi="Times New Roman" w:eastAsia="宋体" w:cs="Times New Roman"/>
                      <w:color w:val="auto"/>
                      <w:spacing w:val="-10"/>
                      <w:sz w:val="21"/>
                      <w:szCs w:val="21"/>
                      <w:highlight w:val="none"/>
                    </w:rPr>
                    <w:t>划的组织实施工作，定期对规划的实施情况进行检查和评估</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根据</w:t>
                  </w:r>
                  <w:r>
                    <w:rPr>
                      <w:rFonts w:hint="default" w:ascii="Times New Roman" w:hAnsi="Times New Roman" w:eastAsia="宋体" w:cs="Times New Roman"/>
                      <w:bCs/>
                      <w:color w:val="auto"/>
                      <w:sz w:val="21"/>
                      <w:szCs w:val="21"/>
                      <w:highlight w:val="none"/>
                      <w:lang w:val="en-US" w:eastAsia="zh-CN"/>
                    </w:rPr>
                    <w:t>《新疆维吾尔自治区防沙治沙规划》（2021-2030年），本项目所在区域属于“塔克拉玛干沙漠生态保护修复区”中的“塔克拉玛干沙漠中部封育保育小区”</w:t>
                  </w:r>
                  <w:r>
                    <w:rPr>
                      <w:rFonts w:hint="default" w:ascii="Times New Roman" w:hAnsi="Times New Roman" w:eastAsia="宋体" w:cs="Times New Roman"/>
                      <w:color w:val="auto"/>
                      <w:sz w:val="21"/>
                      <w:szCs w:val="21"/>
                      <w:highlight w:val="none"/>
                    </w:rPr>
                    <w:t>定期对规划情况进行了检查和评估</w:t>
                  </w:r>
                  <w:r>
                    <w:rPr>
                      <w:rFonts w:hint="default" w:ascii="Times New Roman" w:hAnsi="Times New Roman" w:eastAsia="宋体" w:cs="Times New Roman"/>
                      <w:color w:val="auto"/>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沙化土地治理应当坚持统筹森林、草原、湿地、荒漠生态系统</w:t>
                  </w:r>
                  <w:r>
                    <w:rPr>
                      <w:rFonts w:hint="default" w:ascii="Times New Roman" w:hAnsi="Times New Roman" w:eastAsia="宋体" w:cs="Times New Roman"/>
                      <w:snapToGrid w:val="0"/>
                      <w:color w:val="auto"/>
                      <w:spacing w:val="-10"/>
                      <w:kern w:val="0"/>
                      <w:sz w:val="21"/>
                      <w:szCs w:val="21"/>
                      <w:highlight w:val="none"/>
                    </w:rPr>
                    <w:t>保护</w:t>
                  </w:r>
                  <w:r>
                    <w:rPr>
                      <w:rFonts w:hint="default" w:ascii="Times New Roman" w:hAnsi="Times New Roman" w:eastAsia="宋体" w:cs="Times New Roman"/>
                      <w:color w:val="auto"/>
                      <w:spacing w:val="-10"/>
                      <w:sz w:val="21"/>
                      <w:szCs w:val="21"/>
                      <w:highlight w:val="none"/>
                    </w:rPr>
                    <w:t>，以沙漠、戈壁边缘及绿洲、流域、山系等为防治单元，实施固定半固定沙漠提升工程；对规划重点治理的沙化土地，因地制宜采取工程和生物相结合的措施，科学配置林草植物类型和密度，提升生态系统质量和稳定性</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本项目施工期间应划定施工活动范围，严格控制和管理运输车辆及重型机械的运行</w:t>
                  </w:r>
                  <w:r>
                    <w:rPr>
                      <w:rFonts w:hint="default" w:ascii="Times New Roman" w:hAnsi="Times New Roman" w:eastAsia="宋体" w:cs="Times New Roman"/>
                      <w:color w:val="auto"/>
                      <w:sz w:val="21"/>
                      <w:szCs w:val="21"/>
                      <w:highlight w:val="none"/>
                      <w:lang w:val="en-GB"/>
                    </w:rPr>
                    <w:t>线路和范围，不得离开运输</w:t>
                  </w:r>
                  <w:r>
                    <w:rPr>
                      <w:rFonts w:hint="eastAsia" w:ascii="Times New Roman" w:cs="Times New Roman"/>
                      <w:color w:val="auto"/>
                      <w:sz w:val="21"/>
                      <w:szCs w:val="21"/>
                      <w:highlight w:val="none"/>
                      <w:lang w:val="en-GB" w:eastAsia="zh-CN"/>
                    </w:rPr>
                    <w:t>道路</w:t>
                  </w:r>
                  <w:r>
                    <w:rPr>
                      <w:rFonts w:hint="default" w:ascii="Times New Roman" w:hAnsi="Times New Roman" w:eastAsia="宋体" w:cs="Times New Roman"/>
                      <w:color w:val="auto"/>
                      <w:sz w:val="21"/>
                      <w:szCs w:val="21"/>
                      <w:highlight w:val="none"/>
                      <w:lang w:val="en-GB"/>
                    </w:rPr>
                    <w:t>随意行驶，由专人</w:t>
                  </w:r>
                  <w:r>
                    <w:rPr>
                      <w:rFonts w:hint="default" w:ascii="Times New Roman" w:hAnsi="Times New Roman" w:eastAsia="宋体" w:cs="Times New Roman"/>
                      <w:snapToGrid w:val="0"/>
                      <w:color w:val="auto"/>
                      <w:spacing w:val="-10"/>
                      <w:kern w:val="0"/>
                      <w:sz w:val="21"/>
                      <w:szCs w:val="21"/>
                      <w:highlight w:val="none"/>
                      <w:lang w:val="en-GB"/>
                    </w:rPr>
                    <w:t>负责</w:t>
                  </w:r>
                  <w:r>
                    <w:rPr>
                      <w:rFonts w:hint="default" w:ascii="Times New Roman" w:hAnsi="Times New Roman" w:eastAsia="宋体" w:cs="Times New Roman"/>
                      <w:color w:val="auto"/>
                      <w:sz w:val="21"/>
                      <w:szCs w:val="21"/>
                      <w:highlight w:val="none"/>
                      <w:lang w:val="en-GB"/>
                    </w:rPr>
                    <w:t>，以防破坏土壤和植被，使土地沙化；</w:t>
                  </w:r>
                  <w:r>
                    <w:rPr>
                      <w:rFonts w:hint="default" w:ascii="Times New Roman" w:hAnsi="Times New Roman" w:eastAsia="宋体" w:cs="Times New Roman"/>
                      <w:color w:val="auto"/>
                      <w:sz w:val="21"/>
                      <w:szCs w:val="21"/>
                      <w:highlight w:val="none"/>
                    </w:rPr>
                    <w:t>进场道路、井场砾石覆盖；</w:t>
                  </w:r>
                  <w:r>
                    <w:rPr>
                      <w:rFonts w:hint="eastAsia" w:ascii="Times New Roman" w:cs="Times New Roman"/>
                      <w:color w:val="auto"/>
                      <w:sz w:val="21"/>
                      <w:szCs w:val="21"/>
                      <w:highlight w:val="none"/>
                      <w:lang w:eastAsia="zh-CN"/>
                    </w:rPr>
                    <w:t>在井场</w:t>
                  </w:r>
                  <w:r>
                    <w:rPr>
                      <w:rFonts w:hint="default" w:ascii="Times New Roman" w:hAnsi="Times New Roman" w:eastAsia="宋体" w:cs="Times New Roman"/>
                      <w:color w:val="auto"/>
                      <w:sz w:val="21"/>
                      <w:szCs w:val="21"/>
                      <w:highlight w:val="none"/>
                    </w:rPr>
                    <w:t>四周、道路两侧</w:t>
                  </w:r>
                  <w:r>
                    <w:rPr>
                      <w:rFonts w:hint="eastAsia" w:ascii="Times New Roman" w:cs="Times New Roman"/>
                      <w:color w:val="auto"/>
                      <w:sz w:val="21"/>
                      <w:szCs w:val="21"/>
                      <w:highlight w:val="none"/>
                      <w:lang w:eastAsia="zh-CN"/>
                    </w:rPr>
                    <w:t>设置</w:t>
                  </w:r>
                  <w:r>
                    <w:rPr>
                      <w:rFonts w:hint="default" w:ascii="Times New Roman" w:hAnsi="Times New Roman" w:eastAsia="宋体" w:cs="Times New Roman"/>
                      <w:color w:val="auto"/>
                      <w:sz w:val="21"/>
                      <w:szCs w:val="21"/>
                      <w:highlight w:val="none"/>
                    </w:rPr>
                    <w:t>草方格</w:t>
                  </w:r>
                  <w:r>
                    <w:rPr>
                      <w:rFonts w:hint="default" w:ascii="Times New Roman" w:hAnsi="Times New Roman" w:eastAsia="宋体" w:cs="Times New Roman"/>
                      <w:color w:val="auto"/>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sz w:val="21"/>
                      <w:szCs w:val="21"/>
                      <w:highlight w:val="none"/>
                    </w:rPr>
                    <w:t>国务院关于印发《空气质量持续改善行动计划》的通知</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国发</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2023</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24 号</w:t>
                  </w:r>
                  <w:r>
                    <w:rPr>
                      <w:rFonts w:hint="default" w:ascii="Times New Roman" w:hAnsi="Times New Roman" w:eastAsia="宋体" w:cs="Times New Roman"/>
                      <w:color w:val="auto"/>
                      <w:spacing w:val="-10"/>
                      <w:sz w:val="21"/>
                      <w:szCs w:val="21"/>
                      <w:highlight w:val="none"/>
                      <w:lang w:eastAsia="zh-CN"/>
                    </w:rPr>
                    <w:t>）</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本项目不属于高耗能、高排放、低水平项目；严格落实了国家产业规划、产业政策、生态环境分区管控方案、规划环评、项目环评等相关要求，采取清洁运输方式</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推进矿山生态环境综合整治。新建矿山原则上要同步建设铁路专用线或采用其他清洁运输方式。到2025年，京津冀及周边地区原则上不再新建露天矿山</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省级矿产资源规划确定的重点开采区或经安全论证不宜采用地下开采方式的除外</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。对限期整改仍不达标的矿山，根据安全生产、水土保持、生态环境等要求依法关闭。</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后期根据景观相似原则，对探矿活动造成的土壤、植被和地表景观破坏进行恢复，恢复至原貌</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4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强化VOC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全流程、全环节综合治理。鼓励储罐使用低泄漏的呼吸阀、紧急泄压阀，定期开展密封性检测。</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本项目仅测试放喷期间会排放少量VOC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，通过科学计算放喷时间，减少放喷过程中的VOC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w:t>
                  </w:r>
                  <w:r>
                    <w:rPr>
                      <w:rFonts w:hint="default" w:ascii="Times New Roman" w:hAnsi="Times New Roman" w:eastAsia="宋体" w:cs="Times New Roman"/>
                      <w:color w:val="auto"/>
                      <w:spacing w:val="-10"/>
                      <w:sz w:val="21"/>
                      <w:szCs w:val="21"/>
                      <w:highlight w:val="none"/>
                      <w:lang w:val="zh-CN"/>
                    </w:rPr>
                    <w:t>，</w:t>
                  </w:r>
                  <w:r>
                    <w:rPr>
                      <w:rFonts w:hint="default" w:ascii="Times New Roman" w:hAnsi="Times New Roman" w:eastAsia="宋体" w:cs="Times New Roman"/>
                      <w:color w:val="auto"/>
                      <w:spacing w:val="-10"/>
                      <w:sz w:val="21"/>
                      <w:szCs w:val="21"/>
                      <w:highlight w:val="none"/>
                    </w:rPr>
                    <w:t>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产生量小，且项目地处空旷区域，废气扩散条件好，对周围大气环境影响可接受</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实施城市空气质量达标管理。空气质量未达标的直辖市和设区的市编制实施大气环境质量限期达标规划，明确达标路线图及重点任务，并向社会公开。推进PM</w:t>
                  </w:r>
                  <w:r>
                    <w:rPr>
                      <w:rFonts w:hint="default" w:ascii="Times New Roman" w:hAnsi="Times New Roman" w:eastAsia="宋体" w:cs="Times New Roman"/>
                      <w:color w:val="auto"/>
                      <w:spacing w:val="-10"/>
                      <w:sz w:val="21"/>
                      <w:szCs w:val="21"/>
                      <w:highlight w:val="none"/>
                      <w:vertAlign w:val="subscript"/>
                    </w:rPr>
                    <w:t>2.5</w:t>
                  </w:r>
                  <w:r>
                    <w:rPr>
                      <w:rFonts w:hint="default" w:ascii="Times New Roman" w:hAnsi="Times New Roman" w:eastAsia="宋体" w:cs="Times New Roman"/>
                      <w:color w:val="auto"/>
                      <w:spacing w:val="-10"/>
                      <w:sz w:val="21"/>
                      <w:szCs w:val="21"/>
                      <w:highlight w:val="none"/>
                    </w:rPr>
                    <w:t>和臭氧协同控制。2020年PM</w:t>
                  </w:r>
                  <w:r>
                    <w:rPr>
                      <w:rFonts w:hint="default" w:ascii="Times New Roman" w:hAnsi="Times New Roman" w:eastAsia="宋体" w:cs="Times New Roman"/>
                      <w:color w:val="auto"/>
                      <w:spacing w:val="-10"/>
                      <w:sz w:val="21"/>
                      <w:szCs w:val="21"/>
                      <w:highlight w:val="none"/>
                      <w:vertAlign w:val="subscript"/>
                    </w:rPr>
                    <w:t>2.5</w:t>
                  </w:r>
                  <w:r>
                    <w:rPr>
                      <w:rFonts w:hint="default" w:ascii="Times New Roman" w:hAnsi="Times New Roman" w:eastAsia="宋体" w:cs="Times New Roman"/>
                      <w:color w:val="auto"/>
                      <w:spacing w:val="-10"/>
                      <w:sz w:val="21"/>
                      <w:szCs w:val="21"/>
                      <w:highlight w:val="none"/>
                    </w:rPr>
                    <w:t>浓度低于40微克/立方米的未达标城市“十四五”期间实现达标；其他未达标城市明确“十四五”空气质量改善阶段目标。已达标城市巩固改善空气质量。</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本项目所在区域属于PM</w:t>
                  </w:r>
                  <w:r>
                    <w:rPr>
                      <w:rFonts w:hint="default" w:ascii="Times New Roman" w:hAnsi="Times New Roman" w:eastAsia="宋体" w:cs="Times New Roman"/>
                      <w:color w:val="auto"/>
                      <w:spacing w:val="-10"/>
                      <w:sz w:val="21"/>
                      <w:szCs w:val="21"/>
                      <w:highlight w:val="none"/>
                      <w:vertAlign w:val="subscript"/>
                    </w:rPr>
                    <w:t>10</w:t>
                  </w:r>
                  <w:r>
                    <w:rPr>
                      <w:rFonts w:hint="default" w:ascii="Times New Roman" w:hAnsi="Times New Roman" w:eastAsia="宋体" w:cs="Times New Roman"/>
                      <w:color w:val="auto"/>
                      <w:spacing w:val="-10"/>
                      <w:sz w:val="21"/>
                      <w:szCs w:val="21"/>
                      <w:highlight w:val="none"/>
                    </w:rPr>
                    <w:t>年平均浓度不达标城市，根据</w:t>
                  </w:r>
                  <w:r>
                    <w:rPr>
                      <w:rFonts w:hint="default" w:ascii="Times New Roman" w:hAnsi="Times New Roman" w:eastAsia="宋体" w:cs="Times New Roman"/>
                      <w:color w:val="auto"/>
                      <w:spacing w:val="-10"/>
                      <w:sz w:val="21"/>
                      <w:szCs w:val="21"/>
                      <w:highlight w:val="none"/>
                      <w:lang w:val="en-US" w:eastAsia="zh-CN"/>
                    </w:rPr>
                    <w:t>《关于将巴音郭楞蒙古自治州、吐鲁番市、哈密市纳入执行〈环境影响评价技术导则 大气环境（HJ 2.2—2018）〉差别化政策范围的复函》（环办环评函〔2020〕341号）</w:t>
                  </w:r>
                  <w:r>
                    <w:rPr>
                      <w:rFonts w:hint="default" w:ascii="Times New Roman" w:hAnsi="Times New Roman" w:eastAsia="宋体" w:cs="Times New Roman"/>
                      <w:color w:val="auto"/>
                      <w:spacing w:val="-10"/>
                      <w:sz w:val="21"/>
                      <w:szCs w:val="21"/>
                      <w:highlight w:val="none"/>
                    </w:rPr>
                    <w:t>要求</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对巴州实行环境影响评价差别化政策，</w:t>
                  </w:r>
                  <w:r>
                    <w:rPr>
                      <w:rFonts w:hint="default" w:ascii="Times New Roman" w:hAnsi="Times New Roman" w:eastAsia="宋体" w:cs="Times New Roman"/>
                      <w:color w:val="auto"/>
                      <w:spacing w:val="-10"/>
                      <w:sz w:val="21"/>
                      <w:szCs w:val="21"/>
                      <w:highlight w:val="none"/>
                      <w:lang w:val="en-US" w:eastAsia="zh-CN"/>
                    </w:rPr>
                    <w:t>新建项目可不提供颗粒物区域削减方案。</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《新疆维吾尔自治区2025年空气质量持续改善行动实施方案》（新政办发〔2024〕58 号）</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坚决遏制高耗能、高排放、低水平项目盲目上马。新改扩建项目严格落实国家和自治区产业规划、产业政策、生态</w:t>
                  </w:r>
                  <w:r>
                    <w:rPr>
                      <w:rFonts w:hint="default" w:ascii="Times New Roman" w:hAnsi="Times New Roman" w:eastAsia="宋体" w:cs="Times New Roman"/>
                      <w:snapToGrid w:val="0"/>
                      <w:color w:val="auto"/>
                      <w:spacing w:val="-10"/>
                      <w:kern w:val="0"/>
                      <w:sz w:val="21"/>
                      <w:szCs w:val="21"/>
                      <w:highlight w:val="none"/>
                    </w:rPr>
                    <w:t>环境</w:t>
                  </w:r>
                  <w:r>
                    <w:rPr>
                      <w:rFonts w:hint="default" w:ascii="Times New Roman" w:hAnsi="Times New Roman" w:eastAsia="宋体" w:cs="Times New Roman"/>
                      <w:color w:val="auto"/>
                      <w:spacing w:val="-10"/>
                      <w:kern w:val="0"/>
                      <w:sz w:val="21"/>
                      <w:szCs w:val="21"/>
                      <w:highlight w:val="none"/>
                    </w:rPr>
                    <w:t>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本项目不属于</w:t>
                  </w:r>
                  <w:r>
                    <w:rPr>
                      <w:rFonts w:hint="default" w:ascii="Times New Roman" w:hAnsi="Times New Roman" w:eastAsia="宋体" w:cs="Times New Roman"/>
                      <w:color w:val="auto"/>
                      <w:spacing w:val="-10"/>
                      <w:kern w:val="0"/>
                      <w:sz w:val="21"/>
                      <w:szCs w:val="21"/>
                      <w:highlight w:val="none"/>
                    </w:rPr>
                    <w:t>“高耗能、高排放、低水平”</w:t>
                  </w:r>
                  <w:r>
                    <w:rPr>
                      <w:rFonts w:hint="default" w:ascii="Times New Roman" w:hAnsi="Times New Roman" w:eastAsia="宋体" w:cs="Times New Roman"/>
                      <w:snapToGrid w:val="0"/>
                      <w:color w:val="auto"/>
                      <w:spacing w:val="-10"/>
                      <w:kern w:val="0"/>
                      <w:sz w:val="21"/>
                      <w:szCs w:val="21"/>
                      <w:highlight w:val="none"/>
                    </w:rPr>
                    <w:t>项目</w:t>
                  </w:r>
                  <w:r>
                    <w:rPr>
                      <w:rFonts w:hint="default" w:ascii="Times New Roman" w:hAnsi="Times New Roman" w:eastAsia="宋体" w:cs="Times New Roman"/>
                      <w:color w:val="auto"/>
                      <w:spacing w:val="-10"/>
                      <w:kern w:val="0"/>
                      <w:sz w:val="21"/>
                      <w:szCs w:val="21"/>
                      <w:highlight w:val="none"/>
                    </w:rPr>
                    <w:t>；严格落实了国家产业规划、产业政策、生态环境分区管控方案、规划环评、项目环评等相关要求，采取清洁运输方式</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退出重点行业落后产能。严格执行《产业结构调整指导目录》，依法依规淘汰落后产能。联防联控区进一步提高落后产能能耗、环保、质量、安全、技术等要求，逐步退出限制类涉气行业工艺和装备。提升工业重点领域产能能效标杆水平，到2025年，重点行业能效标杆水平产能比例力争达到30%，能效基准水平以下产能基本清零。联防联控区淘汰炭化室高度4.3米及以下焦炉。</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本项目属于油气勘探钻井工程，属于《产业结构调整指导目录（2024年本）》（国家</w:t>
                  </w:r>
                  <w:r>
                    <w:rPr>
                      <w:rFonts w:hint="default" w:ascii="Times New Roman" w:hAnsi="Times New Roman" w:eastAsia="宋体" w:cs="Times New Roman"/>
                      <w:snapToGrid w:val="0"/>
                      <w:color w:val="auto"/>
                      <w:spacing w:val="-10"/>
                      <w:kern w:val="0"/>
                      <w:sz w:val="21"/>
                      <w:szCs w:val="21"/>
                      <w:highlight w:val="none"/>
                    </w:rPr>
                    <w:t>发展</w:t>
                  </w:r>
                  <w:r>
                    <w:rPr>
                      <w:rFonts w:hint="default" w:ascii="Times New Roman" w:hAnsi="Times New Roman" w:eastAsia="宋体" w:cs="Times New Roman"/>
                      <w:color w:val="auto"/>
                      <w:spacing w:val="-10"/>
                      <w:kern w:val="0"/>
                      <w:sz w:val="21"/>
                      <w:szCs w:val="21"/>
                      <w:highlight w:val="none"/>
                    </w:rPr>
                    <w:t>改革委令2023年第7号）中的鼓励类项目；不属于《市场准入负面清单（202</w:t>
                  </w:r>
                  <w:r>
                    <w:rPr>
                      <w:rFonts w:hint="default" w:ascii="Times New Roman" w:hAnsi="Times New Roman" w:eastAsia="宋体" w:cs="Times New Roman"/>
                      <w:color w:val="auto"/>
                      <w:spacing w:val="-10"/>
                      <w:kern w:val="0"/>
                      <w:sz w:val="21"/>
                      <w:szCs w:val="21"/>
                      <w:highlight w:val="none"/>
                      <w:lang w:val="en-US" w:eastAsia="zh-CN"/>
                    </w:rPr>
                    <w:t>5</w:t>
                  </w:r>
                  <w:r>
                    <w:rPr>
                      <w:rFonts w:hint="default" w:ascii="Times New Roman" w:hAnsi="Times New Roman" w:eastAsia="宋体" w:cs="Times New Roman"/>
                      <w:color w:val="auto"/>
                      <w:spacing w:val="-10"/>
                      <w:kern w:val="0"/>
                      <w:sz w:val="21"/>
                      <w:szCs w:val="21"/>
                      <w:highlight w:val="none"/>
                    </w:rPr>
                    <w:t>年版）》（发改体改规〔202</w:t>
                  </w:r>
                  <w:r>
                    <w:rPr>
                      <w:rFonts w:hint="default" w:ascii="Times New Roman" w:hAnsi="Times New Roman" w:eastAsia="宋体" w:cs="Times New Roman"/>
                      <w:color w:val="auto"/>
                      <w:spacing w:val="-10"/>
                      <w:kern w:val="0"/>
                      <w:sz w:val="21"/>
                      <w:szCs w:val="21"/>
                      <w:highlight w:val="none"/>
                      <w:lang w:val="en-US" w:eastAsia="zh-CN"/>
                    </w:rPr>
                    <w:t>5</w:t>
                  </w: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466</w:t>
                  </w:r>
                  <w:r>
                    <w:rPr>
                      <w:rFonts w:hint="default" w:ascii="Times New Roman" w:hAnsi="Times New Roman" w:eastAsia="宋体" w:cs="Times New Roman"/>
                      <w:color w:val="auto"/>
                      <w:spacing w:val="-10"/>
                      <w:kern w:val="0"/>
                      <w:sz w:val="21"/>
                      <w:szCs w:val="21"/>
                      <w:highlight w:val="none"/>
                    </w:rPr>
                    <w:t>号）</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eastAsia="zh-CN"/>
                    </w:rPr>
                    <w:t>禁止</w:t>
                  </w:r>
                  <w:r>
                    <w:rPr>
                      <w:rFonts w:hint="default" w:ascii="Times New Roman" w:hAnsi="Times New Roman" w:eastAsia="宋体" w:cs="Times New Roman"/>
                      <w:color w:val="auto"/>
                      <w:spacing w:val="-10"/>
                      <w:kern w:val="0"/>
                      <w:sz w:val="21"/>
                      <w:szCs w:val="21"/>
                      <w:highlight w:val="none"/>
                    </w:rPr>
                    <w:t>准入类项目</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推进矿山生态环境综合整治。根据安全生产、水土保持、生态环境等要求，新建矿山按照绿色矿山标准规划、</w:t>
                  </w:r>
                  <w:r>
                    <w:rPr>
                      <w:rFonts w:hint="default" w:ascii="Times New Roman" w:hAnsi="Times New Roman" w:eastAsia="宋体" w:cs="Times New Roman"/>
                      <w:snapToGrid w:val="0"/>
                      <w:color w:val="auto"/>
                      <w:spacing w:val="-10"/>
                      <w:kern w:val="0"/>
                      <w:sz w:val="21"/>
                      <w:szCs w:val="21"/>
                      <w:highlight w:val="none"/>
                    </w:rPr>
                    <w:t>设计</w:t>
                  </w:r>
                  <w:r>
                    <w:rPr>
                      <w:rFonts w:hint="default" w:ascii="Times New Roman" w:hAnsi="Times New Roman" w:eastAsia="宋体" w:cs="Times New Roman"/>
                      <w:color w:val="auto"/>
                      <w:spacing w:val="-10"/>
                      <w:kern w:val="0"/>
                      <w:sz w:val="21"/>
                      <w:szCs w:val="21"/>
                      <w:highlight w:val="none"/>
                    </w:rPr>
                    <w:t>、建设和运行管理，鼓励同步建设铁路专用线或采用其他清洁运输方式；推进生产矿山绿色矿山建设，依法关闭限期整改仍不达标矿山。沙化土地范围内矿产资源开发建设项目加强防沙治沙工作。</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后期根据景观相似原则，对探矿活动造成的土壤、植被和</w:t>
                  </w:r>
                  <w:r>
                    <w:rPr>
                      <w:rFonts w:hint="default" w:ascii="Times New Roman" w:hAnsi="Times New Roman" w:eastAsia="宋体" w:cs="Times New Roman"/>
                      <w:snapToGrid w:val="0"/>
                      <w:color w:val="auto"/>
                      <w:spacing w:val="-10"/>
                      <w:kern w:val="0"/>
                      <w:sz w:val="21"/>
                      <w:szCs w:val="21"/>
                      <w:highlight w:val="none"/>
                    </w:rPr>
                    <w:t>地表</w:t>
                  </w:r>
                  <w:r>
                    <w:rPr>
                      <w:rFonts w:hint="default" w:ascii="Times New Roman" w:hAnsi="Times New Roman" w:eastAsia="宋体" w:cs="Times New Roman"/>
                      <w:color w:val="auto"/>
                      <w:spacing w:val="-10"/>
                      <w:sz w:val="21"/>
                      <w:szCs w:val="21"/>
                      <w:highlight w:val="none"/>
                    </w:rPr>
                    <w:t>景观破坏进行恢复，恢复至原貌</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强化挥发性有机物和氮氧化物</w:t>
                  </w:r>
                  <w:r>
                    <w:rPr>
                      <w:rFonts w:hint="default" w:ascii="Times New Roman" w:hAnsi="Times New Roman" w:eastAsia="宋体" w:cs="Times New Roman"/>
                      <w:snapToGrid w:val="0"/>
                      <w:color w:val="auto"/>
                      <w:spacing w:val="-10"/>
                      <w:kern w:val="0"/>
                      <w:sz w:val="21"/>
                      <w:szCs w:val="21"/>
                      <w:highlight w:val="none"/>
                    </w:rPr>
                    <w:t>综合治理</w:t>
                  </w:r>
                  <w:r>
                    <w:rPr>
                      <w:rFonts w:hint="default" w:ascii="Times New Roman" w:hAnsi="Times New Roman" w:eastAsia="宋体" w:cs="Times New Roman"/>
                      <w:color w:val="auto"/>
                      <w:spacing w:val="-10"/>
                      <w:kern w:val="0"/>
                      <w:sz w:val="21"/>
                      <w:szCs w:val="21"/>
                      <w:highlight w:val="none"/>
                    </w:rPr>
                    <w:t>。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本项目测试放喷期间会排放少量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1"/>
                      <w:sz w:val="21"/>
                      <w:szCs w:val="21"/>
                      <w:highlight w:val="none"/>
                      <w:lang w:val="en-US" w:eastAsia="zh-CN"/>
                    </w:rPr>
                    <w:t>综合调查区域地层特性，</w:t>
                  </w:r>
                  <w:r>
                    <w:rPr>
                      <w:rFonts w:hint="default" w:ascii="Times New Roman" w:hAnsi="Times New Roman" w:eastAsia="宋体" w:cs="Times New Roman"/>
                      <w:color w:val="auto"/>
                      <w:spacing w:val="-10"/>
                      <w:sz w:val="21"/>
                      <w:szCs w:val="21"/>
                      <w:highlight w:val="none"/>
                    </w:rPr>
                    <w:t>且项目地处空旷区域，废气扩散条件好，对周围大气环境产生</w:t>
                  </w:r>
                  <w:r>
                    <w:rPr>
                      <w:rFonts w:hint="eastAsia" w:ascii="Times New Roman" w:cs="Times New Roman"/>
                      <w:color w:val="auto"/>
                      <w:spacing w:val="-10"/>
                      <w:sz w:val="21"/>
                      <w:szCs w:val="21"/>
                      <w:highlight w:val="none"/>
                      <w:lang w:eastAsia="zh-CN"/>
                    </w:rPr>
                    <w:t>的影响</w:t>
                  </w:r>
                  <w:r>
                    <w:rPr>
                      <w:rFonts w:hint="default" w:ascii="Times New Roman" w:hAnsi="Times New Roman" w:eastAsia="宋体" w:cs="Times New Roman"/>
                      <w:color w:val="auto"/>
                      <w:spacing w:val="-10"/>
                      <w:sz w:val="21"/>
                      <w:szCs w:val="21"/>
                      <w:highlight w:val="none"/>
                    </w:rPr>
                    <w:t>可接受</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《新疆维吾尔自治区重点行业生态环境准入条件（2024年）》</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zh-CN" w:eastAsia="zh-CN" w:bidi="ar-SA"/>
                    </w:rPr>
                  </w:pPr>
                  <w:r>
                    <w:rPr>
                      <w:rFonts w:hint="default" w:ascii="Times New Roman" w:hAnsi="Times New Roman" w:eastAsia="宋体" w:cs="Times New Roman"/>
                      <w:color w:val="auto"/>
                      <w:spacing w:val="-10"/>
                      <w:sz w:val="21"/>
                      <w:szCs w:val="21"/>
                      <w:highlight w:val="none"/>
                    </w:rPr>
                    <w:t>施工期应当尽量减少施工占地、严格控制施工作业面积、缩短施工时间、选择合理施工方式、落实环境敏感区管控要求以及其他生态环境保护措施，有效降低生态环境影响。</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本项目施工期严格控制施工作业面积、缩短施工时间，提出水土保持、防风固沙、生态修复的要求，有效降低生态环境影响</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陆地油气开发项目产生的废水应经处理后优先回用，无法回用的应满足国家和地方相关污染物排放标准后排放，工业废水回用率应达到90%以上。钻井及储层改造应采用环境友好的油田化学助剂、酸化液、压裂液、钻井液，配备完善的固控设备，钻井液循环率应达到95%以上，压裂废液、酸化废液等井下作业废水应100%返排入罐。</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本项目钻井液循环率达到95%以上，压裂废液、酸化废液等井下作业废水100%返</w:t>
                  </w:r>
                  <w:r>
                    <w:rPr>
                      <w:rFonts w:hint="default" w:ascii="Times New Roman" w:hAnsi="Times New Roman" w:eastAsia="宋体" w:cs="Times New Roman"/>
                      <w:snapToGrid w:val="0"/>
                      <w:color w:val="auto"/>
                      <w:spacing w:val="-10"/>
                      <w:kern w:val="0"/>
                      <w:sz w:val="21"/>
                      <w:szCs w:val="21"/>
                      <w:highlight w:val="none"/>
                    </w:rPr>
                    <w:t>排入</w:t>
                  </w:r>
                  <w:r>
                    <w:rPr>
                      <w:rFonts w:hint="default" w:ascii="Times New Roman" w:hAnsi="Times New Roman" w:eastAsia="宋体" w:cs="Times New Roman"/>
                      <w:color w:val="auto"/>
                      <w:spacing w:val="-10"/>
                      <w:sz w:val="21"/>
                      <w:szCs w:val="21"/>
                      <w:highlight w:val="none"/>
                    </w:rPr>
                    <w:t>罐</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废弃钻井泥浆及岩屑应采取“泥浆不落地”工艺，勘探、开发过程产生的落地原油回收率应达到100%。废弃水基钻井泥浆及岩屑经“泥浆不落地”设备处理后，固相优先综合利用，暂时不利用或者不能利用的，应按照《一般工业固体废物贮存和填埋污染控制标准》（GB18599）处置；废弃油基钻井泥浆及岩屑、落地油、清罐底泥、含油污泥、含油清管废渣、油气处理厂过滤吸附介质、废脱汞剂等危险废物，应按照国家有关规定制定危险废物管理计划，建立危险废物管理台账，依法依规自行处置或委托有相应资质的单位无害化处置。固体废物无害化处置率应达到100%。</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w:t>
                  </w:r>
                  <w:r>
                    <w:rPr>
                      <w:rFonts w:hint="default" w:ascii="Times New Roman" w:hAnsi="Times New Roman" w:eastAsia="宋体" w:cs="Times New Roman"/>
                      <w:color w:val="auto"/>
                      <w:spacing w:val="-10"/>
                      <w:sz w:val="21"/>
                      <w:szCs w:val="21"/>
                      <w:highlight w:val="none"/>
                    </w:rPr>
                    <w:t>废弃钻井泥浆及岩屑采用“泥浆不落地”工艺，勘探过程产生的落地原油回收率应达到100%。岩屑随钻井泥浆带出，采用“泥浆不落地”工艺收集，泥浆排入泥浆罐循环使用，完井后拉运至下一口井再利用，</w:t>
                  </w:r>
                  <w:r>
                    <w:rPr>
                      <w:rFonts w:hint="default" w:ascii="Times New Roman" w:hAnsi="Times New Roman" w:eastAsia="宋体" w:cs="Times New Roman"/>
                      <w:snapToGrid w:val="0"/>
                      <w:color w:val="auto"/>
                      <w:spacing w:val="-10"/>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处理达标后还原土用于铺垫油区内的井场、道路。</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autoSpaceDE w:val="0"/>
                    <w:autoSpaceDN w:val="0"/>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对拟退役的废弃井（站）场、管道、道路等工程设施应进行生态修复，生态修复前应对废弃油（气）井、管道进行封堵或设施拆除，确保无土壤及地下水环境污染遗留问题、废弃物得到妥善处置。生态修复应满足《矿山生态环境保护与恢复治理技术规范（试行）》</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HJ651</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、《废弃井封井回填技术指南（试行）》《废弃井及长停井处置指南》</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SY/T6646</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、《陆上石油天然气开采业绿色矿山建设规范》（DZ/T0317）等相关要求。</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本项目若无油气进行封井，井场生态修复前对井场进行封堵和设施拆除，确保无土壤及地下水环境污染遗留问题、废弃物得到妥善处置。生态修复满足《矿山生态环境保护与恢复治理技术规范（试行）》</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HJ651</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、《废弃井封井回填技术指南（试行）》《废弃井及长停井处置指南》</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SY/T6646</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、《陆上石油天然气开采业绿色矿山建设规范》（DZ/T0317）等相关要求。</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95"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《新疆维吾尔自治区国民经济和社会发展第十四个五年规划和2035年远景目标纲要》</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加快矿产资源勘查开发。加强塔里木、准噶尔盆地及周边中小盆地页岩气（油）、煤层气勘查，推进油砂、油页岩和</w:t>
                  </w:r>
                  <w:r>
                    <w:rPr>
                      <w:rFonts w:hint="default" w:ascii="Times New Roman" w:hAnsi="Times New Roman" w:eastAsia="宋体" w:cs="Times New Roman"/>
                      <w:snapToGrid w:val="0"/>
                      <w:color w:val="auto"/>
                      <w:spacing w:val="-10"/>
                      <w:kern w:val="0"/>
                      <w:sz w:val="21"/>
                      <w:szCs w:val="21"/>
                      <w:highlight w:val="none"/>
                    </w:rPr>
                    <w:t>南疆</w:t>
                  </w:r>
                  <w:r>
                    <w:rPr>
                      <w:rFonts w:hint="default" w:ascii="Times New Roman" w:hAnsi="Times New Roman" w:eastAsia="宋体" w:cs="Times New Roman"/>
                      <w:color w:val="auto"/>
                      <w:spacing w:val="-10"/>
                      <w:sz w:val="21"/>
                      <w:szCs w:val="21"/>
                      <w:highlight w:val="none"/>
                    </w:rPr>
                    <w:t>浅层地温能、水热型地热资源和干热岩资源调查评价</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本项目属于</w:t>
                  </w:r>
                  <w:r>
                    <w:rPr>
                      <w:rFonts w:hint="default" w:ascii="Times New Roman" w:hAnsi="Times New Roman" w:eastAsia="宋体" w:cs="Times New Roman"/>
                      <w:snapToGrid w:val="0"/>
                      <w:color w:val="auto"/>
                      <w:spacing w:val="-10"/>
                      <w:kern w:val="0"/>
                      <w:sz w:val="21"/>
                      <w:szCs w:val="21"/>
                      <w:highlight w:val="none"/>
                    </w:rPr>
                    <w:t>塔里木</w:t>
                  </w:r>
                  <w:r>
                    <w:rPr>
                      <w:rFonts w:hint="default" w:ascii="Times New Roman" w:hAnsi="Times New Roman" w:eastAsia="宋体" w:cs="Times New Roman"/>
                      <w:color w:val="auto"/>
                      <w:spacing w:val="-10"/>
                      <w:sz w:val="21"/>
                      <w:szCs w:val="21"/>
                      <w:highlight w:val="none"/>
                    </w:rPr>
                    <w:t>油田油气勘探开发项目，开发区域位于</w:t>
                  </w:r>
                  <w:r>
                    <w:rPr>
                      <w:rFonts w:hint="eastAsia" w:ascii="Times New Roman" w:cs="Times New Roman"/>
                      <w:color w:val="auto"/>
                      <w:spacing w:val="-10"/>
                      <w:sz w:val="21"/>
                      <w:szCs w:val="21"/>
                      <w:highlight w:val="none"/>
                      <w:lang w:val="en-US" w:eastAsia="zh-CN"/>
                    </w:rPr>
                    <w:t>且末县</w:t>
                  </w:r>
                  <w:r>
                    <w:rPr>
                      <w:rFonts w:hint="default" w:ascii="Times New Roman" w:hAnsi="Times New Roman" w:eastAsia="宋体" w:cs="Times New Roman"/>
                      <w:color w:val="auto"/>
                      <w:spacing w:val="-10"/>
                      <w:sz w:val="21"/>
                      <w:szCs w:val="21"/>
                      <w:highlight w:val="none"/>
                    </w:rPr>
                    <w:t>境内。</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15"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能源化工产业支柱作用日益凸显，油气生产加工和储备能力不断加强，库拜煤田大型煤炭基地建设稳步推进，能源生产和消费清洁化水平不断提高。石化产业链延伸及下游产品开发持续推进，由资源输出地向生产加工基地转变步伐加快</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本项目属塔里木油田油气勘探开发项目，项目的建设</w:t>
                  </w:r>
                  <w:r>
                    <w:rPr>
                      <w:rFonts w:hint="default" w:ascii="Times New Roman" w:hAnsi="Times New Roman" w:eastAsia="宋体" w:cs="Times New Roman"/>
                      <w:color w:val="auto"/>
                      <w:spacing w:val="-10"/>
                      <w:sz w:val="21"/>
                      <w:szCs w:val="21"/>
                      <w:highlight w:val="none"/>
                      <w:lang w:eastAsia="zh-CN"/>
                    </w:rPr>
                    <w:t>可以</w:t>
                  </w:r>
                  <w:r>
                    <w:rPr>
                      <w:rFonts w:hint="default" w:ascii="Times New Roman" w:hAnsi="Times New Roman" w:eastAsia="宋体" w:cs="Times New Roman"/>
                      <w:color w:val="auto"/>
                      <w:spacing w:val="-10"/>
                      <w:sz w:val="21"/>
                      <w:szCs w:val="21"/>
                      <w:highlight w:val="none"/>
                    </w:rPr>
                    <w:t>充分提高区域内油气生产加工和储备能力。</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《巴音郭楞蒙古自治州国民经济和社会发展</w:t>
                  </w:r>
                  <w:r>
                    <w:rPr>
                      <w:rFonts w:hint="eastAsia" w:ascii="Times New Roman" w:cs="Times New Roman"/>
                      <w:snapToGrid w:val="0"/>
                      <w:color w:val="auto"/>
                      <w:spacing w:val="-10"/>
                      <w:kern w:val="0"/>
                      <w:sz w:val="21"/>
                      <w:szCs w:val="21"/>
                      <w:highlight w:val="none"/>
                      <w:lang w:eastAsia="zh-CN"/>
                    </w:rPr>
                    <w:t>第十四个</w:t>
                  </w:r>
                  <w:r>
                    <w:rPr>
                      <w:rFonts w:hint="default" w:ascii="Times New Roman" w:hAnsi="Times New Roman" w:eastAsia="宋体" w:cs="Times New Roman"/>
                      <w:snapToGrid w:val="0"/>
                      <w:color w:val="auto"/>
                      <w:spacing w:val="-10"/>
                      <w:kern w:val="0"/>
                      <w:sz w:val="21"/>
                      <w:szCs w:val="21"/>
                      <w:highlight w:val="none"/>
                    </w:rPr>
                    <w:t>五年规划和二〇三五年远景目标纲要》</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立足巴州塔里木盆地油气主产区资源优势和加工基础，稳定扩大油气产能，积极争取承接进口油气运输中转、储备、加工和交易中心重要功能，推进石油化工基地建设，做大做强基础石化，拉长精细化工产业链条，推动炼化纺一体化发展，提高资源就地加工比例，推动巴州由单一资源输出地向全产业链加工基地转型，打造新疆大型油气生产、加工、外送基地和战略储备基地</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本项目属于油气勘探项目，项目建设有利于稳定扩大油气产能</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eastAsia="zh-CN"/>
                    </w:rPr>
                    <w:t>《新疆维吾尔自治区环境保护条例》</w:t>
                  </w:r>
                </w:p>
              </w:tc>
              <w:tc>
                <w:tcPr>
                  <w:tcW w:w="3375" w:type="dxa"/>
                  <w:gridSpan w:val="2"/>
                  <w:shd w:val="clear" w:color="auto" w:fill="auto"/>
                  <w:noWrap w:val="0"/>
                  <w:tcMar>
                    <w:left w:w="28" w:type="dxa"/>
                    <w:right w:w="28" w:type="dxa"/>
                  </w:tcMar>
                  <w:vAlign w:val="top"/>
                </w:tcPr>
                <w:p>
                  <w:pPr>
                    <w:keepNext w:val="0"/>
                    <w:keepLines w:val="0"/>
                    <w:pageBreakBefore w:val="0"/>
                    <w:widowControl/>
                    <w:suppressLineNumbers w:val="0"/>
                    <w:wordWrap/>
                    <w:overflowPunct/>
                    <w:autoSpaceDE w:val="0"/>
                    <w:autoSpaceDN w:val="0"/>
                    <w:bidi w:val="0"/>
                    <w:adjustRightInd/>
                    <w:snapToGrid/>
                    <w:spacing w:before="0" w:beforeAutospacing="0" w:after="0" w:afterAutospacing="0" w:line="360" w:lineRule="exact"/>
                    <w:ind w:left="0" w:right="0"/>
                    <w:textAlignment w:val="baseline"/>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建设对环境有影响的项目，应当依法进行环境影响评价。建设单位应当在开工建设前向有审批权的环境保护主管部门报批建设项目环境影响评价报告书、报告表。</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b/>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未依法进行环境影响评价的建设项目，不得开工建设。</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项目处于环境影响评价阶段，取得环评批复后方可开工。</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top"/>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第四十七条 矿产资源勘探、开发单位，应当对矿产资源勘探、开发产生的尾矿、煤矸石、粉煤灰、冶炼渣以及脱硫、脱硝、除尘等产生的固体废物的堆存场所进行整治，完善防扬散、防流失、防渗漏等设施；造成环境污染的，应当采取有效措施进行生态修复。</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b/>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对采矿使用的有毒有害物质，形成的有毒有害废弃物，应当进行无害化处理或者处置；有长期危害的，应当作永久性防护处理。</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本项目采用</w:t>
                  </w:r>
                  <w:r>
                    <w:rPr>
                      <w:rFonts w:hint="default" w:ascii="Times New Roman" w:hAnsi="Times New Roman" w:eastAsia="宋体" w:cs="Times New Roman"/>
                      <w:color w:val="auto"/>
                      <w:spacing w:val="-10"/>
                      <w:sz w:val="21"/>
                      <w:szCs w:val="21"/>
                      <w:highlight w:val="none"/>
                      <w:lang w:val="en-US" w:eastAsia="zh-CN"/>
                    </w:rPr>
                    <w:t>的</w:t>
                  </w:r>
                  <w:r>
                    <w:rPr>
                      <w:rFonts w:hint="default" w:ascii="Times New Roman" w:hAnsi="Times New Roman" w:eastAsia="宋体" w:cs="Times New Roman"/>
                      <w:color w:val="auto"/>
                      <w:spacing w:val="-10"/>
                      <w:sz w:val="21"/>
                      <w:szCs w:val="21"/>
                      <w:highlight w:val="none"/>
                      <w:lang w:eastAsia="zh-CN"/>
                    </w:rPr>
                    <w:t>钻井液为无毒钻井液。</w:t>
                  </w:r>
                  <w:r>
                    <w:rPr>
                      <w:rFonts w:hint="default" w:ascii="Times New Roman" w:hAnsi="Times New Roman" w:eastAsia="宋体" w:cs="Times New Roman"/>
                      <w:color w:val="auto"/>
                      <w:spacing w:val="-10"/>
                      <w:sz w:val="21"/>
                      <w:szCs w:val="21"/>
                      <w:highlight w:val="none"/>
                      <w:lang w:val="en-US" w:eastAsia="zh-CN"/>
                    </w:rPr>
                    <w:t>酸化压裂返排液在井场加碱中和后，采用专用废液收集罐，运至塔里木油田富源区块钻试修废液处理站处理，最终通过富源7井回注区域地层。</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本项目固井工序</w:t>
                  </w:r>
                  <w:r>
                    <w:rPr>
                      <w:rFonts w:hint="default" w:ascii="Times New Roman" w:hAnsi="Times New Roman" w:eastAsia="宋体" w:cs="Times New Roman"/>
                      <w:color w:val="auto"/>
                      <w:spacing w:val="-10"/>
                      <w:sz w:val="21"/>
                      <w:szCs w:val="21"/>
                      <w:highlight w:val="none"/>
                    </w:rPr>
                    <w:t>将套管下入井中，并在井眼与套管之间</w:t>
                  </w:r>
                  <w:r>
                    <w:rPr>
                      <w:rFonts w:hint="default" w:ascii="Times New Roman" w:hAnsi="Times New Roman" w:eastAsia="宋体" w:cs="Times New Roman"/>
                      <w:snapToGrid w:val="0"/>
                      <w:color w:val="auto"/>
                      <w:spacing w:val="-10"/>
                      <w:kern w:val="0"/>
                      <w:sz w:val="21"/>
                      <w:szCs w:val="21"/>
                      <w:highlight w:val="none"/>
                    </w:rPr>
                    <w:t>灌注</w:t>
                  </w:r>
                  <w:r>
                    <w:rPr>
                      <w:rFonts w:hint="default" w:ascii="Times New Roman" w:hAnsi="Times New Roman" w:eastAsia="宋体" w:cs="Times New Roman"/>
                      <w:color w:val="auto"/>
                      <w:spacing w:val="-10"/>
                      <w:sz w:val="21"/>
                      <w:szCs w:val="21"/>
                      <w:highlight w:val="none"/>
                    </w:rPr>
                    <w:t>钻井液，</w:t>
                  </w:r>
                  <w:r>
                    <w:rPr>
                      <w:rFonts w:hint="eastAsia" w:ascii="Times New Roman" w:cs="Times New Roman"/>
                      <w:color w:val="auto"/>
                      <w:spacing w:val="-10"/>
                      <w:sz w:val="21"/>
                      <w:szCs w:val="21"/>
                      <w:highlight w:val="none"/>
                      <w:lang w:eastAsia="zh-CN"/>
                    </w:rPr>
                    <w:t>封闭</w:t>
                  </w:r>
                  <w:r>
                    <w:rPr>
                      <w:rFonts w:hint="default" w:ascii="Times New Roman" w:hAnsi="Times New Roman" w:eastAsia="宋体" w:cs="Times New Roman"/>
                      <w:color w:val="auto"/>
                      <w:spacing w:val="-10"/>
                      <w:sz w:val="21"/>
                      <w:szCs w:val="21"/>
                      <w:highlight w:val="none"/>
                    </w:rPr>
                    <w:t>地层。固井可有效保护地下水含水层不受破坏</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《新疆维吾尔自治区矿产资源总体规划（2021-2025年）》</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聚焦国家、新疆紧缺矿产，以找大矿富矿为目标，加大勘查力度，突出南疆，持续推进找矿突破，助力乡村振兴，巩固脱贫攻坚成果。强化矿产资源合理开发利用与保护，不断提高资源利用水平，延伸下游产业链，为国家、自治区经济社会发展提供可靠的资源保障。</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本项目为油气资源勘探项目</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重点勘查开采矿种：石油、天然气、页岩气、煤层气、煤、地热等能源矿产，铁、铬、锰、铜、镍、钴、铅锌、金、锂、铍、钒、钛等金属矿产，以及钾盐、萤石、硅质原料等非金属矿产。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本项目为</w:t>
                  </w:r>
                  <w:r>
                    <w:rPr>
                      <w:rFonts w:hint="default" w:ascii="Times New Roman" w:hAnsi="Times New Roman" w:eastAsia="宋体" w:cs="Times New Roman"/>
                      <w:snapToGrid w:val="0"/>
                      <w:color w:val="auto"/>
                      <w:spacing w:val="-10"/>
                      <w:kern w:val="0"/>
                      <w:sz w:val="21"/>
                      <w:szCs w:val="21"/>
                      <w:highlight w:val="none"/>
                    </w:rPr>
                    <w:t>油气</w:t>
                  </w:r>
                  <w:r>
                    <w:rPr>
                      <w:rFonts w:hint="default" w:ascii="Times New Roman" w:hAnsi="Times New Roman" w:eastAsia="宋体" w:cs="Times New Roman"/>
                      <w:color w:val="auto"/>
                      <w:spacing w:val="-10"/>
                      <w:kern w:val="0"/>
                      <w:sz w:val="21"/>
                      <w:szCs w:val="21"/>
                      <w:highlight w:val="none"/>
                    </w:rPr>
                    <w:t>资源勘探项目</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40" w:hRule="atLeast"/>
                <w:jc w:val="center"/>
              </w:trPr>
              <w:tc>
                <w:tcPr>
                  <w:tcW w:w="102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《关于进一步加强石油天然气行业环境影响评价管理的通知》（环办环评函〔2019〕910号）</w:t>
                  </w:r>
                </w:p>
              </w:tc>
              <w:tc>
                <w:tcPr>
                  <w:tcW w:w="3375" w:type="dxa"/>
                  <w:gridSpan w:val="2"/>
                  <w:shd w:val="clear" w:color="auto" w:fill="auto"/>
                  <w:noWrap w:val="0"/>
                  <w:tcMar>
                    <w:left w:w="28" w:type="dxa"/>
                    <w:right w:w="28" w:type="dxa"/>
                  </w:tcMar>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lang w:val="en-US" w:eastAsia="zh-CN"/>
                    </w:rPr>
                    <w:t>（四）油气开采项目（含新开发和滚动开发项目）原则上应当以区块为单位开展环评（以下简称区块环评），一般包括区块内拟建的新井、加密井、调整井、站场、设备、管道和电缆及其更换工程、弃置工程及配套工程等。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475"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本项目为勘探井工程，不涉及开采，无需开展区块环评。</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5"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五）未确定产能建设规模的陆地油气开采新区块，建设勘探井应当依法编制环境影响报告表。海洋油气勘探工程应当填报环境影响登记表并进行备案。确定产能建设规模后，原则上不得以勘探名义继续开展单井环评。勘探井转为生产井的，可以纳入区块环评。自2021年1月1日起，原则上不以单井形式开展环评。过渡期间，项目建设单位可以根据实际情况，报批区块环评或单井环评。在本通知印发前已经取得环评批复、不在海洋生态环境敏感区内、未纳入油气开采区块产能建设项目环评且排污量未超出原环评批复排放总量的海洋油气开发工程调整井项目，实施环境影响登记表备案管理</w:t>
                  </w:r>
                  <w:r>
                    <w:rPr>
                      <w:rFonts w:hint="default" w:ascii="Times New Roman" w:hAnsi="Times New Roman" w:eastAsia="宋体" w:cs="Times New Roman"/>
                      <w:snapToGrid w:val="0"/>
                      <w:color w:val="auto"/>
                      <w:spacing w:val="-10"/>
                      <w:kern w:val="0"/>
                      <w:sz w:val="21"/>
                      <w:szCs w:val="21"/>
                      <w:highlight w:val="none"/>
                      <w:lang w:eastAsia="zh-CN"/>
                    </w:rPr>
                    <w:t>。</w:t>
                  </w:r>
                </w:p>
              </w:tc>
              <w:tc>
                <w:tcPr>
                  <w:tcW w:w="247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sz w:val="21"/>
                      <w:szCs w:val="21"/>
                      <w:highlight w:val="none"/>
                    </w:rPr>
                    <w:t>本项目属于石油勘探钻井工程，依法编制环境影响报告表。若测试放喷过程中发现油气资源储量可供开采，需转为生产井的，按相关环保法律法规等要求对地面工程建设开展相应环境影响评价工作。</w:t>
                  </w:r>
                </w:p>
              </w:tc>
              <w:tc>
                <w:tcPr>
                  <w:tcW w:w="71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十一）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本项目施工周期较短，报告中已提出施工过程中严格控制施工范围，减少施工占地的措施，要求施工结束后及时进行恢复清理，落实报告中提出的生态保护措施，避免对区域生态环境造成影响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（十四）油气企业应当加强风险防控，按规定编制突发环境事件应急预案，报所在地生态环境主管部门备案。海洋油气勘探开发溢油应急计划报相关海域生态环境监督管理局备案。</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钻井工程按规定编制突发环境事件应急预案</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shd w:val="clear" w:color="auto" w:fill="FFFFFF"/>
                      <w:lang w:bidi="ar"/>
                    </w:rPr>
                    <w:t>（</w:t>
                  </w:r>
                  <w:r>
                    <w:rPr>
                      <w:rFonts w:hint="default" w:ascii="Times New Roman" w:hAnsi="Times New Roman" w:eastAsia="宋体" w:cs="Times New Roman"/>
                      <w:snapToGrid w:val="0"/>
                      <w:color w:val="auto"/>
                      <w:spacing w:val="-10"/>
                      <w:kern w:val="0"/>
                      <w:sz w:val="21"/>
                      <w:szCs w:val="21"/>
                      <w:highlight w:val="none"/>
                    </w:rPr>
                    <w:t>十五）油气企业应当切实落实生态环境保护主体责任，进一步健全生态环境保护管理体系和制度，充分发挥企业内部生态环境保护部门作用，健全健康、安全与环境（HSE）管理体系，加强督促检查，推动所属油气田落实规划、建设、运营、退役等环节生态环境保护措施。项目正式开工后，油气开采企业应当每年向具有管辖权的生态环境主管部门书面报告工程实施或变动情况、生态环境保护工作情况，涉及自然保护地和生态保护红线的，应当说明工程实施的合法合规性和对自然生态系统、主要保护对象等的实际影响，接受生态环境主管部门依法监管。</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本项目按照规划要求落实生态环保措施，报告中已提出施工过程中严格控制施工范围，减少施工占地的措施，要求施工结束后及时进行恢复清理，落实报告中提出的生态保护措施，避免对区域生态环境造成影响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shd w:val="clear" w:color="auto" w:fill="FFFFFF"/>
                      <w:lang w:bidi="ar"/>
                    </w:rPr>
                  </w:pPr>
                  <w:r>
                    <w:rPr>
                      <w:rFonts w:hint="default" w:ascii="Times New Roman" w:hAnsi="Times New Roman" w:eastAsia="宋体" w:cs="Times New Roman"/>
                      <w:snapToGrid w:val="0"/>
                      <w:color w:val="auto"/>
                      <w:spacing w:val="-10"/>
                      <w:kern w:val="0"/>
                      <w:sz w:val="21"/>
                      <w:szCs w:val="21"/>
                      <w:highlight w:val="none"/>
                    </w:rPr>
                    <w:t>（二十）工程设施退役，建设单位或生产经营单位应当按照相关要求，采取有效生态环境保护措施。同时，按照《中华人民共和国土壤污染防治法》《土壤环境质量 建设用地土壤污染风险管控标准（试行）》（GB 36600）的要求，对永久停用、拆除或弃置的各类井、管道等工程设施落实封堵、土壤及地下水修复、生态修复等措施。海洋油气勘探开发活动终止后，相关设施需要在海上弃置的，应当拆除可能造成海洋环境污染损害或者影响海洋资源开发利用的部分，并参照有关海洋倾倒废弃物管理的规定进行。拆除时，应当编制拆除环境保护方案，采取必要的措施，防止对海洋环境造成污染和损害</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本项目为勘探井，钻井结束后，若测试放喷显示无工业开采价值，需封井，井场临时占地恢复，落实各项生态保护措施</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《陆上石油天然气开采业绿色矿山建设规范》（DZ/T0317-2018）</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应遵循矿区油气资源赋存状况、生态环境特征等条件，科学合理地确定开发方案，选择与油气藏类型相适应的先进开采技术和工艺，推广使用成熟、先进的技术装备，严禁使用国家明文规定的限制和淘汰的技术工艺及装备。</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本项目为油气勘探工程，实施的目的为确定区域油气产能建设规模（包括储量及质量）。本项目所用技术、工艺和设备不属于国家和自治区明令限制和淘汰的技术、工艺和设备</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集约节约利用土地资源，土地利用符合用地指标政策。合理确定站址、场址、管网、路网建设占地规模。</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本项目方案设计基于区块概念设计，合理布置井场，并根据施工需求确定道路占地规模</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废液、废气、固体废物应建档分类管理，并清洁化、无害化处置，处置率应达到100%。</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本项目废水及固体废物处理及处置措施得当，处置率100%</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油气开采过程中产生的落地原油应及时全部回收。</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工程施工采取带罐作业，对落地油等进行100%回收</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35" w:hRule="atLeast"/>
                <w:jc w:val="center"/>
              </w:trPr>
              <w:tc>
                <w:tcPr>
                  <w:tcW w:w="1023" w:type="dxa"/>
                  <w:vMerge w:val="restart"/>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《石油天然气开采业污染防治技术政策》（公告 2012年第18号）</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油气田建设应总体规划，优化布局，整体开发，减少占地和油气损失，实现油气和废物的集中收集、处理处置。</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本项目建设布局合理，已在设计阶段合理选址，合理利用现有道路，减少占地；本项目废物均集中收集妥善处置</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00"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在油气开发过程中，应采取措施减轻生态影响并及时用适地植物进行植被恢复</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本项目已提出生态环境影响减缓措施</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eastAsia"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《钻前工程及井场布置技术要求》</w:t>
                  </w:r>
                  <w:r>
                    <w:rPr>
                      <w:rFonts w:hint="default" w:ascii="Times New Roman" w:hAnsi="Times New Roman" w:eastAsia="宋体" w:cs="Times New Roman"/>
                      <w:snapToGrid w:val="0"/>
                      <w:color w:val="auto"/>
                      <w:spacing w:val="-10"/>
                      <w:kern w:val="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rPr>
                    <w:t>SY/T5466-2013</w:t>
                  </w:r>
                  <w:r>
                    <w:rPr>
                      <w:rFonts w:hint="eastAsia" w:ascii="Times New Roman" w:cs="Times New Roman"/>
                      <w:snapToGrid w:val="0"/>
                      <w:color w:val="auto"/>
                      <w:spacing w:val="-10"/>
                      <w:kern w:val="0"/>
                      <w:sz w:val="21"/>
                      <w:szCs w:val="21"/>
                      <w:highlight w:val="none"/>
                      <w:lang w:eastAsia="zh-CN"/>
                    </w:rPr>
                    <w:t>）</w:t>
                  </w:r>
                </w:p>
              </w:tc>
              <w:tc>
                <w:tcPr>
                  <w:tcW w:w="585"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3.1 井场选择原则</w:t>
                  </w: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井场应避开滑坡、泥石流等不良地段，在河滩、海滩地区应避开汛、潮期进行钻前施工。</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本项目井场不在滑坡、泥石流等不良地段，也不属于河滩地区</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35"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满足防洪、防喷、防爆、防毒、防冻等安全要求。</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项目选址满足防喷、防爆、防毒、防冻等安全要求，在做好防范措施的前提下，洪水不会对井场造成影响</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55"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3.2 井位的确定</w:t>
                  </w: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油、气井井口距离高压线及其他永久性设施不小于75m，距民宅不小于100m，距铁路、高速公路不小于200m，距学校、医院和大型油库等人口密集性、高危性场所不小于500m。</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lang w:val="en-US" w:eastAsia="zh-CN"/>
                    </w:rPr>
                    <w:t>周边500m范围内无此类场所</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75"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在地下矿产采掘区钻井，井筒与采掘坑道、矿井坑道之间的距离不小于100m。</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本项目钻井区不是地下矿产采掘区</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井口距堤坝、水库的位置应根据国家水利部门的有关规定执行。</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本项目井口周边不涉及堤坝、水库</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3.3</w:t>
                  </w:r>
                  <w:r>
                    <w:rPr>
                      <w:rFonts w:hint="eastAsia" w:ascii="Times New Roman" w:cs="Times New Roman"/>
                      <w:snapToGrid w:val="0"/>
                      <w:color w:val="auto"/>
                      <w:spacing w:val="-10"/>
                      <w:kern w:val="0"/>
                      <w:sz w:val="21"/>
                      <w:szCs w:val="21"/>
                      <w:highlight w:val="none"/>
                      <w:lang w:eastAsia="zh-CN"/>
                    </w:rPr>
                    <w:t>井场</w:t>
                  </w:r>
                  <w:r>
                    <w:rPr>
                      <w:rFonts w:hint="default" w:ascii="Times New Roman" w:hAnsi="Times New Roman" w:eastAsia="宋体" w:cs="Times New Roman"/>
                      <w:snapToGrid w:val="0"/>
                      <w:color w:val="auto"/>
                      <w:spacing w:val="-10"/>
                      <w:kern w:val="0"/>
                      <w:sz w:val="21"/>
                      <w:szCs w:val="21"/>
                      <w:highlight w:val="none"/>
                    </w:rPr>
                    <w:t>方向的规定</w:t>
                  </w:r>
                </w:p>
              </w:tc>
              <w:tc>
                <w:tcPr>
                  <w:tcW w:w="2790"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以井口为中点，以井架</w:t>
                  </w:r>
                  <w:r>
                    <w:rPr>
                      <w:rFonts w:hint="default" w:ascii="Times New Roman" w:hAnsi="Times New Roman" w:eastAsia="宋体" w:cs="Times New Roman"/>
                      <w:snapToGrid w:val="0"/>
                      <w:color w:val="auto"/>
                      <w:spacing w:val="-10"/>
                      <w:kern w:val="0"/>
                      <w:sz w:val="21"/>
                      <w:szCs w:val="21"/>
                      <w:highlight w:val="none"/>
                      <w:lang w:eastAsia="zh-CN"/>
                    </w:rPr>
                    <w:t>底部</w:t>
                  </w:r>
                  <w:r>
                    <w:rPr>
                      <w:rFonts w:hint="default" w:ascii="Times New Roman" w:hAnsi="Times New Roman" w:eastAsia="宋体" w:cs="Times New Roman"/>
                      <w:snapToGrid w:val="0"/>
                      <w:color w:val="auto"/>
                      <w:spacing w:val="-10"/>
                      <w:kern w:val="0"/>
                      <w:sz w:val="21"/>
                      <w:szCs w:val="21"/>
                      <w:highlight w:val="none"/>
                    </w:rPr>
                    <w:t>的两条垂直平分线的延长线为准线、划分井场的前、后、左、右。</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本项目以井口为中心，且平行或垂直于井架底座边线的两条垂线为准线，划分井场的前、后、左、右四部分（以大门口处为前部）。</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val="en-US" w:eastAsia="zh-CN"/>
                    </w:rPr>
                  </w:pPr>
                </w:p>
              </w:tc>
              <w:tc>
                <w:tcPr>
                  <w:tcW w:w="2790"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以与大门平行的</w:t>
                  </w:r>
                  <w:r>
                    <w:rPr>
                      <w:rFonts w:hint="default" w:ascii="Times New Roman" w:hAnsi="Times New Roman" w:eastAsia="宋体" w:cs="Times New Roman"/>
                      <w:snapToGrid w:val="0"/>
                      <w:color w:val="auto"/>
                      <w:spacing w:val="-10"/>
                      <w:kern w:val="0"/>
                      <w:sz w:val="21"/>
                      <w:szCs w:val="21"/>
                      <w:highlight w:val="none"/>
                      <w:lang w:val="en-US" w:eastAsia="zh-CN"/>
                    </w:rPr>
                    <w:t>井</w:t>
                  </w:r>
                  <w:r>
                    <w:rPr>
                      <w:rFonts w:hint="default" w:ascii="Times New Roman" w:hAnsi="Times New Roman" w:eastAsia="宋体" w:cs="Times New Roman"/>
                      <w:snapToGrid w:val="0"/>
                      <w:color w:val="auto"/>
                      <w:spacing w:val="-10"/>
                      <w:kern w:val="0"/>
                      <w:sz w:val="21"/>
                      <w:szCs w:val="21"/>
                      <w:highlight w:val="none"/>
                    </w:rPr>
                    <w:t>架底座的垂</w:t>
                  </w:r>
                  <w:r>
                    <w:rPr>
                      <w:rFonts w:hint="default" w:ascii="Times New Roman" w:hAnsi="Times New Roman" w:eastAsia="宋体" w:cs="Times New Roman"/>
                      <w:snapToGrid w:val="0"/>
                      <w:color w:val="auto"/>
                      <w:spacing w:val="-10"/>
                      <w:kern w:val="0"/>
                      <w:sz w:val="21"/>
                      <w:szCs w:val="21"/>
                      <w:highlight w:val="none"/>
                      <w:lang w:val="en-US" w:eastAsia="zh-CN"/>
                    </w:rPr>
                    <w:t>直</w:t>
                  </w:r>
                  <w:r>
                    <w:rPr>
                      <w:rFonts w:hint="default" w:ascii="Times New Roman" w:hAnsi="Times New Roman" w:eastAsia="宋体" w:cs="Times New Roman"/>
                      <w:snapToGrid w:val="0"/>
                      <w:color w:val="auto"/>
                      <w:spacing w:val="-10"/>
                      <w:kern w:val="0"/>
                      <w:sz w:val="21"/>
                      <w:szCs w:val="21"/>
                      <w:highlight w:val="none"/>
                    </w:rPr>
                    <w:t>平分线为准线，大门所在区域为前。</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本项目以井口为中心，且平行或垂直于井架底座边线的两条垂线为准线，划分井场的前、后、左、右四部分（以大门口处为前部）。</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023" w:type="dxa"/>
                  <w:vMerge w:val="restart"/>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cs="Times New Roman"/>
                      <w:color w:val="auto"/>
                      <w:spacing w:val="-10"/>
                      <w:kern w:val="0"/>
                      <w:sz w:val="21"/>
                      <w:szCs w:val="21"/>
                      <w:highlight w:val="none"/>
                      <w:lang w:val="en-US" w:eastAsia="zh-CN"/>
                    </w:rPr>
                    <w:t>《石油天然气钻井井控技术要求》（GB/T31033-2025）</w:t>
                  </w: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cs="Times New Roman"/>
                      <w:b/>
                      <w:bCs/>
                      <w:color w:val="auto"/>
                      <w:spacing w:val="-10"/>
                      <w:sz w:val="21"/>
                      <w:szCs w:val="21"/>
                      <w:highlight w:val="none"/>
                      <w:lang w:val="en-US" w:eastAsia="zh-CN"/>
                    </w:rPr>
                    <w:t>井口安全距离：</w:t>
                  </w:r>
                  <w:r>
                    <w:rPr>
                      <w:rFonts w:hint="default" w:ascii="Times New Roman" w:hAnsi="Times New Roman" w:cs="Times New Roman"/>
                      <w:color w:val="auto"/>
                      <w:spacing w:val="-10"/>
                      <w:sz w:val="21"/>
                      <w:szCs w:val="21"/>
                      <w:highlight w:val="none"/>
                      <w:lang w:val="en-US" w:eastAsia="zh-CN"/>
                    </w:rPr>
                    <w:t>井口距民宅≥100m，距学校/医院≥500 m。</w:t>
                  </w:r>
                </w:p>
              </w:tc>
              <w:tc>
                <w:tcPr>
                  <w:tcW w:w="2475" w:type="dxa"/>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cs="Times New Roman"/>
                      <w:color w:val="auto"/>
                      <w:spacing w:val="-10"/>
                      <w:kern w:val="0"/>
                      <w:sz w:val="21"/>
                      <w:szCs w:val="21"/>
                      <w:highlight w:val="none"/>
                      <w:lang w:val="en-US" w:eastAsia="zh-CN"/>
                    </w:rPr>
                    <w:t>本项目位于沙漠腹地，周边500m范围内无此类建筑。</w:t>
                  </w: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35" w:hRule="atLeast"/>
                <w:jc w:val="center"/>
              </w:trPr>
              <w:tc>
                <w:tcPr>
                  <w:tcW w:w="1023" w:type="dxa"/>
                  <w:vMerge w:val="continue"/>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0"/>
                      <w:sz w:val="21"/>
                      <w:szCs w:val="21"/>
                      <w:highlight w:val="none"/>
                    </w:rPr>
                  </w:pP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both"/>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cs="Times New Roman"/>
                      <w:b/>
                      <w:bCs/>
                      <w:color w:val="auto"/>
                      <w:spacing w:val="-10"/>
                      <w:sz w:val="21"/>
                      <w:szCs w:val="21"/>
                      <w:highlight w:val="none"/>
                      <w:lang w:val="en-US" w:eastAsia="zh-CN"/>
                    </w:rPr>
                    <w:t>放喷管线：</w:t>
                  </w:r>
                  <w:r>
                    <w:rPr>
                      <w:rFonts w:hint="default" w:ascii="Times New Roman" w:hAnsi="Times New Roman" w:cs="Times New Roman"/>
                      <w:color w:val="auto"/>
                      <w:spacing w:val="-10"/>
                      <w:sz w:val="21"/>
                      <w:szCs w:val="21"/>
                      <w:highlight w:val="none"/>
                      <w:lang w:val="en-US" w:eastAsia="zh-CN"/>
                    </w:rPr>
                    <w:t>含硫井至少2条，出口带点火装置，固定间距10–15 m。</w:t>
                  </w:r>
                </w:p>
              </w:tc>
              <w:tc>
                <w:tcPr>
                  <w:tcW w:w="2475" w:type="dxa"/>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cs="Times New Roman"/>
                      <w:color w:val="auto"/>
                      <w:spacing w:val="-10"/>
                      <w:kern w:val="0"/>
                      <w:sz w:val="21"/>
                      <w:szCs w:val="21"/>
                      <w:highlight w:val="none"/>
                      <w:lang w:val="en-US" w:eastAsia="zh-CN"/>
                    </w:rPr>
                    <w:t>项目井场两边各设一个放喷池，两个放喷池间距＞15m。</w:t>
                  </w: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固体废物综合治理行动计划</w:t>
                  </w: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国</w:t>
                  </w:r>
                  <w:r>
                    <w:rPr>
                      <w:rFonts w:hint="default" w:ascii="Times New Roman" w:hAnsi="Times New Roman" w:eastAsia="宋体" w:cs="Times New Roman"/>
                      <w:color w:val="auto"/>
                      <w:spacing w:val="-10"/>
                      <w:kern w:val="0"/>
                      <w:sz w:val="21"/>
                      <w:szCs w:val="21"/>
                      <w:highlight w:val="none"/>
                    </w:rPr>
                    <w:t>发〔202</w:t>
                  </w:r>
                  <w:r>
                    <w:rPr>
                      <w:rFonts w:hint="default" w:ascii="Times New Roman" w:hAnsi="Times New Roman" w:eastAsia="宋体" w:cs="Times New Roman"/>
                      <w:color w:val="auto"/>
                      <w:spacing w:val="-10"/>
                      <w:kern w:val="0"/>
                      <w:sz w:val="21"/>
                      <w:szCs w:val="21"/>
                      <w:highlight w:val="none"/>
                      <w:lang w:val="en-US" w:eastAsia="zh-CN"/>
                    </w:rPr>
                    <w:t>5</w:t>
                  </w: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14</w:t>
                  </w:r>
                  <w:r>
                    <w:rPr>
                      <w:rFonts w:hint="default" w:ascii="Times New Roman" w:hAnsi="Times New Roman" w:eastAsia="宋体" w:cs="Times New Roman"/>
                      <w:color w:val="auto"/>
                      <w:spacing w:val="-10"/>
                      <w:kern w:val="0"/>
                      <w:sz w:val="21"/>
                      <w:szCs w:val="21"/>
                      <w:highlight w:val="none"/>
                    </w:rPr>
                    <w:t xml:space="preserve"> 号）</w:t>
                  </w: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加强大宗工业固体废物无害化预处理，降低</w:t>
                  </w:r>
                </w:p>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贮存填埋量和环境污染风险。因地制宜确定生活垃圾处理方式，合理布局建设生活垃圾焚烧处理设施，鼓励在确保安全稳定运行前提下，协同处置城镇污水处理厂污泥和工业固体废物。新建生活垃圾焚烧项目应同步落实飞灰处理途径，逐步减少飞灰填埋量。优化污泥处理处置结构，压减填埋规模。</w:t>
                  </w:r>
                </w:p>
              </w:tc>
              <w:tc>
                <w:tcPr>
                  <w:tcW w:w="2475" w:type="dxa"/>
                  <w:vMerge w:val="restart"/>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w:t>
                  </w:r>
                  <w:r>
                    <w:rPr>
                      <w:rFonts w:hint="default" w:ascii="Times New Roman" w:hAnsi="Times New Roman" w:eastAsia="宋体" w:cs="Times New Roman"/>
                      <w:color w:val="auto"/>
                      <w:spacing w:val="-10"/>
                      <w:sz w:val="21"/>
                      <w:szCs w:val="21"/>
                      <w:highlight w:val="none"/>
                    </w:rPr>
                    <w:t>废弃钻井泥浆及岩屑采用“泥浆不落地”工艺，泥浆排入泥浆罐循环使用，完井后拉运至下一口井再利用，</w:t>
                  </w:r>
                  <w:r>
                    <w:rPr>
                      <w:rFonts w:hint="default" w:ascii="Times New Roman" w:hAnsi="Times New Roman" w:eastAsia="宋体" w:cs="Times New Roman"/>
                      <w:snapToGrid w:val="0"/>
                      <w:color w:val="auto"/>
                      <w:spacing w:val="-10"/>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，处理达标后还原土用于铺垫油区内的井场、道路；沾油废物、废烧碱包装袋、废矿物油及其包装物在危废贮存点（8m</w:t>
                  </w:r>
                  <w:r>
                    <w:rPr>
                      <w:rFonts w:hint="default" w:ascii="Times New Roman" w:hAnsi="Times New Roman" w:eastAsia="宋体" w:cs="Times New Roman"/>
                      <w:color w:val="auto"/>
                      <w:spacing w:val="-10"/>
                      <w:sz w:val="21"/>
                      <w:szCs w:val="21"/>
                      <w:highlight w:val="none"/>
                      <w:vertAlign w:val="superscript"/>
                    </w:rPr>
                    <w:t>2</w:t>
                  </w:r>
                  <w:r>
                    <w:rPr>
                      <w:rFonts w:hint="default" w:ascii="Times New Roman" w:hAnsi="Times New Roman" w:eastAsia="宋体" w:cs="Times New Roman"/>
                      <w:color w:val="auto"/>
                      <w:spacing w:val="-10"/>
                      <w:sz w:val="21"/>
                      <w:szCs w:val="21"/>
                      <w:highlight w:val="none"/>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深入开展重点区域非法倾倒处置固体废物排查，及时发现问题并逐一限时整改。依法依规严肃查处违法单位和个人，斩断黑色利益链条。</w:t>
                  </w:r>
                </w:p>
              </w:tc>
              <w:tc>
                <w:tcPr>
                  <w:tcW w:w="2475" w:type="dxa"/>
                  <w:vMerge w:val="continue"/>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rPr>
                  </w:pP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highlight w:val="none"/>
              </w:rPr>
            </w:pPr>
          </w:p>
        </w:tc>
      </w:tr>
    </w:tbl>
    <w:p>
      <w:pPr>
        <w:pStyle w:val="29"/>
        <w:jc w:val="center"/>
        <w:outlineLvl w:val="0"/>
        <w:rPr>
          <w:rFonts w:hint="default" w:ascii="Times New Roman" w:hAnsi="Times New Roman" w:eastAsia="宋体" w:cs="Times New Roman"/>
          <w:b/>
          <w:bCs/>
          <w:snapToGrid w:val="0"/>
          <w:color w:val="0000FF"/>
          <w:sz w:val="30"/>
          <w:szCs w:val="30"/>
          <w:highlight w:val="none"/>
        </w:rPr>
      </w:pPr>
      <w:r>
        <w:rPr>
          <w:rFonts w:hint="default" w:ascii="Times New Roman" w:hAnsi="Times New Roman" w:eastAsia="宋体" w:cs="Times New Roman"/>
          <w:snapToGrid w:val="0"/>
          <w:color w:val="0000FF"/>
          <w:sz w:val="30"/>
          <w:szCs w:val="30"/>
          <w:highlight w:val="none"/>
        </w:rPr>
        <w:br w:type="page"/>
      </w:r>
      <w:bookmarkStart w:id="11" w:name="_Toc11945"/>
      <w:r>
        <w:rPr>
          <w:rFonts w:hint="default" w:ascii="Times New Roman" w:hAnsi="Times New Roman" w:eastAsia="宋体" w:cs="Times New Roman"/>
          <w:b/>
          <w:bCs/>
          <w:snapToGrid w:val="0"/>
          <w:color w:val="auto"/>
          <w:sz w:val="30"/>
          <w:szCs w:val="30"/>
          <w:highlight w:val="none"/>
        </w:rPr>
        <w:t>二、建设内容</w:t>
      </w:r>
      <w:bookmarkEnd w:id="11"/>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6"/>
        <w:gridCol w:w="85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496" w:type="dxa"/>
            <w:noWrap w:val="0"/>
            <w:tcMar>
              <w:left w:w="108" w:type="dxa"/>
              <w:right w:w="108" w:type="dxa"/>
            </w:tcMar>
            <w:vAlign w:val="center"/>
          </w:tcPr>
          <w:p>
            <w:pPr>
              <w:keepNext w:val="0"/>
              <w:keepLines w:val="0"/>
              <w:suppressLineNumbers w:val="0"/>
              <w:autoSpaceDE w:val="0"/>
              <w:autoSpaceDN w:val="0"/>
              <w:adjustRightInd w:val="0"/>
              <w:spacing w:before="0" w:beforeAutospacing="0" w:after="0" w:afterAutospacing="0" w:line="0" w:lineRule="atLeast"/>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地理位置</w:t>
            </w:r>
          </w:p>
        </w:tc>
        <w:tc>
          <w:tcPr>
            <w:tcW w:w="857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highlight w:val="none"/>
                <w:lang w:eastAsia="zh-CN"/>
              </w:rPr>
              <w:t>本项目位于新疆维吾尔自治区巴音郭楞蒙古自治州</w:t>
            </w:r>
            <w:r>
              <w:rPr>
                <w:rFonts w:hint="default" w:ascii="Times New Roman" w:hAnsi="Times New Roman" w:cs="Times New Roman"/>
                <w:bCs/>
                <w:color w:val="auto"/>
                <w:sz w:val="24"/>
                <w:highlight w:val="none"/>
                <w:lang w:eastAsia="zh-CN"/>
              </w:rPr>
              <w:t>且末县塔中镇</w:t>
            </w:r>
            <w:r>
              <w:rPr>
                <w:rFonts w:hint="eastAsia" w:ascii="Times New Roman" w:cs="Times New Roman"/>
                <w:bCs/>
                <w:color w:val="auto"/>
                <w:sz w:val="24"/>
                <w:highlight w:val="none"/>
                <w:lang w:eastAsia="zh-CN"/>
              </w:rPr>
              <w:t>西北侧23.6km处</w:t>
            </w:r>
            <w:r>
              <w:rPr>
                <w:rFonts w:hint="default"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lang w:val="en-US" w:eastAsia="zh-CN"/>
              </w:rPr>
              <w:t>项目占地类型为</w:t>
            </w:r>
            <w:r>
              <w:rPr>
                <w:rFonts w:hint="default" w:ascii="Times New Roman" w:hAnsi="Times New Roman" w:cs="Times New Roman"/>
                <w:bCs/>
                <w:color w:val="auto"/>
                <w:sz w:val="24"/>
                <w:highlight w:val="none"/>
                <w:lang w:val="en-US" w:eastAsia="zh-CN"/>
              </w:rPr>
              <w:t>沙地</w:t>
            </w:r>
            <w:r>
              <w:rPr>
                <w:rFonts w:hint="default" w:ascii="Times New Roman" w:hAnsi="Times New Roman" w:eastAsia="宋体" w:cs="Times New Roman"/>
                <w:bCs/>
                <w:color w:val="auto"/>
                <w:sz w:val="24"/>
                <w:highlight w:val="none"/>
                <w:lang w:val="en-US" w:eastAsia="zh-CN"/>
              </w:rPr>
              <w:t>，</w:t>
            </w:r>
            <w:r>
              <w:rPr>
                <w:rFonts w:hint="default" w:ascii="Times New Roman" w:hAnsi="Times New Roman" w:eastAsia="宋体" w:cs="Times New Roman"/>
                <w:bCs/>
                <w:color w:val="auto"/>
                <w:sz w:val="24"/>
                <w:szCs w:val="24"/>
                <w:highlight w:val="none"/>
              </w:rPr>
              <w:t>周边</w:t>
            </w:r>
            <w:r>
              <w:rPr>
                <w:rFonts w:hint="default" w:ascii="Times New Roman" w:hAnsi="Times New Roman" w:eastAsia="宋体" w:cs="Times New Roman"/>
                <w:bCs/>
                <w:color w:val="auto"/>
                <w:sz w:val="24"/>
                <w:szCs w:val="24"/>
                <w:highlight w:val="none"/>
                <w:lang w:val="en-US" w:eastAsia="zh-CN"/>
              </w:rPr>
              <w:t>均为</w:t>
            </w:r>
            <w:r>
              <w:rPr>
                <w:rFonts w:hint="default" w:ascii="Times New Roman" w:hAnsi="Times New Roman" w:cs="Times New Roman"/>
                <w:bCs/>
                <w:color w:val="auto"/>
                <w:sz w:val="24"/>
                <w:szCs w:val="24"/>
                <w:highlight w:val="none"/>
                <w:lang w:val="en-US" w:eastAsia="zh-CN"/>
              </w:rPr>
              <w:t>沙地</w:t>
            </w:r>
            <w:r>
              <w:rPr>
                <w:rFonts w:hint="default" w:ascii="Times New Roman" w:hAnsi="Times New Roman" w:eastAsia="宋体" w:cs="Times New Roman"/>
                <w:bCs/>
                <w:color w:val="auto"/>
                <w:sz w:val="24"/>
                <w:szCs w:val="24"/>
                <w:highlight w:val="none"/>
              </w:rPr>
              <w:t>。井场中心地理坐标为：</w:t>
            </w:r>
            <w:r>
              <w:rPr>
                <w:rFonts w:hint="default" w:ascii="Times New Roman" w:hAnsi="Times New Roman" w:eastAsia="宋体" w:cs="Times New Roman"/>
                <w:bCs/>
                <w:color w:val="auto"/>
                <w:sz w:val="24"/>
                <w:szCs w:val="24"/>
                <w:highlight w:val="none"/>
                <w:lang w:val="en-US" w:eastAsia="zh-CN"/>
              </w:rPr>
              <w:t>东经</w:t>
            </w:r>
            <w:r>
              <w:rPr>
                <w:rFonts w:hint="default" w:ascii="Times New Roman" w:hAnsi="Times New Roman" w:cs="Times New Roman"/>
                <w:bCs/>
                <w:color w:val="auto"/>
                <w:sz w:val="24"/>
                <w:szCs w:val="24"/>
                <w:highlight w:val="none"/>
                <w:lang w:eastAsia="zh-CN"/>
              </w:rPr>
              <w:t>83°30′50.721″</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北纬</w:t>
            </w:r>
            <w:r>
              <w:rPr>
                <w:rFonts w:hint="default" w:ascii="Times New Roman" w:hAnsi="Times New Roman" w:cs="Times New Roman"/>
                <w:bCs/>
                <w:color w:val="auto"/>
                <w:sz w:val="24"/>
                <w:szCs w:val="24"/>
                <w:highlight w:val="none"/>
                <w:lang w:eastAsia="zh-CN"/>
              </w:rPr>
              <w:t>39°13′52.020″</w:t>
            </w:r>
            <w:r>
              <w:rPr>
                <w:rFonts w:hint="default" w:ascii="Times New Roman" w:hAnsi="Times New Roman" w:eastAsia="宋体" w:cs="Times New Roman"/>
                <w:bCs/>
                <w:color w:val="auto"/>
                <w:sz w:val="24"/>
                <w:highlight w:val="none"/>
                <w:lang w:eastAsia="zh-CN"/>
              </w:rPr>
              <w:t>。本项目地理位置见</w:t>
            </w:r>
            <w:r>
              <w:rPr>
                <w:rFonts w:hint="default" w:ascii="Times New Roman" w:hAnsi="Times New Roman" w:eastAsia="宋体" w:cs="Times New Roman"/>
                <w:bCs/>
                <w:color w:val="auto"/>
                <w:sz w:val="24"/>
                <w:szCs w:val="24"/>
                <w:highlight w:val="none"/>
              </w:rPr>
              <w:t>附图1。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0" w:hRule="atLeast"/>
          <w:jc w:val="center"/>
        </w:trPr>
        <w:tc>
          <w:tcPr>
            <w:tcW w:w="496" w:type="dxa"/>
            <w:noWrap w:val="0"/>
            <w:tcMar>
              <w:left w:w="108" w:type="dxa"/>
              <w:right w:w="108" w:type="dxa"/>
            </w:tcMar>
            <w:vAlign w:val="center"/>
          </w:tcPr>
          <w:p>
            <w:pPr>
              <w:keepNext w:val="0"/>
              <w:keepLines w:val="0"/>
              <w:suppressLineNumbers w:val="0"/>
              <w:autoSpaceDE w:val="0"/>
              <w:autoSpaceDN w:val="0"/>
              <w:adjustRightInd w:val="0"/>
              <w:spacing w:before="0" w:beforeAutospacing="0" w:after="0" w:afterAutospacing="0" w:line="0" w:lineRule="atLeas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项目组成及规模</w:t>
            </w:r>
          </w:p>
        </w:tc>
        <w:tc>
          <w:tcPr>
            <w:tcW w:w="8576"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b/>
                <w:color w:val="auto"/>
                <w:sz w:val="24"/>
                <w:szCs w:val="20"/>
                <w:highlight w:val="none"/>
              </w:rPr>
              <w:t>工程规模及内容</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为满足当前经济发展和人民生活对</w:t>
            </w:r>
            <w:r>
              <w:rPr>
                <w:rFonts w:hint="default" w:ascii="Times New Roman" w:hAnsi="Times New Roman" w:eastAsia="宋体" w:cs="Times New Roman"/>
                <w:color w:val="auto"/>
                <w:sz w:val="24"/>
                <w:highlight w:val="none"/>
                <w:lang w:val="en-US" w:eastAsia="zh-CN"/>
              </w:rPr>
              <w:t>石油、天然气</w:t>
            </w:r>
            <w:r>
              <w:rPr>
                <w:rFonts w:hint="default" w:ascii="Times New Roman" w:hAnsi="Times New Roman" w:eastAsia="宋体" w:cs="Times New Roman"/>
                <w:color w:val="auto"/>
                <w:sz w:val="24"/>
                <w:highlight w:val="none"/>
              </w:rPr>
              <w:t>日益增长的需求，通过勘探了解地质状况，认识</w:t>
            </w:r>
            <w:r>
              <w:rPr>
                <w:rFonts w:hint="default" w:ascii="Times New Roman" w:hAnsi="Times New Roman" w:eastAsia="宋体" w:cs="Times New Roman"/>
                <w:color w:val="auto"/>
                <w:sz w:val="24"/>
                <w:highlight w:val="none"/>
                <w:lang w:val="en-US" w:eastAsia="zh-CN"/>
              </w:rPr>
              <w:t>油气</w:t>
            </w:r>
            <w:r>
              <w:rPr>
                <w:rFonts w:hint="default" w:ascii="Times New Roman" w:hAnsi="Times New Roman" w:eastAsia="宋体" w:cs="Times New Roman"/>
                <w:color w:val="auto"/>
                <w:sz w:val="24"/>
                <w:highlight w:val="none"/>
              </w:rPr>
              <w:t>聚集、保存等条</w:t>
            </w:r>
            <w:r>
              <w:rPr>
                <w:rFonts w:hint="default" w:ascii="Times New Roman" w:hAnsi="Times New Roman" w:eastAsia="宋体" w:cs="Times New Roman"/>
                <w:color w:val="auto"/>
                <w:sz w:val="24"/>
                <w:highlight w:val="none"/>
                <w:lang w:eastAsia="zh-CN"/>
              </w:rPr>
              <w:t>件，确定</w:t>
            </w:r>
            <w:r>
              <w:rPr>
                <w:rFonts w:hint="default" w:ascii="Times New Roman" w:hAnsi="Times New Roman" w:eastAsia="宋体" w:cs="Times New Roman"/>
                <w:color w:val="auto"/>
                <w:sz w:val="24"/>
                <w:highlight w:val="none"/>
                <w:lang w:val="en-US" w:eastAsia="zh-CN"/>
              </w:rPr>
              <w:t>油气</w:t>
            </w:r>
            <w:r>
              <w:rPr>
                <w:rFonts w:hint="default" w:ascii="Times New Roman" w:hAnsi="Times New Roman" w:eastAsia="宋体" w:cs="Times New Roman"/>
                <w:color w:val="auto"/>
                <w:sz w:val="24"/>
                <w:highlight w:val="none"/>
                <w:lang w:eastAsia="zh-CN"/>
              </w:rPr>
              <w:t>聚集的有利地区。为此，中国石油天然气股份有限公司塔里木油田分公司决定投资</w:t>
            </w:r>
            <w:r>
              <w:rPr>
                <w:rFonts w:hint="eastAsia" w:ascii="Times New Roman" w:cs="Times New Roman"/>
                <w:color w:val="auto"/>
                <w:sz w:val="24"/>
                <w:highlight w:val="none"/>
                <w:lang w:val="en-US" w:eastAsia="zh-CN"/>
              </w:rPr>
              <w:t>9700</w:t>
            </w:r>
            <w:r>
              <w:rPr>
                <w:rFonts w:hint="default" w:ascii="Times New Roman" w:hAnsi="Times New Roman" w:eastAsia="宋体" w:cs="Times New Roman"/>
                <w:color w:val="auto"/>
                <w:sz w:val="24"/>
                <w:highlight w:val="none"/>
                <w:lang w:eastAsia="zh-CN"/>
              </w:rPr>
              <w:t>万元，</w:t>
            </w:r>
            <w:r>
              <w:rPr>
                <w:rFonts w:hint="default" w:ascii="Times New Roman" w:hAnsi="Times New Roman" w:eastAsia="宋体" w:cs="Times New Roman"/>
                <w:color w:val="auto"/>
                <w:sz w:val="24"/>
                <w:highlight w:val="none"/>
              </w:rPr>
              <w:t>建设</w:t>
            </w:r>
            <w:r>
              <w:rPr>
                <w:rFonts w:hint="eastAsia" w:ascii="Times New Roman" w:cs="Times New Roman"/>
                <w:color w:val="auto"/>
                <w:sz w:val="24"/>
                <w:highlight w:val="none"/>
                <w:lang w:val="en-US" w:eastAsia="zh-CN"/>
              </w:rPr>
              <w:t>中寒301</w:t>
            </w:r>
            <w:r>
              <w:rPr>
                <w:rFonts w:hint="default" w:ascii="Times New Roman" w:hAnsi="Times New Roman" w:eastAsia="宋体" w:cs="Times New Roman"/>
                <w:color w:val="auto"/>
                <w:sz w:val="24"/>
                <w:highlight w:val="none"/>
                <w:lang w:val="en-US" w:eastAsia="zh-CN"/>
              </w:rPr>
              <w:t>井</w:t>
            </w:r>
            <w:r>
              <w:rPr>
                <w:rFonts w:hint="default" w:ascii="Times New Roman" w:hAnsi="Times New Roman" w:eastAsia="宋体" w:cs="Times New Roman"/>
                <w:color w:val="auto"/>
                <w:sz w:val="24"/>
                <w:highlight w:val="none"/>
                <w:lang w:eastAsia="zh-CN"/>
              </w:rPr>
              <w:t>（勘探井）钻井工程，</w:t>
            </w:r>
            <w:r>
              <w:rPr>
                <w:rFonts w:hint="default" w:ascii="Times New Roman" w:hAnsi="Times New Roman" w:eastAsia="宋体" w:cs="Times New Roman"/>
                <w:color w:val="auto"/>
                <w:sz w:val="24"/>
                <w:highlight w:val="none"/>
                <w:lang w:val="en-US" w:eastAsia="zh-CN"/>
              </w:rPr>
              <w:t>以探索新的油气开发区域</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为实现原油产量稳中上升和天然气快速上产，做好前期勘探准备。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color w:val="auto"/>
                <w:sz w:val="24"/>
                <w:highlight w:val="none"/>
              </w:rPr>
              <w:t>根据《中华人民共和国环境影响评价法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建设项目环境保护管理条例》和《建设项目环境影响评价分类管理名录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2021年</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》等环境保护法律、法规、规章的规定，本项目属于“四十六、专业技术服务业 99 陆地矿产资源地质勘查（含油气资源勘探）”，且不属于海洋油气勘探工程，应编制环境影响报告表。</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1</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项目名称</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cs="Times New Roman"/>
                <w:color w:val="auto"/>
                <w:sz w:val="24"/>
                <w:highlight w:val="none"/>
                <w:lang w:val="en-US" w:eastAsia="zh-CN"/>
              </w:rPr>
              <w:t>中寒301</w:t>
            </w:r>
            <w:r>
              <w:rPr>
                <w:rFonts w:hint="default" w:ascii="Times New Roman" w:hAnsi="Times New Roman" w:eastAsia="宋体" w:cs="Times New Roman"/>
                <w:color w:val="auto"/>
                <w:sz w:val="24"/>
                <w:highlight w:val="none"/>
                <w:lang w:val="en-US" w:eastAsia="zh-CN"/>
              </w:rPr>
              <w:t>井</w:t>
            </w:r>
            <w:r>
              <w:rPr>
                <w:rFonts w:hint="default" w:ascii="Times New Roman" w:hAnsi="Times New Roman" w:eastAsia="宋体" w:cs="Times New Roman"/>
                <w:color w:val="auto"/>
                <w:sz w:val="24"/>
                <w:highlight w:val="none"/>
                <w:lang w:eastAsia="zh-CN"/>
              </w:rPr>
              <w:t>（勘探井）钻井工程</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2</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建设单位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中国石油天然气股份有限公司塔里木油田分公司。</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3</w:t>
            </w:r>
            <w:r>
              <w:rPr>
                <w:rFonts w:hint="default" w:ascii="Times New Roman" w:hAnsi="Times New Roman" w:eastAsia="宋体" w:cs="Times New Roman"/>
                <w:b/>
                <w:bCs/>
                <w:color w:val="auto"/>
                <w:sz w:val="24"/>
                <w:highlight w:val="none"/>
              </w:rPr>
              <w:t>、建设</w:t>
            </w:r>
            <w:r>
              <w:rPr>
                <w:rFonts w:hint="default" w:ascii="Times New Roman" w:hAnsi="Times New Roman" w:eastAsia="宋体" w:cs="Times New Roman"/>
                <w:b/>
                <w:color w:val="auto"/>
                <w:sz w:val="24"/>
                <w:szCs w:val="20"/>
                <w:highlight w:val="none"/>
              </w:rPr>
              <w:t>性质</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新建</w:t>
            </w:r>
            <w:r>
              <w:rPr>
                <w:rFonts w:hint="default" w:ascii="Times New Roman" w:hAnsi="Times New Roman" w:eastAsia="宋体" w:cs="Times New Roman"/>
                <w:color w:val="auto"/>
                <w:sz w:val="24"/>
                <w:szCs w:val="20"/>
                <w:highlight w:val="none"/>
              </w:rPr>
              <w:t>。</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4</w:t>
            </w:r>
            <w:r>
              <w:rPr>
                <w:rFonts w:hint="default" w:ascii="Times New Roman" w:hAnsi="Times New Roman" w:eastAsia="宋体" w:cs="Times New Roman"/>
                <w:b/>
                <w:bCs/>
                <w:color w:val="auto"/>
                <w:sz w:val="24"/>
                <w:highlight w:val="none"/>
              </w:rPr>
              <w:t>、项目</w:t>
            </w:r>
            <w:r>
              <w:rPr>
                <w:rFonts w:hint="default" w:ascii="Times New Roman" w:hAnsi="Times New Roman" w:eastAsia="宋体" w:cs="Times New Roman"/>
                <w:b/>
                <w:color w:val="auto"/>
                <w:sz w:val="24"/>
                <w:szCs w:val="20"/>
                <w:highlight w:val="none"/>
              </w:rPr>
              <w:t>投资</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总投资</w:t>
            </w:r>
            <w:r>
              <w:rPr>
                <w:rFonts w:hint="eastAsia" w:ascii="Times New Roman" w:cs="Times New Roman"/>
                <w:color w:val="auto"/>
                <w:sz w:val="24"/>
                <w:highlight w:val="none"/>
                <w:lang w:val="en-US" w:eastAsia="zh-CN"/>
              </w:rPr>
              <w:t>9700</w:t>
            </w:r>
            <w:r>
              <w:rPr>
                <w:rFonts w:hint="default" w:ascii="Times New Roman" w:hAnsi="Times New Roman" w:eastAsia="宋体" w:cs="Times New Roman"/>
                <w:color w:val="auto"/>
                <w:sz w:val="24"/>
                <w:highlight w:val="none"/>
              </w:rPr>
              <w:t>万元，其中环保投资</w:t>
            </w:r>
            <w:r>
              <w:rPr>
                <w:rFonts w:hint="default" w:ascii="Times New Roman" w:hAnsi="Times New Roman" w:eastAsia="宋体" w:cs="Times New Roman"/>
                <w:color w:val="auto"/>
                <w:sz w:val="24"/>
                <w:highlight w:val="none"/>
                <w:lang w:val="en-US" w:eastAsia="zh-CN"/>
              </w:rPr>
              <w:t>150</w:t>
            </w:r>
            <w:r>
              <w:rPr>
                <w:rFonts w:hint="default" w:ascii="Times New Roman" w:hAnsi="Times New Roman" w:eastAsia="宋体" w:cs="Times New Roman"/>
                <w:color w:val="auto"/>
                <w:sz w:val="24"/>
                <w:highlight w:val="none"/>
              </w:rPr>
              <w:t>万元，占总投资的</w:t>
            </w:r>
            <w:r>
              <w:rPr>
                <w:rFonts w:hint="eastAsia" w:ascii="Times New Roman" w:cs="Times New Roman"/>
                <w:color w:val="auto"/>
                <w:sz w:val="24"/>
                <w:highlight w:val="none"/>
                <w:lang w:val="en-US" w:eastAsia="zh-CN"/>
              </w:rPr>
              <w:t>1.5</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5</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占地类型及用地现状</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项目占地主要为</w:t>
            </w:r>
            <w:r>
              <w:rPr>
                <w:rFonts w:hint="eastAsia" w:ascii="Times New Roman" w:cs="Times New Roman"/>
                <w:color w:val="auto"/>
                <w:sz w:val="24"/>
                <w:highlight w:val="none"/>
                <w:lang w:val="en-US" w:eastAsia="zh-CN"/>
              </w:rPr>
              <w:t>沙地</w:t>
            </w:r>
            <w:r>
              <w:rPr>
                <w:rFonts w:hint="default" w:ascii="Times New Roman" w:hAnsi="Times New Roman" w:eastAsia="宋体" w:cs="Times New Roman"/>
                <w:color w:val="auto"/>
                <w:sz w:val="24"/>
                <w:highlight w:val="none"/>
                <w:lang w:val="en-US" w:eastAsia="zh-CN"/>
              </w:rPr>
              <w:t>，不占用基本农田，临时</w:t>
            </w:r>
            <w:r>
              <w:rPr>
                <w:rFonts w:hint="default" w:ascii="Times New Roman" w:hAnsi="Times New Roman" w:eastAsia="宋体" w:cs="Times New Roman"/>
                <w:color w:val="auto"/>
                <w:kern w:val="2"/>
                <w:sz w:val="24"/>
                <w:szCs w:val="24"/>
                <w:highlight w:val="none"/>
                <w:lang w:val="en-US" w:eastAsia="zh-CN"/>
              </w:rPr>
              <w:t>占地面积为</w:t>
            </w:r>
            <w:r>
              <w:rPr>
                <w:rFonts w:hint="eastAsia" w:ascii="Times New Roman" w:cs="Times New Roman"/>
                <w:color w:val="auto"/>
                <w:kern w:val="2"/>
                <w:sz w:val="24"/>
                <w:szCs w:val="24"/>
                <w:highlight w:val="none"/>
                <w:lang w:val="en-US" w:eastAsia="zh-CN"/>
              </w:rPr>
              <w:t>19760</w:t>
            </w:r>
            <w:r>
              <w:rPr>
                <w:rFonts w:hint="default" w:ascii="Times New Roman" w:hAnsi="Times New Roman" w:eastAsia="宋体" w:cs="Times New Roman"/>
                <w:color w:val="auto"/>
                <w:kern w:val="2"/>
                <w:sz w:val="24"/>
                <w:szCs w:val="24"/>
                <w:highlight w:val="none"/>
                <w:lang w:val="en-US" w:eastAsia="zh-CN"/>
              </w:rPr>
              <w:t>m</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highlight w:val="none"/>
                <w:lang w:bidi="ar"/>
              </w:rPr>
              <w:t>其中井场面积为</w:t>
            </w:r>
            <w:r>
              <w:rPr>
                <w:rFonts w:hint="default" w:ascii="Times New Roman" w:hAnsi="Times New Roman" w:eastAsia="宋体" w:cs="Times New Roman"/>
                <w:color w:val="auto"/>
                <w:sz w:val="24"/>
                <w:highlight w:val="none"/>
                <w:lang w:val="en-US" w:eastAsia="zh-CN" w:bidi="ar"/>
              </w:rPr>
              <w:t>14000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2</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100m×140m</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lang w:bidi="ar"/>
              </w:rPr>
              <w:t>，生活区</w:t>
            </w:r>
            <w:r>
              <w:rPr>
                <w:rFonts w:hint="default" w:ascii="Times New Roman" w:hAnsi="Times New Roman" w:eastAsia="宋体" w:cs="Times New Roman"/>
                <w:color w:val="auto"/>
                <w:sz w:val="24"/>
                <w:highlight w:val="none"/>
                <w:lang w:val="en-US" w:eastAsia="zh-CN" w:bidi="ar"/>
              </w:rPr>
              <w:t>面积3500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highlight w:val="none"/>
                <w:lang w:bidi="ar"/>
              </w:rPr>
              <w:t>，进场道路</w:t>
            </w:r>
            <w:r>
              <w:rPr>
                <w:rFonts w:hint="default" w:ascii="Times New Roman" w:hAnsi="Times New Roman" w:eastAsia="宋体" w:cs="Times New Roman"/>
                <w:color w:val="auto"/>
                <w:sz w:val="24"/>
                <w:highlight w:val="none"/>
                <w:lang w:val="en-US" w:eastAsia="zh-CN" w:bidi="ar"/>
              </w:rPr>
              <w:t>面积</w:t>
            </w:r>
            <w:r>
              <w:rPr>
                <w:rFonts w:hint="eastAsia" w:ascii="Times New Roman" w:cs="Times New Roman"/>
                <w:color w:val="auto"/>
                <w:sz w:val="24"/>
                <w:highlight w:val="none"/>
                <w:lang w:val="en-US" w:eastAsia="zh-CN" w:bidi="ar"/>
              </w:rPr>
              <w:t>1860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其他各类池体占地400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highlight w:val="none"/>
                <w:lang w:eastAsia="zh-CN"/>
              </w:rPr>
              <w:t>。</w:t>
            </w: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1    项目占地情况一览表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385"/>
              <w:gridCol w:w="1635"/>
              <w:gridCol w:w="1635"/>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序号</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项目</w:t>
                  </w:r>
                </w:p>
              </w:tc>
              <w:tc>
                <w:tcPr>
                  <w:tcW w:w="9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bidi="ar"/>
                    </w:rPr>
                    <w:t>占地面积</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占地性质</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1</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井场</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top"/>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14000</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2</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生活区</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Cs w:val="21"/>
                      <w:highlight w:val="none"/>
                      <w:lang w:val="en-US" w:eastAsia="zh-CN" w:bidi="ar"/>
                    </w:rPr>
                    <w:t>3500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3</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进场道路</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 w:val="21"/>
                      <w:szCs w:val="21"/>
                      <w:highlight w:val="none"/>
                      <w:lang w:val="en-US" w:eastAsia="zh-CN" w:bidi="ar"/>
                    </w:rPr>
                    <w:t>1860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4</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各类池体</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 w:val="21"/>
                      <w:szCs w:val="21"/>
                      <w:highlight w:val="none"/>
                      <w:lang w:val="en-US" w:eastAsia="zh-CN" w:bidi="ar"/>
                    </w:rPr>
                    <w:t>400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27"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合计</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eastAsia" w:ascii="Times New Roman" w:cs="Times New Roman"/>
                      <w:snapToGrid w:val="0"/>
                      <w:color w:val="auto"/>
                      <w:spacing w:val="0"/>
                      <w:kern w:val="0"/>
                      <w:szCs w:val="21"/>
                      <w:highlight w:val="none"/>
                      <w:lang w:val="en-US" w:eastAsia="zh-CN" w:bidi="ar"/>
                    </w:rPr>
                    <w:t>19760</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6、建设规模</w:t>
            </w:r>
          </w:p>
          <w:p>
            <w:pPr>
              <w:keepNext w:val="0"/>
              <w:keepLines w:val="0"/>
              <w:pageBreakBefore w:val="0"/>
              <w:widowControl w:val="0"/>
              <w:suppressLineNumbers w:val="0"/>
              <w:tabs>
                <w:tab w:val="left" w:pos="5250"/>
              </w:tabs>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项目建设1口勘探井，目的为探测区域新的油气资源。井型为</w:t>
            </w:r>
            <w:r>
              <w:rPr>
                <w:rFonts w:hint="default" w:ascii="Times New Roman" w:hAnsi="Times New Roman" w:cs="Times New Roman"/>
                <w:color w:val="auto"/>
                <w:sz w:val="24"/>
                <w:highlight w:val="none"/>
                <w:lang w:val="en-US" w:eastAsia="zh-CN"/>
              </w:rPr>
              <w:t>五开直井</w:t>
            </w:r>
            <w:r>
              <w:rPr>
                <w:rFonts w:hint="default" w:ascii="Times New Roman" w:hAnsi="Times New Roman" w:eastAsia="宋体" w:cs="Times New Roman"/>
                <w:color w:val="auto"/>
                <w:sz w:val="24"/>
                <w:highlight w:val="none"/>
                <w:lang w:val="en-US" w:eastAsia="zh-CN"/>
              </w:rPr>
              <w:t>，设计井深</w:t>
            </w:r>
            <w:r>
              <w:rPr>
                <w:rFonts w:hint="default" w:ascii="Times New Roman" w:hAnsi="Times New Roman" w:cs="Times New Roman"/>
                <w:color w:val="auto"/>
                <w:sz w:val="24"/>
                <w:highlight w:val="none"/>
                <w:lang w:val="en-US" w:eastAsia="zh-CN"/>
              </w:rPr>
              <w:t>8650</w:t>
            </w:r>
            <w:r>
              <w:rPr>
                <w:rFonts w:hint="default" w:ascii="Times New Roman" w:hAnsi="Times New Roman" w:eastAsia="宋体" w:cs="Times New Roman"/>
                <w:color w:val="auto"/>
                <w:sz w:val="24"/>
                <w:highlight w:val="none"/>
                <w:lang w:val="en-US" w:eastAsia="zh-CN"/>
              </w:rPr>
              <w:t>m，目的层为</w:t>
            </w:r>
            <w:r>
              <w:rPr>
                <w:rFonts w:hint="default" w:ascii="Times New Roman" w:hAnsi="Times New Roman" w:cs="Times New Roman"/>
                <w:color w:val="auto"/>
                <w:sz w:val="24"/>
                <w:highlight w:val="none"/>
                <w:lang w:val="en-US" w:eastAsia="zh-CN"/>
              </w:rPr>
              <w:t>寒武系吾松格尔、肖尔布拉克组</w:t>
            </w:r>
            <w:r>
              <w:rPr>
                <w:rFonts w:hint="default" w:ascii="Times New Roman" w:hAnsi="Times New Roman" w:eastAsia="宋体" w:cs="Times New Roman"/>
                <w:color w:val="auto"/>
                <w:sz w:val="24"/>
                <w:highlight w:val="none"/>
                <w:lang w:val="en-US" w:eastAsia="zh-CN"/>
              </w:rPr>
              <w:t>，项目基本数据见表2-2。</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表2-</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 xml:space="preserve">    </w:t>
            </w:r>
            <w:r>
              <w:rPr>
                <w:rFonts w:hint="default" w:ascii="Times New Roman" w:hAnsi="Times New Roman" w:cs="Times New Roman"/>
                <w:b/>
                <w:bCs/>
                <w:color w:val="auto"/>
                <w:sz w:val="24"/>
                <w:highlight w:val="none"/>
                <w:lang w:val="en-US" w:eastAsia="zh-CN"/>
              </w:rPr>
              <w:t>中寒301</w:t>
            </w:r>
            <w:r>
              <w:rPr>
                <w:rFonts w:hint="default" w:ascii="Times New Roman" w:hAnsi="Times New Roman" w:eastAsia="宋体" w:cs="Times New Roman"/>
                <w:b/>
                <w:bCs/>
                <w:color w:val="auto"/>
                <w:sz w:val="24"/>
                <w:highlight w:val="none"/>
                <w:lang w:val="en-US" w:eastAsia="zh-CN"/>
              </w:rPr>
              <w:t>井</w:t>
            </w:r>
            <w:r>
              <w:rPr>
                <w:rFonts w:hint="default" w:ascii="Times New Roman" w:hAnsi="Times New Roman" w:eastAsia="宋体" w:cs="Times New Roman"/>
                <w:b/>
                <w:bCs/>
                <w:color w:val="auto"/>
                <w:sz w:val="24"/>
                <w:highlight w:val="none"/>
              </w:rPr>
              <w:t>基本数据</w:t>
            </w:r>
          </w:p>
          <w:tbl>
            <w:tblPr>
              <w:tblStyle w:val="32"/>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39"/>
              <w:gridCol w:w="1852"/>
              <w:gridCol w:w="1800"/>
              <w:gridCol w:w="3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井号</w:t>
                  </w: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val="en-US" w:eastAsia="zh-CN"/>
                    </w:rPr>
                    <w:t>中寒301</w:t>
                  </w:r>
                  <w:r>
                    <w:rPr>
                      <w:rFonts w:hint="default" w:ascii="Times New Roman" w:hAnsi="Times New Roman" w:eastAsia="宋体" w:cs="Times New Roman"/>
                      <w:color w:val="auto"/>
                      <w:spacing w:val="-10"/>
                      <w:sz w:val="21"/>
                      <w:szCs w:val="21"/>
                      <w:highlight w:val="none"/>
                      <w:lang w:val="en-US" w:eastAsia="zh-CN"/>
                    </w:rPr>
                    <w:t>井</w:t>
                  </w:r>
                </w:p>
              </w:tc>
              <w:tc>
                <w:tcPr>
                  <w:tcW w:w="18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井型</w:t>
                  </w:r>
                </w:p>
              </w:tc>
              <w:tc>
                <w:tcPr>
                  <w:tcW w:w="3047"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val="en-US" w:eastAsia="zh-CN"/>
                    </w:rPr>
                    <w:t>五开直井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地理位置</w:t>
                  </w:r>
                </w:p>
              </w:tc>
              <w:tc>
                <w:tcPr>
                  <w:tcW w:w="6699"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新疆维吾尔自治区巴音郭楞蒙古自治州</w:t>
                  </w:r>
                  <w:r>
                    <w:rPr>
                      <w:rFonts w:hint="default" w:ascii="Times New Roman" w:hAnsi="Times New Roman" w:cs="Times New Roman"/>
                      <w:color w:val="auto"/>
                      <w:spacing w:val="-10"/>
                      <w:sz w:val="21"/>
                      <w:szCs w:val="21"/>
                      <w:highlight w:val="none"/>
                      <w:lang w:eastAsia="zh-CN"/>
                    </w:rPr>
                    <w:t>且末县塔中镇</w:t>
                  </w:r>
                  <w:r>
                    <w:rPr>
                      <w:rFonts w:hint="eastAsia" w:ascii="Times New Roman" w:cs="Times New Roman"/>
                      <w:color w:val="auto"/>
                      <w:spacing w:val="-10"/>
                      <w:sz w:val="21"/>
                      <w:szCs w:val="21"/>
                      <w:highlight w:val="none"/>
                      <w:lang w:eastAsia="zh-CN"/>
                    </w:rPr>
                    <w:t>西北侧23.6km处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639"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地理坐标</w:t>
                  </w: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北纬</w:t>
                  </w:r>
                </w:p>
              </w:tc>
              <w:tc>
                <w:tcPr>
                  <w:tcW w:w="4847"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eastAsia="zh-CN"/>
                    </w:rPr>
                    <w:t>39°13′52.020″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6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东经</w:t>
                  </w:r>
                </w:p>
              </w:tc>
              <w:tc>
                <w:tcPr>
                  <w:tcW w:w="4847"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eastAsia="zh-CN"/>
                    </w:rPr>
                    <w:t>83°30′50.721″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地面海拔</w:t>
                  </w:r>
                </w:p>
              </w:tc>
              <w:tc>
                <w:tcPr>
                  <w:tcW w:w="185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1099</w:t>
                  </w:r>
                  <w:r>
                    <w:rPr>
                      <w:rFonts w:hint="default" w:ascii="Times New Roman" w:hAnsi="Times New Roman" w:eastAsia="宋体" w:cs="Times New Roman"/>
                      <w:color w:val="auto"/>
                      <w:spacing w:val="-10"/>
                      <w:sz w:val="21"/>
                      <w:szCs w:val="21"/>
                      <w:highlight w:val="none"/>
                      <w:lang w:eastAsia="zh-CN"/>
                    </w:rPr>
                    <w:t>m</w:t>
                  </w:r>
                </w:p>
              </w:tc>
              <w:tc>
                <w:tcPr>
                  <w:tcW w:w="18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完井层位</w:t>
                  </w:r>
                </w:p>
              </w:tc>
              <w:tc>
                <w:tcPr>
                  <w:tcW w:w="304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寒武系吾松格尔、肖尔布拉克组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2"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设计井深（垂深）</w:t>
                  </w: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val="en-US" w:eastAsia="zh-CN"/>
                    </w:rPr>
                    <w:t>8650</w:t>
                  </w:r>
                  <w:r>
                    <w:rPr>
                      <w:rFonts w:hint="default" w:ascii="Times New Roman" w:hAnsi="Times New Roman" w:eastAsia="宋体" w:cs="Times New Roman"/>
                      <w:color w:val="auto"/>
                      <w:spacing w:val="-10"/>
                      <w:sz w:val="21"/>
                      <w:szCs w:val="21"/>
                      <w:highlight w:val="none"/>
                      <w:lang w:eastAsia="zh-CN"/>
                    </w:rPr>
                    <w:t>m</w:t>
                  </w:r>
                </w:p>
              </w:tc>
              <w:tc>
                <w:tcPr>
                  <w:tcW w:w="18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目的层</w:t>
                  </w:r>
                </w:p>
              </w:tc>
              <w:tc>
                <w:tcPr>
                  <w:tcW w:w="304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寒武系吾松格尔、肖尔布拉克组</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bCs/>
                <w:color w:val="auto"/>
                <w:sz w:val="24"/>
                <w:szCs w:val="24"/>
                <w:highlight w:val="none"/>
                <w:lang w:val="en-US" w:eastAsia="zh-CN"/>
              </w:rPr>
            </w:pPr>
            <w:bookmarkStart w:id="12" w:name="_Toc13753"/>
            <w:bookmarkStart w:id="13" w:name="_Toc16421"/>
            <w:bookmarkStart w:id="14" w:name="_Toc197412920"/>
            <w:bookmarkStart w:id="15" w:name="_Toc30620"/>
            <w:bookmarkStart w:id="16" w:name="_Toc19715"/>
            <w:bookmarkStart w:id="17" w:name="_Toc197413054"/>
            <w:r>
              <w:rPr>
                <w:rFonts w:hint="eastAsia" w:ascii="Times New Roman" w:cs="Times New Roman"/>
                <w:color w:val="auto"/>
                <w:sz w:val="24"/>
                <w:highlight w:val="none"/>
                <w:lang w:val="en-US" w:eastAsia="zh-CN"/>
              </w:rPr>
              <w:t>中寒301</w:t>
            </w:r>
            <w:r>
              <w:rPr>
                <w:rFonts w:hint="default" w:ascii="Times New Roman" w:hAnsi="Times New Roman" w:eastAsia="宋体" w:cs="Times New Roman"/>
                <w:color w:val="auto"/>
                <w:sz w:val="24"/>
                <w:highlight w:val="none"/>
                <w:lang w:val="en-US" w:eastAsia="zh-CN"/>
              </w:rPr>
              <w:t>井井身结构设计数据表2-3。</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表2-3    项目井身结构及泥浆体系一览表</w:t>
            </w:r>
          </w:p>
          <w:tbl>
            <w:tblPr>
              <w:tblStyle w:val="32"/>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4"/>
              <w:gridCol w:w="1460"/>
              <w:gridCol w:w="690"/>
              <w:gridCol w:w="634"/>
              <w:gridCol w:w="674"/>
              <w:gridCol w:w="749"/>
              <w:gridCol w:w="748"/>
              <w:gridCol w:w="29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开钻</w:t>
                  </w:r>
                </w:p>
              </w:tc>
              <w:tc>
                <w:tcPr>
                  <w:tcW w:w="875"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钻头尺寸（钻头直径×深度）</w:t>
                  </w:r>
                </w:p>
              </w:tc>
              <w:tc>
                <w:tcPr>
                  <w:tcW w:w="413"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钻井液体系</w:t>
                  </w:r>
                </w:p>
              </w:tc>
              <w:tc>
                <w:tcPr>
                  <w:tcW w:w="380"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钻井泥浆体系</w:t>
                  </w:r>
                </w:p>
              </w:tc>
              <w:tc>
                <w:tcPr>
                  <w:tcW w:w="404"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泥浆用量m</w:t>
                  </w:r>
                  <w:r>
                    <w:rPr>
                      <w:rFonts w:hint="default" w:ascii="Times New Roman" w:hAnsi="Times New Roman" w:eastAsia="宋体" w:cs="Times New Roman"/>
                      <w:b w:val="0"/>
                      <w:bCs w:val="0"/>
                      <w:color w:val="auto"/>
                      <w:spacing w:val="-10"/>
                      <w:kern w:val="2"/>
                      <w:sz w:val="21"/>
                      <w:szCs w:val="21"/>
                      <w:highlight w:val="none"/>
                      <w:vertAlign w:val="superscript"/>
                      <w:lang w:val="en-US" w:eastAsia="zh-CN" w:bidi="ar-SA"/>
                    </w:rPr>
                    <w:t>3</w:t>
                  </w:r>
                </w:p>
              </w:tc>
              <w:tc>
                <w:tcPr>
                  <w:tcW w:w="449"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污染物</w:t>
                  </w:r>
                </w:p>
              </w:tc>
              <w:tc>
                <w:tcPr>
                  <w:tcW w:w="448"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岩屑产生量m</w:t>
                  </w:r>
                  <w:r>
                    <w:rPr>
                      <w:rFonts w:hint="default" w:ascii="Times New Roman" w:hAnsi="Times New Roman" w:eastAsia="宋体" w:cs="Times New Roman"/>
                      <w:b w:val="0"/>
                      <w:bCs w:val="0"/>
                      <w:color w:val="auto"/>
                      <w:spacing w:val="-10"/>
                      <w:kern w:val="2"/>
                      <w:sz w:val="21"/>
                      <w:szCs w:val="21"/>
                      <w:highlight w:val="none"/>
                      <w:vertAlign w:val="superscript"/>
                      <w:lang w:val="en-US" w:eastAsia="zh-CN" w:bidi="ar-SA"/>
                    </w:rPr>
                    <w:t>3</w:t>
                  </w:r>
                </w:p>
              </w:tc>
              <w:tc>
                <w:tcPr>
                  <w:tcW w:w="1755"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治理措施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bidi="ar-SA"/>
                    </w:rPr>
                    <w:t>一开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571.5</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w:t>
                  </w:r>
                  <w:r>
                    <w:rPr>
                      <w:rFonts w:hint="eastAsia" w:ascii="Times New Roman" w:cs="Times New Roman"/>
                      <w:color w:val="auto"/>
                      <w:spacing w:val="-10"/>
                      <w:sz w:val="21"/>
                      <w:szCs w:val="21"/>
                      <w:highlight w:val="none"/>
                      <w:lang w:val="en-US" w:eastAsia="zh-CN"/>
                    </w:rPr>
                    <w:t>1200</w:t>
                  </w:r>
                  <w:r>
                    <w:rPr>
                      <w:rFonts w:hint="default" w:ascii="Times New Roman" w:hAnsi="Times New Roman" w:eastAsia="宋体" w:cs="Times New Roman"/>
                      <w:color w:val="auto"/>
                      <w:spacing w:val="-10"/>
                      <w:sz w:val="21"/>
                      <w:szCs w:val="21"/>
                      <w:highlight w:val="none"/>
                    </w:rPr>
                    <w:t>)m</w:t>
                  </w:r>
                </w:p>
              </w:tc>
              <w:tc>
                <w:tcPr>
                  <w:tcW w:w="413"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4"/>
                      <w:sz w:val="21"/>
                      <w:szCs w:val="21"/>
                      <w:highlight w:val="none"/>
                    </w:rPr>
                    <w:t>膨润土-聚合物</w:t>
                  </w:r>
                </w:p>
              </w:tc>
              <w:tc>
                <w:tcPr>
                  <w:tcW w:w="380"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膨润土体系泥浆</w:t>
                  </w: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277.11</w:t>
                  </w:r>
                </w:p>
              </w:tc>
              <w:tc>
                <w:tcPr>
                  <w:tcW w:w="449"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膨润土钻井岩屑</w:t>
                  </w: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677.21</w:t>
                  </w:r>
                </w:p>
              </w:tc>
              <w:tc>
                <w:tcPr>
                  <w:tcW w:w="1755"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eastAsia"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rPr>
                    <w:t>岩屑随钻井泥浆带出，采用“泥浆不落地”工艺收集，泥浆排入泥浆罐循环使用，完井后拉运至下一口井再利用</w:t>
                  </w:r>
                  <w:r>
                    <w:rPr>
                      <w:rFonts w:hint="eastAsia" w:ascii="Times New Roman" w:cs="Times New Roman"/>
                      <w:color w:val="auto"/>
                      <w:spacing w:val="-10"/>
                      <w:sz w:val="21"/>
                      <w:szCs w:val="21"/>
                      <w:highlight w:val="none"/>
                      <w:lang w:eastAsia="zh-CN"/>
                    </w:rPr>
                    <w:t>；膨润土体系废弃钻井岩屑排入防渗岩屑池干化</w:t>
                  </w:r>
                  <w:r>
                    <w:rPr>
                      <w:rFonts w:hint="default" w:ascii="Times New Roman" w:hAnsi="Times New Roman" w:eastAsia="宋体" w:cs="Times New Roman"/>
                      <w:color w:val="auto"/>
                      <w:spacing w:val="-10"/>
                      <w:sz w:val="21"/>
                      <w:szCs w:val="21"/>
                      <w:highlight w:val="none"/>
                    </w:rPr>
                    <w:t>，达到《油气田钻井固体废物综合利用污染控制要求》</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DB65/T3997-2017</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标准后，用于井场平整</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聚磺体系废弃钻井岩屑在井场环保罐暂存，根据生产情况转运至</w:t>
                  </w:r>
                  <w:r>
                    <w:rPr>
                      <w:rFonts w:hint="default" w:ascii="Times New Roman" w:hAnsi="Times New Roman" w:eastAsia="宋体" w:cs="Times New Roman"/>
                      <w:snapToGrid w:val="0"/>
                      <w:color w:val="auto"/>
                      <w:spacing w:val="-10"/>
                      <w:kern w:val="0"/>
                      <w:sz w:val="21"/>
                      <w:szCs w:val="21"/>
                      <w:highlight w:val="none"/>
                      <w:lang w:val="en-US" w:eastAsia="zh-CN" w:bidi="ar"/>
                    </w:rPr>
                    <w:t>塔中钻试修废弃物环保处理站</w:t>
                  </w:r>
                  <w:r>
                    <w:rPr>
                      <w:rFonts w:hint="default" w:ascii="Times New Roman" w:hAnsi="Times New Roman" w:eastAsia="宋体" w:cs="Times New Roman"/>
                      <w:color w:val="auto"/>
                      <w:spacing w:val="-10"/>
                      <w:sz w:val="21"/>
                      <w:szCs w:val="21"/>
                      <w:highlight w:val="none"/>
                    </w:rPr>
                    <w:t>处置</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95" w:hRule="atLeast"/>
                <w:jc w:val="center"/>
              </w:trPr>
              <w:tc>
                <w:tcPr>
                  <w:tcW w:w="272"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二开</w:t>
                  </w:r>
                </w:p>
              </w:tc>
              <w:tc>
                <w:tcPr>
                  <w:tcW w:w="875"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431.8</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1200</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4722</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4"/>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both"/>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320.28</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708.76</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7" w:hRule="atLeast"/>
                <w:jc w:val="center"/>
              </w:trPr>
              <w:tc>
                <w:tcPr>
                  <w:tcW w:w="272"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color w:val="auto"/>
                    </w:rPr>
                  </w:pPr>
                </w:p>
              </w:tc>
              <w:tc>
                <w:tcPr>
                  <w:tcW w:w="87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color w:val="auto"/>
                    </w:rPr>
                  </w:pPr>
                </w:p>
              </w:tc>
              <w:tc>
                <w:tcPr>
                  <w:tcW w:w="413"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z w:val="21"/>
                      <w:szCs w:val="21"/>
                      <w:highlight w:val="none"/>
                    </w:rPr>
                    <w:t>KCl-聚磺体系</w:t>
                  </w:r>
                  <w:r>
                    <w:rPr>
                      <w:rFonts w:hint="default" w:ascii="Times New Roman" w:hAnsi="Times New Roman" w:eastAsia="宋体" w:cs="Times New Roman"/>
                      <w:color w:val="auto"/>
                      <w:sz w:val="21"/>
                      <w:szCs w:val="21"/>
                      <w:highlight w:val="none"/>
                      <w:lang w:val="en-US" w:eastAsia="zh-CN"/>
                    </w:rPr>
                    <w:t>泥浆</w:t>
                  </w:r>
                </w:p>
              </w:tc>
              <w:tc>
                <w:tcPr>
                  <w:tcW w:w="380"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磺化体系泥浆</w:t>
                  </w:r>
                </w:p>
              </w:tc>
              <w:tc>
                <w:tcPr>
                  <w:tcW w:w="404"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4"/>
                      <w:sz w:val="21"/>
                      <w:szCs w:val="21"/>
                      <w:highlight w:val="none"/>
                      <w:lang w:val="en-US" w:eastAsia="zh-CN"/>
                    </w:rPr>
                  </w:pPr>
                  <w:r>
                    <w:rPr>
                      <w:rFonts w:hint="eastAsia" w:ascii="Times New Roman" w:cs="Times New Roman"/>
                      <w:color w:val="auto"/>
                      <w:spacing w:val="4"/>
                      <w:sz w:val="21"/>
                      <w:szCs w:val="21"/>
                      <w:highlight w:val="none"/>
                      <w:lang w:val="en-US" w:eastAsia="zh-CN"/>
                    </w:rPr>
                    <w:t>224.39</w:t>
                  </w:r>
                </w:p>
              </w:tc>
              <w:tc>
                <w:tcPr>
                  <w:tcW w:w="449"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聚磺钻井岩屑</w:t>
                  </w:r>
                </w:p>
              </w:tc>
              <w:tc>
                <w:tcPr>
                  <w:tcW w:w="448"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4"/>
                      <w:sz w:val="21"/>
                      <w:szCs w:val="21"/>
                      <w:highlight w:val="none"/>
                      <w:lang w:val="en-US" w:eastAsia="zh-CN"/>
                    </w:rPr>
                  </w:pPr>
                  <w:r>
                    <w:rPr>
                      <w:rFonts w:hint="eastAsia" w:ascii="Times New Roman" w:cs="Times New Roman"/>
                      <w:color w:val="auto"/>
                      <w:spacing w:val="4"/>
                      <w:sz w:val="21"/>
                      <w:szCs w:val="21"/>
                      <w:highlight w:val="none"/>
                      <w:lang w:val="en-US" w:eastAsia="zh-CN"/>
                    </w:rPr>
                    <w:t>425.9</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三</w:t>
                  </w:r>
                  <w:r>
                    <w:rPr>
                      <w:rFonts w:hint="default" w:ascii="Times New Roman" w:hAnsi="Times New Roman" w:eastAsia="宋体" w:cs="Times New Roman"/>
                      <w:color w:val="auto"/>
                      <w:spacing w:val="-10"/>
                      <w:kern w:val="2"/>
                      <w:sz w:val="21"/>
                      <w:szCs w:val="21"/>
                      <w:highlight w:val="none"/>
                      <w:lang w:val="en-US" w:eastAsia="zh-CN" w:bidi="ar-SA"/>
                    </w:rPr>
                    <w:t>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311.2</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4722</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7232</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265.82</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420.02</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四</w:t>
                  </w:r>
                  <w:r>
                    <w:rPr>
                      <w:rFonts w:hint="default" w:ascii="Times New Roman" w:hAnsi="Times New Roman" w:eastAsia="宋体" w:cs="Times New Roman"/>
                      <w:color w:val="auto"/>
                      <w:spacing w:val="-10"/>
                      <w:kern w:val="2"/>
                      <w:sz w:val="21"/>
                      <w:szCs w:val="21"/>
                      <w:highlight w:val="none"/>
                      <w:lang w:val="en-US" w:eastAsia="zh-CN" w:bidi="ar-SA"/>
                    </w:rPr>
                    <w:t>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215.9</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(7232</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8215</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lang w:val="en-US" w:eastAsia="zh-CN"/>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133.38</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79.17</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五</w:t>
                  </w:r>
                  <w:r>
                    <w:rPr>
                      <w:rFonts w:hint="default" w:ascii="Times New Roman" w:hAnsi="Times New Roman" w:eastAsia="宋体" w:cs="Times New Roman"/>
                      <w:color w:val="auto"/>
                      <w:spacing w:val="-10"/>
                      <w:kern w:val="2"/>
                      <w:sz w:val="21"/>
                      <w:szCs w:val="21"/>
                      <w:highlight w:val="none"/>
                      <w:lang w:val="en-US" w:eastAsia="zh-CN" w:bidi="ar-SA"/>
                    </w:rPr>
                    <w:t>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149.2</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8215</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8650</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99.46</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16.73</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rPr>
                  </w:pPr>
                </w:p>
              </w:tc>
            </w:tr>
            <w:bookmarkEnd w:id="12"/>
            <w:bookmarkEnd w:id="13"/>
            <w:bookmarkEnd w:id="14"/>
            <w:bookmarkEnd w:id="15"/>
            <w:bookmarkEnd w:id="16"/>
            <w:bookmarkEnd w:id="17"/>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4"/>
                <w:highlight w:val="none"/>
                <w:lang w:val="en-US" w:eastAsia="zh-CN"/>
              </w:rPr>
            </w:pPr>
            <w:r>
              <w:rPr>
                <w:rFonts w:hint="default"/>
                <w:color w:val="auto"/>
              </w:rPr>
              <w:drawing>
                <wp:inline distT="0" distB="0" distL="114300" distR="114300">
                  <wp:extent cx="3951605" cy="5728335"/>
                  <wp:effectExtent l="0" t="0" r="10795" b="5715"/>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5"/>
                          <a:stretch>
                            <a:fillRect/>
                          </a:stretch>
                        </pic:blipFill>
                        <pic:spPr>
                          <a:xfrm>
                            <a:off x="0" y="0"/>
                            <a:ext cx="3951605" cy="572833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图2-1    井身结构图</w:t>
            </w:r>
          </w:p>
          <w:p>
            <w:pPr>
              <w:keepNext w:val="0"/>
              <w:keepLines w:val="0"/>
              <w:pageBreakBefore w:val="0"/>
              <w:widowControl w:val="0"/>
              <w:suppressLineNumbers w:val="0"/>
              <w:tabs>
                <w:tab w:val="left" w:pos="6720"/>
              </w:tabs>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7、建设内容</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color w:val="auto"/>
                <w:sz w:val="24"/>
                <w:highlight w:val="none"/>
              </w:rPr>
              <w:t>项目建设内容包括钻前工程、钻井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包含录井、固井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测井、</w:t>
            </w:r>
            <w:r>
              <w:rPr>
                <w:rFonts w:hint="default" w:ascii="Times New Roman" w:hAnsi="Times New Roman" w:eastAsia="宋体" w:cs="Times New Roman"/>
                <w:color w:val="auto"/>
                <w:sz w:val="24"/>
                <w:highlight w:val="none"/>
              </w:rPr>
              <w:t>试井、封井。钻前工程包括井场道路、井场平整、设备基础、活动房搭建等；钻井工程包括钻井设备安装、钻井、</w:t>
            </w:r>
            <w:r>
              <w:rPr>
                <w:rFonts w:hint="default" w:ascii="Times New Roman" w:hAnsi="Times New Roman" w:eastAsia="宋体" w:cs="Times New Roman"/>
                <w:color w:val="auto"/>
                <w:sz w:val="24"/>
                <w:highlight w:val="none"/>
                <w:lang w:val="en-US" w:eastAsia="zh-CN"/>
              </w:rPr>
              <w:t>录井、</w:t>
            </w:r>
            <w:r>
              <w:rPr>
                <w:rFonts w:hint="default" w:ascii="Times New Roman" w:hAnsi="Times New Roman" w:eastAsia="宋体" w:cs="Times New Roman"/>
                <w:color w:val="auto"/>
                <w:sz w:val="24"/>
                <w:highlight w:val="none"/>
              </w:rPr>
              <w:t>完井</w:t>
            </w:r>
            <w:r>
              <w:rPr>
                <w:rFonts w:hint="default" w:ascii="Times New Roman" w:hAnsi="Times New Roman" w:eastAsia="宋体" w:cs="Times New Roman"/>
                <w:color w:val="auto"/>
                <w:sz w:val="24"/>
                <w:highlight w:val="none"/>
                <w:lang w:val="en-US" w:eastAsia="zh-CN"/>
              </w:rPr>
              <w:t>等过程</w:t>
            </w:r>
            <w:r>
              <w:rPr>
                <w:rFonts w:hint="default" w:ascii="Times New Roman" w:hAnsi="Times New Roman" w:eastAsia="宋体" w:cs="Times New Roman"/>
                <w:color w:val="auto"/>
                <w:sz w:val="24"/>
                <w:highlight w:val="none"/>
              </w:rPr>
              <w:t>；试井包括试井设备安装</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测井</w:t>
            </w:r>
            <w:r>
              <w:rPr>
                <w:rFonts w:hint="default" w:ascii="Times New Roman" w:hAnsi="Times New Roman" w:eastAsia="宋体" w:cs="Times New Roman"/>
                <w:color w:val="auto"/>
                <w:sz w:val="24"/>
                <w:highlight w:val="none"/>
              </w:rPr>
              <w:t>及试井。</w:t>
            </w:r>
            <w:r>
              <w:rPr>
                <w:rFonts w:hint="default" w:ascii="Times New Roman" w:hAnsi="Times New Roman" w:eastAsia="宋体" w:cs="Times New Roman"/>
                <w:bCs/>
                <w:color w:val="auto"/>
                <w:sz w:val="24"/>
                <w:highlight w:val="none"/>
                <w:lang w:val="en-US" w:eastAsia="zh-CN"/>
              </w:rPr>
              <w:t>其具体工程见表2-4。</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表2-4    本项目主要工程组成一览表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1"/>
              <w:gridCol w:w="1095"/>
              <w:gridCol w:w="4680"/>
              <w:gridCol w:w="16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项目组成</w:t>
                  </w:r>
                </w:p>
              </w:tc>
              <w:tc>
                <w:tcPr>
                  <w:tcW w:w="3462"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建设内容及规模</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钻前</w:t>
                  </w:r>
                  <w:r>
                    <w:rPr>
                      <w:rFonts w:hint="default" w:ascii="Times New Roman" w:hAnsi="Times New Roman" w:eastAsia="宋体" w:cs="Times New Roman"/>
                      <w:color w:val="auto"/>
                      <w:spacing w:val="-10"/>
                      <w:kern w:val="2"/>
                      <w:sz w:val="21"/>
                      <w:szCs w:val="21"/>
                      <w:highlight w:val="none"/>
                      <w:lang w:val="en-US" w:eastAsia="zh-CN" w:bidi="ar-SA"/>
                    </w:rPr>
                    <w:t>工程</w:t>
                  </w: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井场平整</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lang w:eastAsia="zh-CN"/>
                    </w:rPr>
                  </w:pPr>
                  <w:r>
                    <w:rPr>
                      <w:rFonts w:hint="default" w:ascii="Times New Roman" w:hAnsi="Times New Roman" w:eastAsia="宋体" w:cs="Times New Roman"/>
                      <w:snapToGrid/>
                      <w:color w:val="auto"/>
                      <w:kern w:val="2"/>
                      <w:sz w:val="21"/>
                      <w:szCs w:val="21"/>
                      <w:highlight w:val="none"/>
                      <w:lang w:val="en-US" w:eastAsia="zh-CN"/>
                    </w:rPr>
                    <w:t>对井场占地区域进行平整，临时生活区的建设</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临时道路</w:t>
                  </w:r>
                  <w:r>
                    <w:rPr>
                      <w:rFonts w:hint="eastAsia" w:ascii="Times New Roman" w:cs="Times New Roman"/>
                      <w:color w:val="auto"/>
                      <w:spacing w:val="-10"/>
                      <w:sz w:val="21"/>
                      <w:szCs w:val="21"/>
                      <w:highlight w:val="none"/>
                      <w:lang w:val="en-US" w:eastAsia="zh-CN"/>
                    </w:rPr>
                    <w:t>310</w:t>
                  </w:r>
                  <w:r>
                    <w:rPr>
                      <w:rFonts w:hint="default" w:ascii="Times New Roman" w:hAnsi="Times New Roman" w:eastAsia="宋体" w:cs="Times New Roman"/>
                      <w:color w:val="auto"/>
                      <w:spacing w:val="-10"/>
                      <w:sz w:val="21"/>
                      <w:szCs w:val="21"/>
                      <w:highlight w:val="none"/>
                      <w:lang w:val="en-US" w:eastAsia="zh-CN"/>
                    </w:rPr>
                    <w:t>m及各类池体的开挖。</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p>
              </w:tc>
              <w:tc>
                <w:tcPr>
                  <w:tcW w:w="656"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lang w:val="en-US" w:eastAsia="zh-CN"/>
                    </w:rPr>
                    <w:t>井场建设</w:t>
                  </w:r>
                </w:p>
              </w:tc>
              <w:tc>
                <w:tcPr>
                  <w:tcW w:w="2805"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snapToGrid/>
                      <w:color w:val="auto"/>
                      <w:kern w:val="2"/>
                      <w:sz w:val="21"/>
                      <w:szCs w:val="21"/>
                      <w:lang w:val="en-US" w:eastAsia="zh-CN" w:bidi="ar-SA"/>
                    </w:rPr>
                  </w:pPr>
                  <w:r>
                    <w:rPr>
                      <w:rFonts w:hint="default" w:ascii="Times New Roman" w:hAnsi="Times New Roman" w:eastAsia="宋体" w:cs="Times New Roman"/>
                      <w:color w:val="auto"/>
                      <w:sz w:val="21"/>
                      <w:szCs w:val="21"/>
                    </w:rPr>
                    <w:t>包括井场道路、基础设备、</w:t>
                  </w:r>
                  <w:r>
                    <w:rPr>
                      <w:rFonts w:hint="default" w:ascii="Times New Roman" w:hAnsi="Times New Roman" w:eastAsia="宋体" w:cs="Times New Roman"/>
                      <w:color w:val="auto"/>
                      <w:sz w:val="21"/>
                      <w:szCs w:val="21"/>
                      <w:lang w:val="en-US" w:eastAsia="zh-CN"/>
                    </w:rPr>
                    <w:t>生活营地</w:t>
                  </w:r>
                  <w:r>
                    <w:rPr>
                      <w:rFonts w:hint="default" w:ascii="Times New Roman" w:hAnsi="Times New Roman" w:eastAsia="宋体" w:cs="Times New Roman"/>
                      <w:color w:val="auto"/>
                      <w:sz w:val="21"/>
                      <w:szCs w:val="21"/>
                    </w:rPr>
                    <w:t>搭建</w:t>
                  </w:r>
                  <w:r>
                    <w:rPr>
                      <w:rFonts w:hint="default" w:ascii="Times New Roman" w:hAnsi="Times New Roman" w:eastAsia="宋体" w:cs="Times New Roman"/>
                      <w:color w:val="auto"/>
                      <w:sz w:val="21"/>
                      <w:szCs w:val="21"/>
                      <w:lang w:val="en-US" w:eastAsia="zh-CN"/>
                    </w:rPr>
                    <w:t>等</w:t>
                  </w:r>
                  <w:r>
                    <w:rPr>
                      <w:rFonts w:hint="default" w:ascii="Times New Roman" w:hAnsi="Times New Roman" w:eastAsia="宋体" w:cs="Times New Roman"/>
                      <w:color w:val="auto"/>
                      <w:sz w:val="21"/>
                      <w:szCs w:val="21"/>
                    </w:rPr>
                    <w:t>，为钻井工程入场提供保障。</w:t>
                  </w:r>
                </w:p>
              </w:tc>
              <w:tc>
                <w:tcPr>
                  <w:tcW w:w="979"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放喷池</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snapToGrid/>
                      <w:color w:val="auto"/>
                      <w:kern w:val="2"/>
                      <w:sz w:val="21"/>
                      <w:szCs w:val="21"/>
                      <w:highlight w:val="none"/>
                      <w:lang w:val="en-US" w:eastAsia="zh-CN"/>
                    </w:rPr>
                    <w:t>共设</w:t>
                  </w:r>
                  <w:r>
                    <w:rPr>
                      <w:rFonts w:hint="default" w:ascii="Times New Roman" w:hAnsi="Times New Roman" w:eastAsia="宋体" w:cs="Times New Roman"/>
                      <w:snapToGrid/>
                      <w:color w:val="auto"/>
                      <w:kern w:val="2"/>
                      <w:sz w:val="21"/>
                      <w:szCs w:val="21"/>
                      <w:highlight w:val="none"/>
                      <w:lang w:eastAsia="zh-CN"/>
                    </w:rPr>
                    <w:t>2个放喷池，</w:t>
                  </w:r>
                  <w:r>
                    <w:rPr>
                      <w:rFonts w:hint="default" w:ascii="Times New Roman" w:hAnsi="Times New Roman" w:eastAsia="宋体" w:cs="Times New Roman"/>
                      <w:snapToGrid/>
                      <w:color w:val="auto"/>
                      <w:kern w:val="2"/>
                      <w:sz w:val="21"/>
                      <w:szCs w:val="21"/>
                      <w:highlight w:val="none"/>
                      <w:lang w:val="en-US" w:eastAsia="zh-CN"/>
                    </w:rPr>
                    <w:t>每个</w:t>
                  </w:r>
                  <w:r>
                    <w:rPr>
                      <w:rFonts w:hint="default" w:ascii="Times New Roman" w:hAnsi="Times New Roman" w:eastAsia="宋体" w:cs="Times New Roman"/>
                      <w:snapToGrid/>
                      <w:color w:val="auto"/>
                      <w:kern w:val="2"/>
                      <w:sz w:val="21"/>
                      <w:szCs w:val="21"/>
                      <w:highlight w:val="none"/>
                      <w:lang w:eastAsia="zh-CN"/>
                    </w:rPr>
                    <w:t>100m³，</w:t>
                  </w:r>
                  <w:r>
                    <w:rPr>
                      <w:rFonts w:hint="default" w:ascii="Times New Roman" w:hAnsi="Times New Roman" w:eastAsia="宋体" w:cs="Times New Roman"/>
                      <w:snapToGrid/>
                      <w:color w:val="auto"/>
                      <w:spacing w:val="-10"/>
                      <w:kern w:val="2"/>
                      <w:sz w:val="21"/>
                      <w:szCs w:val="21"/>
                      <w:highlight w:val="none"/>
                      <w:lang w:val="en-US" w:eastAsia="zh-CN"/>
                    </w:rPr>
                    <w:t>放喷池</w:t>
                  </w:r>
                  <w:r>
                    <w:rPr>
                      <w:rFonts w:hint="default" w:ascii="Times New Roman" w:hAnsi="Times New Roman" w:eastAsia="宋体" w:cs="Times New Roman"/>
                      <w:snapToGrid/>
                      <w:color w:val="auto"/>
                      <w:spacing w:val="-10"/>
                      <w:kern w:val="2"/>
                      <w:sz w:val="21"/>
                      <w:szCs w:val="21"/>
                      <w:highlight w:val="none"/>
                      <w:lang w:eastAsia="zh-CN"/>
                    </w:rPr>
                    <w:t>采用“</w:t>
                  </w:r>
                  <w:r>
                    <w:rPr>
                      <w:rFonts w:hint="default" w:ascii="Times New Roman" w:hAnsi="Times New Roman" w:eastAsia="宋体" w:cs="Times New Roman"/>
                      <w:snapToGrid/>
                      <w:color w:val="auto"/>
                      <w:spacing w:val="-10"/>
                      <w:kern w:val="0"/>
                      <w:sz w:val="21"/>
                      <w:szCs w:val="21"/>
                      <w:highlight w:val="none"/>
                      <w:lang w:eastAsia="zh-CN"/>
                    </w:rPr>
                    <w:t>整体型钢板池</w:t>
                  </w:r>
                  <w:r>
                    <w:rPr>
                      <w:rFonts w:hint="default" w:ascii="Times New Roman" w:hAnsi="Times New Roman" w:eastAsia="宋体" w:cs="Times New Roman"/>
                      <w:snapToGrid/>
                      <w:color w:val="auto"/>
                      <w:spacing w:val="-10"/>
                      <w:kern w:val="2"/>
                      <w:sz w:val="21"/>
                      <w:szCs w:val="21"/>
                      <w:highlight w:val="none"/>
                      <w:lang w:eastAsia="zh-CN"/>
                    </w:rPr>
                    <w:t>”，</w:t>
                  </w:r>
                  <w:r>
                    <w:rPr>
                      <w:rFonts w:hint="default" w:ascii="Times New Roman" w:hAnsi="Times New Roman" w:eastAsia="宋体" w:cs="Times New Roman"/>
                      <w:snapToGrid/>
                      <w:color w:val="auto"/>
                      <w:spacing w:val="-10"/>
                      <w:kern w:val="2"/>
                      <w:sz w:val="21"/>
                      <w:szCs w:val="21"/>
                      <w:highlight w:val="none"/>
                      <w:lang w:val="en-US" w:eastAsia="zh-CN"/>
                    </w:rPr>
                    <w:t>底部铺防渗膜</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color w:val="auto"/>
                      <w:spacing w:val="-10"/>
                      <w:kern w:val="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生活污水池</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cs="Times New Roman"/>
                      <w:snapToGrid/>
                      <w:color w:val="auto"/>
                      <w:kern w:val="2"/>
                      <w:sz w:val="21"/>
                      <w:szCs w:val="21"/>
                      <w:highlight w:val="none"/>
                      <w:lang w:val="en-US" w:eastAsia="zh-CN"/>
                    </w:rPr>
                    <w:t>共设2个生活污水池，每个</w:t>
                  </w:r>
                  <w:r>
                    <w:rPr>
                      <w:rFonts w:hint="default" w:ascii="Times New Roman" w:hAnsi="Times New Roman" w:eastAsia="宋体" w:cs="Times New Roman"/>
                      <w:snapToGrid/>
                      <w:color w:val="auto"/>
                      <w:kern w:val="2"/>
                      <w:sz w:val="21"/>
                      <w:szCs w:val="21"/>
                      <w:highlight w:val="none"/>
                      <w:lang w:eastAsia="zh-CN"/>
                    </w:rPr>
                    <w:t>100m³，</w:t>
                  </w:r>
                  <w:r>
                    <w:rPr>
                      <w:rFonts w:hint="default" w:ascii="Times New Roman" w:hAnsi="Times New Roman" w:eastAsia="宋体" w:cs="Times New Roman"/>
                      <w:snapToGrid/>
                      <w:color w:val="auto"/>
                      <w:spacing w:val="-10"/>
                      <w:kern w:val="2"/>
                      <w:sz w:val="21"/>
                      <w:szCs w:val="21"/>
                      <w:highlight w:val="none"/>
                      <w:lang w:val="en-US" w:eastAsia="zh-CN"/>
                    </w:rPr>
                    <w:t>放喷池</w:t>
                  </w:r>
                  <w:r>
                    <w:rPr>
                      <w:rFonts w:hint="default" w:ascii="Times New Roman" w:hAnsi="Times New Roman" w:eastAsia="宋体" w:cs="Times New Roman"/>
                      <w:snapToGrid/>
                      <w:color w:val="auto"/>
                      <w:spacing w:val="-10"/>
                      <w:kern w:val="2"/>
                      <w:sz w:val="21"/>
                      <w:szCs w:val="21"/>
                      <w:highlight w:val="none"/>
                      <w:lang w:eastAsia="zh-CN"/>
                    </w:rPr>
                    <w:t>采用“</w:t>
                  </w:r>
                  <w:r>
                    <w:rPr>
                      <w:rFonts w:hint="default" w:ascii="Times New Roman" w:hAnsi="Times New Roman" w:eastAsia="宋体" w:cs="Times New Roman"/>
                      <w:snapToGrid/>
                      <w:color w:val="auto"/>
                      <w:spacing w:val="-10"/>
                      <w:kern w:val="0"/>
                      <w:sz w:val="21"/>
                      <w:szCs w:val="21"/>
                      <w:highlight w:val="none"/>
                      <w:lang w:eastAsia="zh-CN"/>
                    </w:rPr>
                    <w:t>整体型钢板池</w:t>
                  </w:r>
                  <w:r>
                    <w:rPr>
                      <w:rFonts w:hint="default" w:ascii="Times New Roman" w:hAnsi="Times New Roman" w:eastAsia="宋体" w:cs="Times New Roman"/>
                      <w:snapToGrid/>
                      <w:color w:val="auto"/>
                      <w:spacing w:val="-10"/>
                      <w:kern w:val="2"/>
                      <w:sz w:val="21"/>
                      <w:szCs w:val="21"/>
                      <w:highlight w:val="no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0"/>
                      <w:sz w:val="21"/>
                      <w:szCs w:val="21"/>
                      <w:highlight w:val="none"/>
                      <w:lang w:val="en-US" w:eastAsia="zh-CN"/>
                    </w:rPr>
                  </w:pPr>
                  <w:r>
                    <w:rPr>
                      <w:rFonts w:hint="eastAsia" w:ascii="Times New Roman" w:cs="Times New Roman"/>
                      <w:color w:val="auto"/>
                      <w:spacing w:val="-10"/>
                      <w:kern w:val="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岩屑池</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设膨润土岩屑池1个，1</w:t>
                  </w:r>
                  <w:r>
                    <w:rPr>
                      <w:rFonts w:hint="eastAsia" w:ascii="Times New Roman" w:cs="Times New Roman"/>
                      <w:color w:val="auto"/>
                      <w:spacing w:val="-10"/>
                      <w:sz w:val="21"/>
                      <w:szCs w:val="21"/>
                      <w:highlight w:val="none"/>
                      <w:lang w:val="en-US" w:eastAsia="zh-CN"/>
                    </w:rPr>
                    <w:t>5</w:t>
                  </w:r>
                  <w:r>
                    <w:rPr>
                      <w:rFonts w:hint="default" w:ascii="Times New Roman" w:hAnsi="Times New Roman" w:eastAsia="宋体" w:cs="Times New Roman"/>
                      <w:color w:val="auto"/>
                      <w:spacing w:val="-10"/>
                      <w:sz w:val="21"/>
                      <w:szCs w:val="21"/>
                      <w:highlight w:val="none"/>
                    </w:rPr>
                    <w:t>00m</w:t>
                  </w:r>
                  <w:r>
                    <w:rPr>
                      <w:rFonts w:hint="default" w:ascii="Times New Roman" w:hAnsi="Times New Roman" w:eastAsia="宋体" w:cs="Times New Roman"/>
                      <w:color w:val="auto"/>
                      <w:spacing w:val="-10"/>
                      <w:sz w:val="21"/>
                      <w:szCs w:val="21"/>
                      <w:highlight w:val="none"/>
                      <w:vertAlign w:val="superscript"/>
                    </w:rPr>
                    <w:t>3</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膨</w:t>
                  </w:r>
                  <w:r>
                    <w:rPr>
                      <w:rFonts w:hint="default" w:ascii="Times New Roman" w:hAnsi="Times New Roman" w:eastAsia="宋体" w:cs="Times New Roman"/>
                      <w:color w:val="auto"/>
                      <w:spacing w:val="-10"/>
                      <w:sz w:val="21"/>
                      <w:szCs w:val="21"/>
                      <w:highlight w:val="none"/>
                    </w:rPr>
                    <w:t>润土泥浆钻井岩屑；环保防渗膜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垃圾收集箱</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井场旁和生活区各设1个垃圾收集箱</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生活垃圾收集后</w:t>
                  </w:r>
                  <w:r>
                    <w:rPr>
                      <w:rFonts w:hint="default" w:ascii="Times New Roman" w:hAnsi="Times New Roman" w:eastAsia="宋体" w:cs="Times New Roman"/>
                      <w:color w:val="auto"/>
                      <w:spacing w:val="-10"/>
                      <w:sz w:val="21"/>
                      <w:szCs w:val="21"/>
                      <w:highlight w:val="none"/>
                      <w:lang w:val="en-US" w:eastAsia="zh-CN"/>
                    </w:rPr>
                    <w:t>清</w:t>
                  </w:r>
                  <w:r>
                    <w:rPr>
                      <w:rFonts w:hint="default" w:ascii="Times New Roman" w:hAnsi="Times New Roman" w:eastAsia="宋体" w:cs="Times New Roman"/>
                      <w:color w:val="auto"/>
                      <w:spacing w:val="-10"/>
                      <w:sz w:val="21"/>
                      <w:szCs w:val="21"/>
                      <w:highlight w:val="none"/>
                    </w:rPr>
                    <w:t>运至</w:t>
                  </w:r>
                  <w:r>
                    <w:rPr>
                      <w:rFonts w:hint="eastAsia" w:ascii="Times New Roman" w:cs="Times New Roman"/>
                      <w:color w:val="auto"/>
                      <w:spacing w:val="-10"/>
                      <w:sz w:val="21"/>
                      <w:szCs w:val="21"/>
                      <w:highlight w:val="none"/>
                      <w:lang w:val="en-US"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辅助用房</w:t>
                  </w:r>
                </w:p>
              </w:tc>
              <w:tc>
                <w:tcPr>
                  <w:tcW w:w="2805"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建设值班房、HSE房、工程师房、平台经理房等管理用房，设置消防间、修理间、爬犁、材料房等功能房。</w:t>
                  </w:r>
                </w:p>
              </w:tc>
              <w:tc>
                <w:tcPr>
                  <w:tcW w:w="979"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污水处理站</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vertAlign w:val="baseline"/>
                      <w:lang w:eastAsia="zh-CN"/>
                    </w:rPr>
                    <w:t>1座，占地50m</w:t>
                  </w:r>
                  <w:r>
                    <w:rPr>
                      <w:rFonts w:hint="default" w:ascii="Times New Roman" w:hAnsi="Times New Roman" w:eastAsia="宋体" w:cs="Times New Roman"/>
                      <w:color w:val="auto"/>
                      <w:spacing w:val="-10"/>
                      <w:sz w:val="21"/>
                      <w:szCs w:val="21"/>
                      <w:highlight w:val="none"/>
                      <w:vertAlign w:val="superscript"/>
                      <w:lang w:val="en-US" w:eastAsia="zh-CN"/>
                    </w:rPr>
                    <w:t>2</w:t>
                  </w:r>
                  <w:r>
                    <w:rPr>
                      <w:rFonts w:hint="default" w:ascii="Times New Roman" w:hAnsi="Times New Roman" w:eastAsia="宋体" w:cs="Times New Roman"/>
                      <w:color w:val="auto"/>
                      <w:spacing w:val="-10"/>
                      <w:sz w:val="21"/>
                      <w:szCs w:val="21"/>
                      <w:highlight w:val="none"/>
                      <w:vertAlign w:val="baseline"/>
                      <w:lang w:eastAsia="zh-CN"/>
                    </w:rPr>
                    <w:t>，撬装装置。</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color w:val="auto"/>
                      <w:spacing w:val="-10"/>
                      <w:kern w:val="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8" w:hRule="atLeast"/>
                <w:jc w:val="center"/>
              </w:trPr>
              <w:tc>
                <w:tcPr>
                  <w:tcW w:w="558" w:type="pct"/>
                  <w:vMerge w:val="restar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钻井工程</w:t>
                  </w: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钻井</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lang w:eastAsia="zh-CN"/>
                    </w:rPr>
                  </w:pPr>
                  <w:r>
                    <w:rPr>
                      <w:rFonts w:hint="default" w:ascii="Times New Roman" w:hAnsi="Times New Roman" w:eastAsia="宋体" w:cs="Times New Roman"/>
                      <w:bCs w:val="0"/>
                      <w:color w:val="auto"/>
                      <w:spacing w:val="-10"/>
                      <w:sz w:val="21"/>
                      <w:szCs w:val="21"/>
                      <w:highlight w:val="none"/>
                    </w:rPr>
                    <w:t>设备安装，并进行钻井活动。使用</w:t>
                  </w:r>
                  <w:r>
                    <w:rPr>
                      <w:rFonts w:hint="eastAsia" w:ascii="Times New Roman" w:cs="Times New Roman"/>
                      <w:bCs w:val="0"/>
                      <w:color w:val="auto"/>
                      <w:spacing w:val="-10"/>
                      <w:sz w:val="21"/>
                      <w:szCs w:val="21"/>
                      <w:highlight w:val="none"/>
                      <w:lang w:val="en-US" w:eastAsia="zh-CN"/>
                    </w:rPr>
                    <w:t>90D</w:t>
                  </w:r>
                  <w:r>
                    <w:rPr>
                      <w:rFonts w:hint="default" w:ascii="Times New Roman" w:hAnsi="Times New Roman" w:eastAsia="宋体" w:cs="Times New Roman"/>
                      <w:bCs w:val="0"/>
                      <w:color w:val="auto"/>
                      <w:spacing w:val="-10"/>
                      <w:sz w:val="21"/>
                      <w:szCs w:val="21"/>
                      <w:highlight w:val="none"/>
                      <w:lang w:eastAsia="zh-CN"/>
                    </w:rPr>
                    <w:t>及以上</w:t>
                  </w:r>
                  <w:r>
                    <w:rPr>
                      <w:rFonts w:hint="default" w:ascii="Times New Roman" w:hAnsi="Times New Roman" w:eastAsia="宋体" w:cs="Times New Roman"/>
                      <w:bCs w:val="0"/>
                      <w:color w:val="auto"/>
                      <w:spacing w:val="-10"/>
                      <w:sz w:val="21"/>
                      <w:szCs w:val="21"/>
                      <w:highlight w:val="none"/>
                    </w:rPr>
                    <w:t>钻机，</w:t>
                  </w:r>
                  <w:r>
                    <w:rPr>
                      <w:rFonts w:hint="default" w:ascii="Times New Roman" w:hAnsi="Times New Roman" w:eastAsia="宋体" w:cs="Times New Roman"/>
                      <w:color w:val="auto"/>
                      <w:spacing w:val="-10"/>
                      <w:sz w:val="21"/>
                      <w:szCs w:val="21"/>
                      <w:highlight w:val="none"/>
                    </w:rPr>
                    <w:t>井深</w:t>
                  </w:r>
                  <w:r>
                    <w:rPr>
                      <w:rFonts w:hint="eastAsia" w:ascii="Times New Roman" w:cs="Times New Roman"/>
                      <w:color w:val="auto"/>
                      <w:spacing w:val="-10"/>
                      <w:sz w:val="21"/>
                      <w:szCs w:val="21"/>
                      <w:highlight w:val="none"/>
                      <w:lang w:val="en-US" w:eastAsia="zh-CN"/>
                    </w:rPr>
                    <w:t>8650</w:t>
                  </w: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bCs w:val="0"/>
                      <w:color w:val="auto"/>
                      <w:spacing w:val="-10"/>
                      <w:sz w:val="21"/>
                      <w:szCs w:val="21"/>
                      <w:highlight w:val="none"/>
                    </w:rPr>
                    <w:t>，目的层为</w:t>
                  </w:r>
                  <w:r>
                    <w:rPr>
                      <w:rFonts w:hint="eastAsia" w:ascii="Times New Roman" w:cs="Times New Roman"/>
                      <w:bCs w:val="0"/>
                      <w:color w:val="auto"/>
                      <w:spacing w:val="-10"/>
                      <w:sz w:val="21"/>
                      <w:szCs w:val="21"/>
                      <w:highlight w:val="none"/>
                      <w:lang w:eastAsia="zh-CN"/>
                    </w:rPr>
                    <w:t>寒武系吾松格尔、肖尔布拉克组</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lang w:val="en-US" w:eastAsia="zh-CN"/>
                    </w:rPr>
                  </w:pPr>
                  <w:r>
                    <w:rPr>
                      <w:rFonts w:hint="default" w:ascii="Times New Roman" w:hAnsi="Times New Roman" w:eastAsia="宋体" w:cs="Times New Roman"/>
                      <w:b w:val="0"/>
                      <w:bCs w:val="0"/>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储层改造</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lang w:val="en-US"/>
                    </w:rPr>
                  </w:pPr>
                  <w:r>
                    <w:rPr>
                      <w:rFonts w:hint="default" w:ascii="Times New Roman" w:hAnsi="Times New Roman" w:eastAsia="宋体" w:cs="Times New Roman"/>
                      <w:bCs w:val="0"/>
                      <w:color w:val="auto"/>
                      <w:spacing w:val="-10"/>
                      <w:sz w:val="21"/>
                      <w:szCs w:val="21"/>
                      <w:highlight w:val="none"/>
                      <w:lang w:val="en-US" w:eastAsia="zh-CN"/>
                    </w:rPr>
                    <w:t>主要为酸化压裂。</w:t>
                  </w:r>
                </w:p>
              </w:tc>
              <w:tc>
                <w:tcPr>
                  <w:tcW w:w="979"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1"/>
                      <w:sz w:val="21"/>
                      <w:szCs w:val="21"/>
                      <w:highlight w:val="none"/>
                    </w:rPr>
                  </w:pPr>
                  <w:r>
                    <w:rPr>
                      <w:rFonts w:hint="default" w:ascii="Times New Roman" w:hAnsi="Times New Roman" w:eastAsia="宋体" w:cs="Times New Roman"/>
                      <w:color w:val="auto"/>
                      <w:spacing w:val="-11"/>
                      <w:sz w:val="21"/>
                      <w:szCs w:val="21"/>
                      <w:highlight w:val="none"/>
                    </w:rPr>
                    <w:t>测试放喷</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1"/>
                      <w:sz w:val="21"/>
                      <w:szCs w:val="21"/>
                      <w:highlight w:val="none"/>
                    </w:rPr>
                  </w:pPr>
                  <w:r>
                    <w:rPr>
                      <w:rFonts w:hint="default" w:ascii="Times New Roman" w:hAnsi="Times New Roman" w:eastAsia="宋体" w:cs="Times New Roman"/>
                      <w:color w:val="auto"/>
                      <w:sz w:val="21"/>
                      <w:szCs w:val="21"/>
                      <w:highlight w:val="none"/>
                    </w:rPr>
                    <w:t>采</w:t>
                  </w:r>
                  <w:r>
                    <w:rPr>
                      <w:rFonts w:hint="default" w:ascii="Times New Roman" w:hAnsi="Times New Roman" w:eastAsia="宋体" w:cs="Times New Roman"/>
                      <w:bCs w:val="0"/>
                      <w:color w:val="auto"/>
                      <w:spacing w:val="-10"/>
                      <w:sz w:val="21"/>
                      <w:szCs w:val="21"/>
                      <w:highlight w:val="none"/>
                    </w:rPr>
                    <w:t>出液经分离器分离后，原油回收、天然气</w:t>
                  </w:r>
                  <w:r>
                    <w:rPr>
                      <w:rFonts w:hint="default" w:ascii="Times New Roman" w:hAnsi="Times New Roman" w:eastAsia="宋体" w:cs="Times New Roman"/>
                      <w:bCs w:val="0"/>
                      <w:color w:val="auto"/>
                      <w:spacing w:val="-10"/>
                      <w:sz w:val="21"/>
                      <w:szCs w:val="21"/>
                      <w:highlight w:val="none"/>
                      <w:lang w:val="en-US" w:eastAsia="zh-CN"/>
                    </w:rPr>
                    <w:t>在放喷池</w:t>
                  </w:r>
                  <w:r>
                    <w:rPr>
                      <w:rFonts w:hint="default" w:ascii="Times New Roman" w:hAnsi="Times New Roman" w:eastAsia="宋体" w:cs="Times New Roman"/>
                      <w:bCs w:val="0"/>
                      <w:color w:val="auto"/>
                      <w:spacing w:val="-10"/>
                      <w:sz w:val="21"/>
                      <w:szCs w:val="21"/>
                      <w:highlight w:val="none"/>
                    </w:rPr>
                    <w:t>经点火放空</w:t>
                  </w:r>
                  <w:r>
                    <w:rPr>
                      <w:rFonts w:hint="default" w:ascii="Times New Roman" w:hAnsi="Times New Roman" w:eastAsia="宋体" w:cs="Times New Roman"/>
                      <w:bCs w:val="0"/>
                      <w:color w:val="auto"/>
                      <w:spacing w:val="-10"/>
                      <w:sz w:val="21"/>
                      <w:szCs w:val="21"/>
                      <w:highlight w:val="none"/>
                      <w:lang w:eastAsia="zh-CN"/>
                    </w:rPr>
                    <w:t>。</w:t>
                  </w:r>
                </w:p>
              </w:tc>
              <w:tc>
                <w:tcPr>
                  <w:tcW w:w="979" w:type="pct"/>
                  <w:noWrap w:val="0"/>
                  <w:tcMar>
                    <w:left w:w="28" w:type="dxa"/>
                    <w:right w:w="28" w:type="dxa"/>
                  </w:tcMar>
                  <w:vAlign w:val="center"/>
                </w:tcPr>
                <w:p>
                  <w:pPr>
                    <w:pStyle w:val="70"/>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1"/>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left="0" w:leftChars="0" w:right="0" w:firstLine="0" w:firstLineChars="0"/>
                    <w:textAlignment w:val="auto"/>
                    <w:rPr>
                      <w:rFonts w:hint="default" w:ascii="Times New Roman" w:hAnsi="Times New Roman" w:eastAsia="宋体" w:cs="Times New Roman"/>
                      <w:bCs/>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eastAsia="zh-CN"/>
                    </w:rPr>
                    <w:t>危险废物暂存间</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占地面积8m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撬装式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钻后工程</w:t>
                  </w:r>
                </w:p>
              </w:tc>
              <w:tc>
                <w:tcPr>
                  <w:tcW w:w="3462"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进行设备搬迁以及钻井产生的“三废”处理，井场平整及临时占地恢复</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pStyle w:val="70"/>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做到工完、料净、场地清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封井</w:t>
                  </w:r>
                </w:p>
              </w:tc>
              <w:tc>
                <w:tcPr>
                  <w:tcW w:w="3462"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若测试放喷显示无开采价值，需封井，井场临时占地恢复，落实各项生态保护措施</w:t>
                  </w:r>
                  <w:r>
                    <w:rPr>
                      <w:rFonts w:hint="default" w:ascii="Times New Roman" w:hAnsi="Times New Roman" w:eastAsia="宋体" w:cs="Times New Roman"/>
                      <w:bCs w:val="0"/>
                      <w:color w:val="auto"/>
                      <w:spacing w:val="-10"/>
                      <w:sz w:val="21"/>
                      <w:szCs w:val="21"/>
                      <w:highlight w:val="none"/>
                      <w:lang w:eastAsia="zh-CN"/>
                    </w:rPr>
                    <w:t>，</w:t>
                  </w:r>
                  <w:r>
                    <w:rPr>
                      <w:rFonts w:hint="default" w:ascii="Times New Roman" w:hAnsi="Times New Roman" w:eastAsia="宋体" w:cs="Times New Roman"/>
                      <w:bCs w:val="0"/>
                      <w:color w:val="auto"/>
                      <w:spacing w:val="-10"/>
                      <w:sz w:val="21"/>
                      <w:szCs w:val="21"/>
                      <w:highlight w:val="none"/>
                      <w:lang w:val="en-US" w:eastAsia="zh-CN"/>
                    </w:rPr>
                    <w:t>有开采价值，建设单位须履行探转采的手续后方可开采。</w:t>
                  </w:r>
                </w:p>
              </w:tc>
              <w:tc>
                <w:tcPr>
                  <w:tcW w:w="979" w:type="pct"/>
                  <w:noWrap w:val="0"/>
                  <w:tcMar>
                    <w:left w:w="28" w:type="dxa"/>
                    <w:right w:w="28" w:type="dxa"/>
                  </w:tcMar>
                  <w:vAlign w:val="center"/>
                </w:tcPr>
                <w:p>
                  <w:pPr>
                    <w:pStyle w:val="70"/>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施工周期</w:t>
                  </w:r>
                </w:p>
              </w:tc>
              <w:tc>
                <w:tcPr>
                  <w:tcW w:w="3462" w:type="pct"/>
                  <w:gridSpan w:val="2"/>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施工天数约</w:t>
                  </w:r>
                  <w:r>
                    <w:rPr>
                      <w:rFonts w:hint="eastAsia" w:ascii="Times New Roman" w:cs="Times New Roman"/>
                      <w:snapToGrid/>
                      <w:color w:val="auto"/>
                      <w:kern w:val="2"/>
                      <w:sz w:val="21"/>
                      <w:szCs w:val="21"/>
                      <w:highlight w:val="none"/>
                      <w:lang w:val="en-US" w:eastAsia="zh-CN"/>
                    </w:rPr>
                    <w:t>180</w:t>
                  </w:r>
                  <w:r>
                    <w:rPr>
                      <w:rFonts w:hint="default" w:ascii="Times New Roman" w:hAnsi="Times New Roman" w:eastAsia="宋体" w:cs="Times New Roman"/>
                      <w:snapToGrid/>
                      <w:color w:val="auto"/>
                      <w:kern w:val="2"/>
                      <w:sz w:val="21"/>
                      <w:szCs w:val="21"/>
                      <w:highlight w:val="none"/>
                      <w:lang w:val="en-US" w:eastAsia="zh-CN"/>
                    </w:rPr>
                    <w:t>d，其中钻前工程约10d，钻井期预计</w:t>
                  </w:r>
                  <w:r>
                    <w:rPr>
                      <w:rFonts w:hint="eastAsia" w:ascii="Times New Roman" w:cs="Times New Roman"/>
                      <w:snapToGrid/>
                      <w:color w:val="auto"/>
                      <w:kern w:val="2"/>
                      <w:sz w:val="21"/>
                      <w:szCs w:val="21"/>
                      <w:highlight w:val="none"/>
                      <w:lang w:val="en-US" w:eastAsia="zh-CN"/>
                    </w:rPr>
                    <w:t>160</w:t>
                  </w:r>
                  <w:r>
                    <w:rPr>
                      <w:rFonts w:hint="default" w:ascii="Times New Roman" w:hAnsi="Times New Roman" w:eastAsia="宋体" w:cs="Times New Roman"/>
                      <w:snapToGrid/>
                      <w:color w:val="auto"/>
                      <w:kern w:val="2"/>
                      <w:sz w:val="21"/>
                      <w:szCs w:val="21"/>
                      <w:highlight w:val="none"/>
                      <w:lang w:val="en-US" w:eastAsia="zh-CN"/>
                    </w:rPr>
                    <w:t>d（其中测试放喷15d～20d），钻后工程约10d。</w:t>
                  </w:r>
                </w:p>
              </w:tc>
              <w:tc>
                <w:tcPr>
                  <w:tcW w:w="979" w:type="pct"/>
                  <w:noWrap w:val="0"/>
                  <w:tcMar>
                    <w:left w:w="28" w:type="dxa"/>
                    <w:right w:w="28" w:type="dxa"/>
                  </w:tcMar>
                  <w:vAlign w:val="center"/>
                </w:tcPr>
                <w:p>
                  <w:pPr>
                    <w:pStyle w:val="70"/>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公辅工程</w:t>
                  </w: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供电工程</w:t>
                  </w:r>
                </w:p>
              </w:tc>
              <w:tc>
                <w:tcPr>
                  <w:tcW w:w="2805" w:type="pct"/>
                  <w:shd w:val="clear" w:color="auto" w:fill="auto"/>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val="0"/>
                    <w:snapToGrid/>
                    <w:spacing w:before="0" w:beforeLines="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eastAsia" w:ascii="Times New Roman" w:cs="Times New Roman"/>
                      <w:color w:val="auto"/>
                      <w:spacing w:val="-10"/>
                      <w:sz w:val="21"/>
                      <w:szCs w:val="21"/>
                      <w:highlight w:val="none"/>
                      <w:lang w:val="en-US" w:eastAsia="zh-CN"/>
                    </w:rPr>
                    <w:t>项目用电由自备</w:t>
                  </w:r>
                  <w:r>
                    <w:rPr>
                      <w:rFonts w:hint="default" w:ascii="Times New Roman" w:hAnsi="Times New Roman" w:eastAsia="宋体" w:cs="Times New Roman"/>
                      <w:color w:val="auto"/>
                      <w:spacing w:val="-10"/>
                      <w:sz w:val="21"/>
                      <w:szCs w:val="21"/>
                      <w:highlight w:val="none"/>
                    </w:rPr>
                    <w:t>柴油发电机</w:t>
                  </w:r>
                  <w:r>
                    <w:rPr>
                      <w:rFonts w:hint="eastAsia" w:ascii="Times New Roman" w:cs="Times New Roman"/>
                      <w:color w:val="auto"/>
                      <w:spacing w:val="-10"/>
                      <w:sz w:val="21"/>
                      <w:szCs w:val="21"/>
                      <w:highlight w:val="none"/>
                      <w:lang w:val="en-US" w:eastAsia="zh-CN"/>
                    </w:rPr>
                    <w:t>供电</w:t>
                  </w:r>
                  <w:r>
                    <w:rPr>
                      <w:rFonts w:hint="default" w:ascii="Times New Roman" w:hAnsi="Times New Roman" w:eastAsia="宋体" w:cs="Times New Roman"/>
                      <w:color w:val="auto"/>
                      <w:kern w:val="2"/>
                      <w:sz w:val="21"/>
                      <w:szCs w:val="21"/>
                      <w:highlight w:val="none"/>
                      <w:lang w:val="en-US" w:eastAsia="zh-CN" w:bidi="ar-SA"/>
                    </w:rPr>
                    <w:t>。</w:t>
                  </w:r>
                </w:p>
              </w:tc>
              <w:tc>
                <w:tcPr>
                  <w:tcW w:w="979"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供热工程</w:t>
                  </w:r>
                </w:p>
              </w:tc>
              <w:tc>
                <w:tcPr>
                  <w:tcW w:w="2805"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冬季生活区供暖为电采暖，泥浆保温使用生物质锅炉。</w:t>
                  </w:r>
                </w:p>
              </w:tc>
              <w:tc>
                <w:tcPr>
                  <w:tcW w:w="979"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供水工程</w:t>
                  </w:r>
                </w:p>
              </w:tc>
              <w:tc>
                <w:tcPr>
                  <w:tcW w:w="2805"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jc w:val="both"/>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钻井生产</w:t>
                  </w:r>
                  <w:r>
                    <w:rPr>
                      <w:rFonts w:hint="eastAsia" w:ascii="Times New Roman" w:cs="Times New Roman"/>
                      <w:bCs w:val="0"/>
                      <w:color w:val="000000" w:themeColor="text1"/>
                      <w:spacing w:val="-10"/>
                      <w:sz w:val="21"/>
                      <w:szCs w:val="21"/>
                      <w:highlight w:val="none"/>
                      <w:lang w:val="en-US" w:eastAsia="zh-CN"/>
                      <w14:textFill>
                        <w14:solidFill>
                          <w14:schemeClr w14:val="tx1"/>
                        </w14:solidFill>
                      </w14:textFill>
                    </w:rPr>
                    <w:t>用</w:t>
                  </w: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水</w:t>
                  </w:r>
                  <w:r>
                    <w:rPr>
                      <w:rFonts w:hint="eastAsia" w:ascii="Times New Roman" w:cs="Times New Roman"/>
                      <w:bCs w:val="0"/>
                      <w:color w:val="000000" w:themeColor="text1"/>
                      <w:spacing w:val="-10"/>
                      <w:sz w:val="21"/>
                      <w:szCs w:val="21"/>
                      <w:highlight w:val="none"/>
                      <w:lang w:val="en-US" w:eastAsia="zh-CN"/>
                      <w14:textFill>
                        <w14:solidFill>
                          <w14:schemeClr w14:val="tx1"/>
                        </w14:solidFill>
                      </w14:textFill>
                    </w:rPr>
                    <w:t>通过</w:t>
                  </w: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打水</w:t>
                  </w:r>
                  <w:r>
                    <w:rPr>
                      <w:rFonts w:hint="eastAsia" w:ascii="Times New Roman" w:cs="Times New Roman"/>
                      <w:bCs w:val="0"/>
                      <w:color w:val="000000" w:themeColor="text1"/>
                      <w:spacing w:val="-10"/>
                      <w:sz w:val="21"/>
                      <w:szCs w:val="21"/>
                      <w:highlight w:val="none"/>
                      <w:lang w:val="en-US" w:eastAsia="zh-CN"/>
                      <w14:textFill>
                        <w14:solidFill>
                          <w14:schemeClr w14:val="tx1"/>
                        </w14:solidFill>
                      </w14:textFill>
                    </w:rPr>
                    <w:t>井取水，水井使用前需取得取水相关文件。</w:t>
                  </w: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生活用水由水罐车由附近水站拉运</w:t>
                  </w:r>
                  <w:r>
                    <w:rPr>
                      <w:rFonts w:hint="default" w:ascii="Times New Roman" w:hAnsi="Times New Roman" w:eastAsia="宋体" w:cs="Times New Roman"/>
                      <w:bCs w:val="0"/>
                      <w:color w:val="000000" w:themeColor="text1"/>
                      <w:spacing w:val="-10"/>
                      <w:sz w:val="21"/>
                      <w:szCs w:val="21"/>
                      <w:highlight w:val="none"/>
                      <w:lang w:eastAsia="zh-CN"/>
                      <w14:textFill>
                        <w14:solidFill>
                          <w14:schemeClr w14:val="tx1"/>
                        </w14:solidFill>
                      </w14:textFill>
                    </w:rPr>
                    <w:t>。</w:t>
                  </w:r>
                </w:p>
              </w:tc>
              <w:tc>
                <w:tcPr>
                  <w:tcW w:w="979"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道路工程</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lang w:val="en-US" w:eastAsia="zh-CN"/>
                    </w:rPr>
                    <w:t>临时井场道路从最近现有道路进行引接，在依托现有道路基础上新建临时道路，结合地形等条件估算，需新建临时进场道路长约</w:t>
                  </w:r>
                  <w:r>
                    <w:rPr>
                      <w:rFonts w:hint="eastAsia" w:ascii="Times New Roman" w:cs="Times New Roman"/>
                      <w:color w:val="auto"/>
                      <w:spacing w:val="-10"/>
                      <w:kern w:val="0"/>
                      <w:sz w:val="21"/>
                      <w:szCs w:val="21"/>
                      <w:highlight w:val="none"/>
                      <w:lang w:val="en-US" w:eastAsia="zh-CN"/>
                    </w:rPr>
                    <w:t>310</w:t>
                  </w:r>
                  <w:r>
                    <w:rPr>
                      <w:rFonts w:hint="default" w:ascii="Times New Roman" w:hAnsi="Times New Roman" w:eastAsia="宋体" w:cs="Times New Roman"/>
                      <w:color w:val="auto"/>
                      <w:spacing w:val="-10"/>
                      <w:kern w:val="0"/>
                      <w:sz w:val="21"/>
                      <w:szCs w:val="21"/>
                      <w:highlight w:val="none"/>
                    </w:rPr>
                    <w:t>m，砂石路面，宽</w:t>
                  </w:r>
                  <w:r>
                    <w:rPr>
                      <w:rFonts w:hint="default" w:ascii="Times New Roman" w:hAnsi="Times New Roman" w:eastAsia="宋体" w:cs="Times New Roman"/>
                      <w:color w:val="auto"/>
                      <w:spacing w:val="-10"/>
                      <w:kern w:val="0"/>
                      <w:sz w:val="21"/>
                      <w:szCs w:val="21"/>
                      <w:highlight w:val="none"/>
                      <w:lang w:val="en-US" w:eastAsia="zh-CN"/>
                    </w:rPr>
                    <w:t>6</w:t>
                  </w:r>
                  <w:r>
                    <w:rPr>
                      <w:rFonts w:hint="default" w:ascii="Times New Roman" w:hAnsi="Times New Roman" w:eastAsia="宋体" w:cs="Times New Roman"/>
                      <w:color w:val="auto"/>
                      <w:spacing w:val="-10"/>
                      <w:kern w:val="0"/>
                      <w:sz w:val="21"/>
                      <w:szCs w:val="21"/>
                      <w:highlight w:val="none"/>
                    </w:rPr>
                    <w:t>m，</w:t>
                  </w:r>
                  <w:r>
                    <w:rPr>
                      <w:rFonts w:hint="default" w:ascii="Times New Roman" w:hAnsi="Times New Roman" w:eastAsia="宋体" w:cs="Times New Roman"/>
                      <w:color w:val="auto"/>
                      <w:spacing w:val="-10"/>
                      <w:sz w:val="21"/>
                      <w:szCs w:val="21"/>
                      <w:highlight w:val="none"/>
                    </w:rPr>
                    <w:t>井场临时道路占地</w:t>
                  </w:r>
                  <w:r>
                    <w:rPr>
                      <w:rFonts w:hint="eastAsia" w:ascii="Times New Roman" w:cs="Times New Roman"/>
                      <w:color w:val="auto"/>
                      <w:spacing w:val="-10"/>
                      <w:sz w:val="21"/>
                      <w:szCs w:val="21"/>
                      <w:highlight w:val="none"/>
                      <w:lang w:val="en-US" w:eastAsia="zh-CN"/>
                    </w:rPr>
                    <w:t>1860</w:t>
                  </w: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color w:val="auto"/>
                      <w:spacing w:val="-10"/>
                      <w:sz w:val="21"/>
                      <w:szCs w:val="21"/>
                      <w:highlight w:val="none"/>
                      <w:vertAlign w:val="superscript"/>
                    </w:rPr>
                    <w:t>2</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4"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restar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eastAsia="zh-CN"/>
                    </w:rPr>
                    <w:t>仓储</w:t>
                  </w:r>
                  <w:r>
                    <w:rPr>
                      <w:rFonts w:hint="default" w:ascii="Times New Roman" w:hAnsi="Times New Roman" w:eastAsia="宋体" w:cs="Times New Roman"/>
                      <w:color w:val="auto"/>
                      <w:spacing w:val="-10"/>
                      <w:sz w:val="21"/>
                      <w:szCs w:val="21"/>
                      <w:highlight w:val="none"/>
                    </w:rPr>
                    <w:t>或</w:t>
                  </w:r>
                </w:p>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其它</w:t>
                  </w:r>
                </w:p>
              </w:tc>
              <w:tc>
                <w:tcPr>
                  <w:tcW w:w="2805"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jc w:val="both"/>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w:t>
                  </w:r>
                  <w:r>
                    <w:rPr>
                      <w:rFonts w:hint="default" w:ascii="Times New Roman" w:hAnsi="Times New Roman" w:eastAsia="宋体" w:cs="Times New Roman"/>
                      <w:bCs/>
                      <w:color w:val="auto"/>
                      <w:spacing w:val="-17"/>
                      <w:sz w:val="21"/>
                      <w:szCs w:val="21"/>
                      <w:highlight w:val="none"/>
                    </w:rPr>
                    <w:t>罐（4个，60m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/个）、生活水罐（1个，</w:t>
                  </w:r>
                  <w:r>
                    <w:rPr>
                      <w:rFonts w:hint="default" w:ascii="Times New Roman" w:hAnsi="Times New Roman" w:eastAsia="宋体" w:cs="Times New Roman"/>
                      <w:bCs/>
                      <w:color w:val="auto"/>
                      <w:spacing w:val="-17"/>
                      <w:sz w:val="21"/>
                      <w:szCs w:val="21"/>
                      <w:highlight w:val="none"/>
                      <w:lang w:val="en-US" w:eastAsia="zh-CN"/>
                    </w:rPr>
                    <w:t>45</w:t>
                  </w:r>
                  <w:r>
                    <w:rPr>
                      <w:rFonts w:hint="default" w:ascii="Times New Roman" w:hAnsi="Times New Roman" w:eastAsia="宋体" w:cs="Times New Roman"/>
                      <w:bCs/>
                      <w:color w:val="auto"/>
                      <w:spacing w:val="-17"/>
                      <w:sz w:val="21"/>
                      <w:szCs w:val="21"/>
                      <w:highlight w:val="none"/>
                    </w:rPr>
                    <w:t>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/个）、生产水罐（5个，60m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/个）、泥浆循环罐（10个，71m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w:t>
                  </w:r>
                  <w:r>
                    <w:rPr>
                      <w:rFonts w:hint="default" w:ascii="Times New Roman" w:hAnsi="Times New Roman" w:eastAsia="宋体" w:cs="Times New Roman"/>
                      <w:bCs/>
                      <w:color w:val="auto"/>
                      <w:spacing w:val="-17"/>
                      <w:sz w:val="21"/>
                      <w:szCs w:val="21"/>
                      <w:highlight w:val="none"/>
                      <w:lang w:eastAsia="zh-CN"/>
                    </w:rPr>
                    <w:t>。</w:t>
                  </w:r>
                </w:p>
              </w:tc>
              <w:tc>
                <w:tcPr>
                  <w:tcW w:w="979"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p>
              </w:tc>
              <w:tc>
                <w:tcPr>
                  <w:tcW w:w="2805"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17"/>
                      <w:sz w:val="21"/>
                      <w:szCs w:val="21"/>
                      <w:highlight w:val="none"/>
                    </w:rPr>
                    <w:t>柴油罐（3个，45m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w:t>
                  </w:r>
                  <w:r>
                    <w:rPr>
                      <w:rFonts w:hint="default" w:ascii="Times New Roman" w:hAnsi="Times New Roman" w:eastAsia="宋体" w:cs="Times New Roman"/>
                      <w:bCs/>
                      <w:color w:val="auto"/>
                      <w:spacing w:val="-17"/>
                      <w:sz w:val="21"/>
                      <w:szCs w:val="21"/>
                      <w:highlight w:val="none"/>
                      <w:lang w:val="en-US" w:eastAsia="zh-CN"/>
                    </w:rPr>
                    <w:t>，</w:t>
                  </w:r>
                  <w:r>
                    <w:rPr>
                      <w:rFonts w:hint="default" w:ascii="Times New Roman" w:hAnsi="Times New Roman" w:eastAsia="宋体" w:cs="Times New Roman"/>
                      <w:color w:val="auto"/>
                      <w:spacing w:val="-10"/>
                      <w:sz w:val="21"/>
                      <w:szCs w:val="21"/>
                      <w:highlight w:val="none"/>
                    </w:rPr>
                    <w:t>凝析油罐</w:t>
                  </w:r>
                  <w:r>
                    <w:rPr>
                      <w:rFonts w:hint="default" w:ascii="Times New Roman" w:hAnsi="Times New Roman" w:eastAsia="宋体" w:cs="Times New Roman"/>
                      <w:bCs/>
                      <w:color w:val="auto"/>
                      <w:spacing w:val="-17"/>
                      <w:sz w:val="21"/>
                      <w:szCs w:val="21"/>
                      <w:highlight w:val="none"/>
                    </w:rPr>
                    <w:t>（4个，40m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w:t>
                  </w:r>
                  <w:r>
                    <w:rPr>
                      <w:rFonts w:hint="default" w:ascii="Times New Roman" w:hAnsi="Times New Roman" w:eastAsia="宋体" w:cs="Times New Roman"/>
                      <w:bCs/>
                      <w:color w:val="auto"/>
                      <w:spacing w:val="-17"/>
                      <w:sz w:val="21"/>
                      <w:szCs w:val="21"/>
                      <w:highlight w:val="none"/>
                      <w:lang w:eastAsia="zh-CN"/>
                    </w:rPr>
                    <w:t>，</w:t>
                  </w:r>
                  <w:r>
                    <w:rPr>
                      <w:rFonts w:hint="default" w:ascii="Times New Roman" w:hAnsi="Times New Roman" w:eastAsia="宋体" w:cs="Times New Roman"/>
                      <w:bCs/>
                      <w:color w:val="auto"/>
                      <w:spacing w:val="-17"/>
                      <w:sz w:val="21"/>
                      <w:szCs w:val="21"/>
                      <w:highlight w:val="none"/>
                      <w:lang w:val="en-US" w:eastAsia="zh-CN"/>
                    </w:rPr>
                    <w:t>采取重点防渗。</w:t>
                  </w:r>
                </w:p>
              </w:tc>
              <w:tc>
                <w:tcPr>
                  <w:tcW w:w="979" w:type="pc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bCs w:val="0"/>
                      <w:color w:val="auto"/>
                      <w:spacing w:val="-10"/>
                      <w:sz w:val="21"/>
                      <w:szCs w:val="21"/>
                      <w:highlight w:val="none"/>
                    </w:rPr>
                    <w:t>环保</w:t>
                  </w:r>
                  <w:r>
                    <w:rPr>
                      <w:rFonts w:hint="default" w:ascii="Times New Roman" w:hAnsi="Times New Roman" w:eastAsia="宋体" w:cs="Times New Roman"/>
                      <w:b w:val="0"/>
                      <w:color w:val="auto"/>
                      <w:spacing w:val="-10"/>
                      <w:sz w:val="21"/>
                      <w:szCs w:val="21"/>
                      <w:highlight w:val="none"/>
                    </w:rPr>
                    <w:t>工程</w:t>
                  </w:r>
                </w:p>
              </w:tc>
              <w:tc>
                <w:tcPr>
                  <w:tcW w:w="656" w:type="pct"/>
                  <w:vMerge w:val="restar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废气</w:t>
                  </w: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7"/>
                      <w:sz w:val="21"/>
                      <w:szCs w:val="21"/>
                      <w:highlight w:val="none"/>
                      <w:lang w:val="en-US" w:eastAsia="zh-CN"/>
                    </w:rPr>
                    <w:t>钻井作业时</w:t>
                  </w:r>
                  <w:bookmarkStart w:id="18" w:name="OLE_LINK11"/>
                  <w:r>
                    <w:rPr>
                      <w:rFonts w:hint="default" w:ascii="Times New Roman" w:hAnsi="Times New Roman" w:eastAsia="宋体" w:cs="Times New Roman"/>
                      <w:color w:val="auto"/>
                      <w:spacing w:val="-17"/>
                      <w:sz w:val="21"/>
                      <w:szCs w:val="21"/>
                      <w:highlight w:val="none"/>
                      <w:lang w:val="en-US" w:eastAsia="zh-CN"/>
                    </w:rPr>
                    <w:t>科学设置钻井流程，</w:t>
                  </w:r>
                  <w:bookmarkEnd w:id="18"/>
                  <w:r>
                    <w:rPr>
                      <w:rFonts w:hint="default" w:ascii="Times New Roman" w:hAnsi="Times New Roman" w:eastAsia="宋体" w:cs="Times New Roman"/>
                      <w:color w:val="auto"/>
                      <w:spacing w:val="-17"/>
                      <w:sz w:val="21"/>
                      <w:szCs w:val="21"/>
                      <w:highlight w:val="none"/>
                      <w:lang w:val="en-US" w:eastAsia="zh-CN"/>
                    </w:rPr>
                    <w:t>有效使用发电机，减少燃料燃烧产生的废气量</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测试放喷科学测算放喷时间，减少天然气点火放空造成的环境污染</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bCs/>
                      <w:color w:val="auto"/>
                      <w:spacing w:val="-10"/>
                      <w:kern w:val="2"/>
                      <w:sz w:val="21"/>
                      <w:szCs w:val="21"/>
                      <w:highlight w:val="none"/>
                      <w:lang w:val="en-US" w:eastAsia="zh-CN"/>
                    </w:rPr>
                    <w:t>生物质蒸汽锅炉采用生物质成型燃料，烟气经低氮燃烧技术+布袋除尘器处理后经</w:t>
                  </w:r>
                  <w:r>
                    <w:rPr>
                      <w:rFonts w:hint="eastAsia" w:cs="Times New Roman"/>
                      <w:bCs/>
                      <w:color w:val="auto"/>
                      <w:spacing w:val="-10"/>
                      <w:kern w:val="2"/>
                      <w:sz w:val="21"/>
                      <w:szCs w:val="21"/>
                      <w:highlight w:val="none"/>
                      <w:lang w:val="en-US" w:eastAsia="zh-CN"/>
                    </w:rPr>
                    <w:t>30</w:t>
                  </w:r>
                  <w:r>
                    <w:rPr>
                      <w:rFonts w:hint="default" w:ascii="Times New Roman" w:hAnsi="Times New Roman" w:eastAsia="宋体" w:cs="Times New Roman"/>
                      <w:bCs/>
                      <w:color w:val="auto"/>
                      <w:spacing w:val="-10"/>
                      <w:kern w:val="2"/>
                      <w:sz w:val="21"/>
                      <w:szCs w:val="21"/>
                      <w:highlight w:val="none"/>
                      <w:lang w:val="en-US" w:eastAsia="zh-CN"/>
                    </w:rPr>
                    <w:t>m排气筒（可拆卸）排放。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井场储罐均密闭，减少挥发无组织废气</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运输土石方等车辆，车厢遮盖严密后方可运出场外；合理堆放物料，搭建苫布，同时定时洒水</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bCs/>
                      <w:color w:val="auto"/>
                      <w:spacing w:val="-11"/>
                      <w:sz w:val="21"/>
                      <w:szCs w:val="21"/>
                      <w:highlight w:val="none"/>
                      <w:lang w:val="en-US" w:eastAsia="zh-CN"/>
                    </w:rPr>
                    <w:t>设备和车辆燃用合格的燃料，设备和车辆不超负荷运行，减少机械设备和车辆尾气</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z w:val="21"/>
                      <w:szCs w:val="21"/>
                      <w:highlight w:val="none"/>
                    </w:rPr>
                    <w:t>柴油发电机废气：使用环保节能型柴油机，选用轻质柴油燃料，加强管理维护等。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restar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废水</w:t>
                  </w: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1"/>
                      <w:sz w:val="21"/>
                      <w:szCs w:val="21"/>
                      <w:highlight w:val="none"/>
                      <w:lang w:val="en-US" w:eastAsia="zh-CN"/>
                    </w:rPr>
                    <w:t>酸化压裂返排液在井场加碱中和后，采用专用废液收集罐暂存，定期运至富源7井废液处理站。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Cs/>
                      <w:color w:val="auto"/>
                      <w:spacing w:val="-11"/>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锅炉排污水用于井区周边洒水抑尘。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生活污水：经井场撬装式污水处理装置处理后，水质达到《农村生活污水处理排放标准》（DB65</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4275-2019）表2的</w:t>
                  </w: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rPr>
                    <w:t>级标准，用于荒漠生态恢复</w:t>
                  </w:r>
                  <w:r>
                    <w:rPr>
                      <w:rFonts w:hint="default" w:ascii="Times New Roman" w:hAnsi="Times New Roman" w:eastAsia="宋体" w:cs="Times New Roman"/>
                      <w:color w:val="auto"/>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restar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固体废物</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泥浆在井口采用“</w:t>
                  </w:r>
                  <w:r>
                    <w:rPr>
                      <w:rFonts w:hint="default" w:ascii="Times New Roman" w:hAnsi="Times New Roman" w:eastAsia="宋体" w:cs="Times New Roman"/>
                      <w:snapToGrid w:val="0"/>
                      <w:color w:val="auto"/>
                      <w:spacing w:val="-10"/>
                      <w:kern w:val="0"/>
                      <w:sz w:val="21"/>
                      <w:szCs w:val="21"/>
                      <w:highlight w:val="none"/>
                      <w:lang w:bidi="ar"/>
                    </w:rPr>
                    <w:t>泥浆不落地</w:t>
                  </w:r>
                  <w:r>
                    <w:rPr>
                      <w:rFonts w:hint="default" w:ascii="Times New Roman" w:hAnsi="Times New Roman" w:eastAsia="宋体" w:cs="Times New Roman"/>
                      <w:bCs/>
                      <w:color w:val="auto"/>
                      <w:spacing w:val="-10"/>
                      <w:sz w:val="21"/>
                      <w:szCs w:val="21"/>
                      <w:highlight w:val="none"/>
                    </w:rPr>
                    <w:t>”</w:t>
                  </w:r>
                  <w:r>
                    <w:rPr>
                      <w:rFonts w:hint="default" w:ascii="Times New Roman" w:hAnsi="Times New Roman" w:eastAsia="宋体" w:cs="Times New Roman"/>
                      <w:snapToGrid w:val="0"/>
                      <w:color w:val="auto"/>
                      <w:spacing w:val="-10"/>
                      <w:kern w:val="0"/>
                      <w:sz w:val="21"/>
                      <w:szCs w:val="21"/>
                      <w:highlight w:val="none"/>
                      <w:lang w:bidi="ar"/>
                    </w:rPr>
                    <w:t>工艺收集，泥浆排入泥浆罐循环使用，完井后拉运至下一口井再利用</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snapToGrid w:val="0"/>
                      <w:color w:val="auto"/>
                      <w:spacing w:val="-10"/>
                      <w:kern w:val="0"/>
                      <w:sz w:val="21"/>
                      <w:szCs w:val="21"/>
                      <w:highlight w:val="none"/>
                      <w:lang w:bidi="ar"/>
                    </w:rPr>
                    <w:t>膨润土体系废弃钻井岩屑排入</w:t>
                  </w:r>
                  <w:r>
                    <w:rPr>
                      <w:rFonts w:hint="default" w:ascii="Times New Roman" w:hAnsi="Times New Roman" w:eastAsia="宋体" w:cs="Times New Roman"/>
                      <w:bCs/>
                      <w:color w:val="auto"/>
                      <w:spacing w:val="-10"/>
                      <w:sz w:val="21"/>
                      <w:szCs w:val="21"/>
                      <w:highlight w:val="none"/>
                    </w:rPr>
                    <w:t>膨润土</w:t>
                  </w:r>
                  <w:r>
                    <w:rPr>
                      <w:rFonts w:hint="default" w:ascii="Times New Roman" w:hAnsi="Times New Roman" w:eastAsia="宋体" w:cs="Times New Roman"/>
                      <w:snapToGrid w:val="0"/>
                      <w:color w:val="auto"/>
                      <w:spacing w:val="-10"/>
                      <w:kern w:val="0"/>
                      <w:sz w:val="21"/>
                      <w:szCs w:val="21"/>
                      <w:highlight w:val="none"/>
                      <w:lang w:bidi="ar"/>
                    </w:rPr>
                    <w:t>岩屑池（</w:t>
                  </w:r>
                  <w:r>
                    <w:rPr>
                      <w:rFonts w:hint="default" w:ascii="Times New Roman" w:hAnsi="Times New Roman" w:eastAsia="宋体" w:cs="Times New Roman"/>
                      <w:bCs/>
                      <w:color w:val="auto"/>
                      <w:spacing w:val="-10"/>
                      <w:sz w:val="21"/>
                      <w:szCs w:val="21"/>
                      <w:highlight w:val="none"/>
                    </w:rPr>
                    <w:t>1</w:t>
                  </w:r>
                  <w:r>
                    <w:rPr>
                      <w:rFonts w:hint="eastAsia" w:ascii="Times New Roman" w:cs="Times New Roman"/>
                      <w:bCs/>
                      <w:color w:val="auto"/>
                      <w:spacing w:val="-10"/>
                      <w:sz w:val="21"/>
                      <w:szCs w:val="21"/>
                      <w:highlight w:val="none"/>
                      <w:lang w:val="en-US" w:eastAsia="zh-CN"/>
                    </w:rPr>
                    <w:t>5</w:t>
                  </w:r>
                  <w:r>
                    <w:rPr>
                      <w:rFonts w:hint="default" w:ascii="Times New Roman" w:hAnsi="Times New Roman" w:eastAsia="宋体" w:cs="Times New Roman"/>
                      <w:bCs/>
                      <w:color w:val="auto"/>
                      <w:spacing w:val="-10"/>
                      <w:sz w:val="21"/>
                      <w:szCs w:val="21"/>
                      <w:highlight w:val="none"/>
                    </w:rPr>
                    <w:t>00m</w:t>
                  </w:r>
                  <w:r>
                    <w:rPr>
                      <w:rFonts w:hint="default" w:ascii="Times New Roman" w:hAnsi="Times New Roman" w:eastAsia="宋体" w:cs="Times New Roman"/>
                      <w:bCs/>
                      <w:color w:val="auto"/>
                      <w:spacing w:val="-10"/>
                      <w:sz w:val="21"/>
                      <w:szCs w:val="21"/>
                      <w:highlight w:val="none"/>
                      <w:vertAlign w:val="superscript"/>
                    </w:rPr>
                    <w:t>3</w:t>
                  </w:r>
                  <w:r>
                    <w:rPr>
                      <w:rFonts w:hint="default" w:ascii="Times New Roman" w:hAnsi="Times New Roman" w:eastAsia="宋体" w:cs="Times New Roman"/>
                      <w:color w:val="auto"/>
                      <w:spacing w:val="-10"/>
                      <w:sz w:val="21"/>
                      <w:szCs w:val="21"/>
                      <w:highlight w:val="none"/>
                    </w:rPr>
                    <w:t>）干</w:t>
                  </w:r>
                  <w:r>
                    <w:rPr>
                      <w:rFonts w:hint="default" w:ascii="Times New Roman" w:hAnsi="Times New Roman" w:eastAsia="宋体" w:cs="Times New Roman"/>
                      <w:snapToGrid w:val="0"/>
                      <w:color w:val="auto"/>
                      <w:spacing w:val="-10"/>
                      <w:kern w:val="0"/>
                      <w:sz w:val="21"/>
                      <w:szCs w:val="21"/>
                      <w:highlight w:val="none"/>
                      <w:lang w:bidi="ar"/>
                    </w:rPr>
                    <w:t>化，经检测达标后，用于井场平整</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处理达标</w:t>
                  </w:r>
                  <w:r>
                    <w:rPr>
                      <w:rFonts w:hint="default" w:ascii="Times New Roman" w:hAnsi="Times New Roman" w:eastAsia="宋体" w:cs="Times New Roman"/>
                      <w:color w:val="auto"/>
                      <w:spacing w:val="-10"/>
                      <w:sz w:val="21"/>
                      <w:szCs w:val="21"/>
                      <w:highlight w:val="none"/>
                    </w:rPr>
                    <w:t>后，</w:t>
                  </w:r>
                  <w:r>
                    <w:rPr>
                      <w:rFonts w:hint="eastAsia" w:ascii="Times New Roman" w:cs="Times New Roman"/>
                      <w:color w:val="auto"/>
                      <w:spacing w:val="-10"/>
                      <w:sz w:val="21"/>
                      <w:szCs w:val="21"/>
                      <w:highlight w:val="none"/>
                      <w:lang w:val="en-US" w:eastAsia="zh-CN"/>
                    </w:rPr>
                    <w:t>还原土</w:t>
                  </w:r>
                  <w:r>
                    <w:rPr>
                      <w:rFonts w:hint="default" w:ascii="Times New Roman" w:hAnsi="Times New Roman" w:eastAsia="宋体" w:cs="Times New Roman"/>
                      <w:color w:val="auto"/>
                      <w:spacing w:val="-10"/>
                      <w:sz w:val="21"/>
                      <w:szCs w:val="21"/>
                      <w:highlight w:val="none"/>
                    </w:rPr>
                    <w:t>用于铺垫油区内的井场、道路</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yellow"/>
                      <w:lang w:val="en-US" w:eastAsia="zh-CN" w:bidi="ar-SA"/>
                    </w:rPr>
                  </w:pPr>
                  <w:r>
                    <w:rPr>
                      <w:rFonts w:hint="default" w:ascii="Times New Roman" w:hAnsi="Times New Roman" w:eastAsia="宋体" w:cs="Times New Roman"/>
                      <w:color w:val="auto"/>
                      <w:spacing w:val="-10"/>
                      <w:sz w:val="21"/>
                      <w:szCs w:val="21"/>
                      <w:highlight w:val="none"/>
                    </w:rPr>
                    <w:t>锅炉灰渣与除尘灰集中收集后送至周边固废填埋场填埋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0"/>
                      <w:kern w:val="0"/>
                      <w:sz w:val="21"/>
                      <w:szCs w:val="21"/>
                      <w:highlight w:val="none"/>
                      <w:lang w:bidi="ar"/>
                    </w:rPr>
                    <w:t>废布袋由厂家回收处理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eastAsia="zh-CN"/>
                    </w:rPr>
                    <w:t>沾油废物</w:t>
                  </w:r>
                  <w:r>
                    <w:rPr>
                      <w:rFonts w:hint="default" w:ascii="Times New Roman" w:hAnsi="Times New Roman" w:eastAsia="宋体" w:cs="Times New Roman"/>
                      <w:color w:val="auto"/>
                      <w:spacing w:val="-10"/>
                      <w:sz w:val="21"/>
                      <w:szCs w:val="21"/>
                      <w:highlight w:val="none"/>
                    </w:rPr>
                    <w:t>（危险废物，HW08 900-249-08）、废烧碱包装袋（危险废物，HW49 900-</w:t>
                  </w:r>
                  <w:r>
                    <w:rPr>
                      <w:rFonts w:hint="default" w:ascii="Times New Roman" w:hAnsi="Times New Roman" w:eastAsia="宋体" w:cs="Times New Roman"/>
                      <w:color w:val="auto"/>
                      <w:spacing w:val="-10"/>
                      <w:sz w:val="21"/>
                      <w:szCs w:val="21"/>
                      <w:highlight w:val="none"/>
                      <w:lang w:val="en-US" w:eastAsia="zh-CN"/>
                    </w:rPr>
                    <w:t>041-49</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废矿物油及其包装物</w:t>
                  </w:r>
                  <w:r>
                    <w:rPr>
                      <w:rFonts w:hint="default" w:ascii="Times New Roman" w:hAnsi="Times New Roman" w:eastAsia="宋体" w:cs="Times New Roman"/>
                      <w:color w:val="auto"/>
                      <w:spacing w:val="-10"/>
                      <w:sz w:val="21"/>
                      <w:szCs w:val="21"/>
                      <w:highlight w:val="none"/>
                    </w:rPr>
                    <w:t>（危险废物，HW08 900-249-08）在危废贮存点（8m</w:t>
                  </w:r>
                  <w:r>
                    <w:rPr>
                      <w:rFonts w:hint="default" w:ascii="Times New Roman" w:hAnsi="Times New Roman" w:eastAsia="宋体" w:cs="Times New Roman"/>
                      <w:color w:val="auto"/>
                      <w:spacing w:val="-10"/>
                      <w:sz w:val="21"/>
                      <w:szCs w:val="21"/>
                      <w:highlight w:val="none"/>
                      <w:vertAlign w:val="superscript"/>
                    </w:rPr>
                    <w:t>2</w:t>
                  </w:r>
                  <w:r>
                    <w:rPr>
                      <w:rFonts w:hint="default" w:ascii="Times New Roman" w:hAnsi="Times New Roman" w:eastAsia="宋体" w:cs="Times New Roman"/>
                      <w:color w:val="auto"/>
                      <w:spacing w:val="-10"/>
                      <w:sz w:val="21"/>
                      <w:szCs w:val="21"/>
                      <w:highlight w:val="none"/>
                    </w:rPr>
                    <w:t>）暂存，定期由有处理资质的单位接收妥善处置</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tabs>
                      <w:tab w:val="left" w:pos="420"/>
                    </w:tabs>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生活垃圾及污水处理站污泥规范收集后统一清运至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kern w:val="0"/>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lang w:val="en-US" w:eastAsia="zh-CN"/>
                    </w:rPr>
                    <w:t>噪声</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基础减振</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防渗工程</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柴油</w:t>
                  </w:r>
                  <w:r>
                    <w:rPr>
                      <w:rFonts w:hint="default" w:ascii="Times New Roman" w:hAnsi="Times New Roman" w:eastAsia="宋体" w:cs="Times New Roman"/>
                      <w:bCs/>
                      <w:color w:val="auto"/>
                      <w:spacing w:val="-10"/>
                      <w:sz w:val="21"/>
                      <w:szCs w:val="21"/>
                      <w:highlight w:val="none"/>
                      <w:lang w:val="en-US" w:eastAsia="zh-CN"/>
                    </w:rPr>
                    <w:t>罐区</w:t>
                  </w:r>
                  <w:r>
                    <w:rPr>
                      <w:rFonts w:hint="default" w:ascii="Times New Roman" w:hAnsi="Times New Roman" w:eastAsia="宋体" w:cs="Times New Roman"/>
                      <w:color w:val="auto"/>
                      <w:spacing w:val="-10"/>
                      <w:sz w:val="21"/>
                      <w:szCs w:val="21"/>
                      <w:highlight w:val="none"/>
                      <w:lang w:val="en-US" w:eastAsia="zh-CN"/>
                    </w:rPr>
                    <w:t>、柴油发电机区、危险废物暂存间（危险废物贮存点）、放喷池、钻井平台、不落地收集装置、泥浆泵区、泥浆罐区、膨润土岩屑池等地面均采用环保防渗膜防渗</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生态</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在井场设置“保护生态环境、保护野生动物”等警示牌，加强对施工人员的教育，强化保护野生动物的观念，不得捕猎。车辆行驶过程中不得鸣笛惊吓野生动物。确保各类废弃物妥善处理，井场采用围栏加以防护，避免野生动物误入而危及生命。降低风险概率，避免事故泄漏和火灾爆炸事故对野生动物产生影响。施工结束后及时清理施工现场，做到“工完、料净、场地清”。工程结束后，建设单位应承担恢复生态的责任，并及时对临时占地区域进行平整、恢复原貌，使占地造成的影响逐步得以恢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bCs w:val="0"/>
                      <w:color w:val="auto"/>
                      <w:spacing w:val="-10"/>
                      <w:sz w:val="21"/>
                      <w:szCs w:val="21"/>
                      <w:highlight w:val="none"/>
                      <w:lang w:val="en-US" w:eastAsia="zh-CN"/>
                    </w:rPr>
                    <w:t>依托工程</w:t>
                  </w:r>
                </w:p>
              </w:tc>
              <w:tc>
                <w:tcPr>
                  <w:tcW w:w="4441" w:type="pct"/>
                  <w:gridSpan w:val="3"/>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rPr>
                    <w:t>酸化压裂返排液：在井场加碱中和后，采用专用废液收集罐暂存，定期运至富源7井废液处理站。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4441" w:type="pct"/>
                  <w:gridSpan w:val="3"/>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4"/>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4441" w:type="pct"/>
                  <w:gridSpan w:val="3"/>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rPr>
                    <w:t>生活垃圾、污水处理站污泥依托</w:t>
                  </w:r>
                  <w:r>
                    <w:rPr>
                      <w:rFonts w:hint="eastAsia" w:ascii="Times New Roman" w:cs="Times New Roman"/>
                      <w:color w:val="auto"/>
                      <w:spacing w:val="-10"/>
                      <w:kern w:val="2"/>
                      <w:sz w:val="21"/>
                      <w:szCs w:val="21"/>
                      <w:highlight w:val="none"/>
                      <w:lang w:val="en-US" w:eastAsia="zh-CN"/>
                    </w:rPr>
                    <w:t>塔中镇生活垃圾填埋场处理</w:t>
                  </w:r>
                  <w:r>
                    <w:rPr>
                      <w:rFonts w:hint="default" w:ascii="Times New Roman" w:hAnsi="Times New Roman" w:eastAsia="宋体" w:cs="Times New Roman"/>
                      <w:color w:val="auto"/>
                      <w:spacing w:val="-10"/>
                      <w:kern w:val="2"/>
                      <w:sz w:val="21"/>
                      <w:szCs w:val="21"/>
                      <w:highlight w:val="none"/>
                      <w:lang w:val="en-US" w:eastAsia="zh-CN"/>
                    </w:rPr>
                    <w:t>。</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8、工程建设所用施工机械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sz w:val="24"/>
                <w:highlight w:val="none"/>
                <w:lang w:val="en-US" w:eastAsia="zh-CN"/>
              </w:rPr>
              <w:t>工程建设所需设备设施情况见表2-5。</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表2-5    施工所用机械一览表</w:t>
            </w:r>
          </w:p>
          <w:tbl>
            <w:tblPr>
              <w:tblStyle w:val="32"/>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30"/>
              <w:gridCol w:w="2456"/>
              <w:gridCol w:w="1571"/>
              <w:gridCol w:w="760"/>
              <w:gridCol w:w="1227"/>
              <w:gridCol w:w="118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项目组成</w:t>
                  </w: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设备或部件名称</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规格型号</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数量</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单位</w:t>
                  </w:r>
                </w:p>
              </w:tc>
              <w:tc>
                <w:tcPr>
                  <w:tcW w:w="71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钻前工程</w:t>
                  </w: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推土机</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开挖池体</w:t>
                  </w:r>
                </w:p>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平整井场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挖掘机</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bCs w:val="0"/>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钻井工程</w:t>
                  </w: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机械钻机</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90D</w:t>
                  </w:r>
                  <w:r>
                    <w:rPr>
                      <w:rFonts w:hint="default" w:ascii="Times New Roman" w:hAnsi="Times New Roman" w:eastAsia="宋体" w:cs="Times New Roman"/>
                      <w:color w:val="auto"/>
                      <w:spacing w:val="-10"/>
                      <w:sz w:val="21"/>
                      <w:szCs w:val="21"/>
                      <w:highlight w:val="none"/>
                      <w:lang w:eastAsia="zh-CN"/>
                    </w:rPr>
                    <w:t>及以上</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井架</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底座</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绞车</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天车</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游车/大钩</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水龙头</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转盘</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柴油发电机</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1380kW</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机械传动装置</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8"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3</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固井水泥罐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68m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45m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3</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凝析油罐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40m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泥浆循环罐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71m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生活水罐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val="en-US" w:eastAsia="zh-CN"/>
                    </w:rPr>
                    <w:t>45</w:t>
                  </w: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生产水罐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泥浆不落地系统</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除气器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泥浆除气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除砂器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除泥器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加重泵、混合漏斗</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气液分离器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充气泵</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轴流风机</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备用气瓶</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环保罐</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储层改造</w:t>
                  </w: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运输车辆</w:t>
                  </w:r>
                </w:p>
              </w:tc>
              <w:tc>
                <w:tcPr>
                  <w:tcW w:w="942"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电缆绞车</w:t>
                  </w:r>
                </w:p>
              </w:tc>
              <w:tc>
                <w:tcPr>
                  <w:tcW w:w="942"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混砂车</w:t>
                  </w:r>
                </w:p>
              </w:tc>
              <w:tc>
                <w:tcPr>
                  <w:tcW w:w="942"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w:t>
                  </w:r>
                </w:p>
              </w:tc>
              <w:tc>
                <w:tcPr>
                  <w:tcW w:w="73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供液系统</w:t>
                  </w:r>
                </w:p>
              </w:tc>
              <w:tc>
                <w:tcPr>
                  <w:tcW w:w="942"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压裂车</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20</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m</w:t>
                  </w:r>
                  <w:r>
                    <w:rPr>
                      <w:rFonts w:hint="default" w:ascii="Times New Roman" w:hAnsi="Times New Roman" w:eastAsia="宋体" w:cs="Times New Roman"/>
                      <w:bCs/>
                      <w:color w:val="auto"/>
                      <w:spacing w:val="-10"/>
                      <w:sz w:val="21"/>
                      <w:szCs w:val="21"/>
                      <w:highlight w:val="none"/>
                      <w:vertAlign w:val="superscript"/>
                    </w:rPr>
                    <w:t>3</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加压泵组</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废液收集罐</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30</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m</w:t>
                  </w:r>
                  <w:r>
                    <w:rPr>
                      <w:rFonts w:hint="default" w:ascii="Times New Roman" w:hAnsi="Times New Roman" w:eastAsia="宋体" w:cs="Times New Roman"/>
                      <w:bCs/>
                      <w:color w:val="auto"/>
                      <w:spacing w:val="-10"/>
                      <w:sz w:val="21"/>
                      <w:szCs w:val="21"/>
                      <w:highlight w:val="none"/>
                      <w:vertAlign w:val="superscript"/>
                    </w:rPr>
                    <w:t>3</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10个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钻采一体化井口装置</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放空火炬</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测试放喷</w:t>
                  </w: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采油树</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防喷器</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测井车</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三相计量分离器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风险防护</w:t>
                  </w:r>
                </w:p>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设施</w:t>
                  </w: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eastAsia="zh-CN"/>
                    </w:rPr>
                    <w:t>危险废物暂存间</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8m</w:t>
                  </w:r>
                  <w:r>
                    <w:rPr>
                      <w:rFonts w:hint="default" w:ascii="Times New Roman" w:hAnsi="Times New Roman" w:eastAsia="宋体" w:cs="Times New Roman"/>
                      <w:color w:val="auto"/>
                      <w:spacing w:val="-10"/>
                      <w:sz w:val="21"/>
                      <w:szCs w:val="21"/>
                      <w:highlight w:val="none"/>
                      <w:vertAlign w:val="superscript"/>
                    </w:rPr>
                    <w:t>2</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间</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井控设备</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消防房及消防工具</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6.5m×2.5m×2.6m</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按标准配套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二层台逃生装置</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按标准配套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钻台紧急滑道</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按标准配套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四合一气体检测仪</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正压式空气呼吸器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14</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声光报警器</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防爆对讲机</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风向标</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w:t>
                  </w:r>
                </w:p>
              </w:tc>
              <w:tc>
                <w:tcPr>
                  <w:tcW w:w="73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14" w:hRule="atLeast"/>
                <w:jc w:val="center"/>
              </w:trPr>
              <w:tc>
                <w:tcPr>
                  <w:tcW w:w="678" w:type="pct"/>
                  <w:vMerge w:val="restar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公辅设施</w:t>
                  </w:r>
                </w:p>
              </w:tc>
              <w:tc>
                <w:tcPr>
                  <w:tcW w:w="1473" w:type="pct"/>
                  <w:shd w:val="clear" w:color="auto" w:fill="auto"/>
                  <w:noWrap w:val="0"/>
                  <w:tcMar>
                    <w:left w:w="28" w:type="dxa"/>
                    <w:right w:w="28" w:type="dxa"/>
                  </w:tcMar>
                  <w:vAlign w:val="center"/>
                </w:tcPr>
                <w:p>
                  <w:pPr>
                    <w:pStyle w:val="67"/>
                    <w:keepNext w:val="0"/>
                    <w:keepLines w:val="0"/>
                    <w:widowControl w:val="0"/>
                    <w:suppressLineNumbers w:val="0"/>
                    <w:spacing w:before="0" w:beforeAutospacing="0" w:after="0" w:afterAutospacing="0" w:line="0" w:lineRule="atLeast"/>
                    <w:ind w:left="0" w:leftChars="0" w:right="0" w:firstLine="0" w:firstLineChars="0"/>
                    <w:rPr>
                      <w:rFonts w:hint="default" w:ascii="Times New Roman" w:hAnsi="Times New Roman" w:eastAsia="宋体" w:cs="Times New Roman"/>
                      <w:bCs/>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生物质锅炉</w:t>
                  </w:r>
                </w:p>
              </w:tc>
              <w:tc>
                <w:tcPr>
                  <w:tcW w:w="942" w:type="pct"/>
                  <w:shd w:val="clear" w:color="auto" w:fill="auto"/>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0"/>
                      <w:sz w:val="21"/>
                      <w:szCs w:val="21"/>
                      <w:highlight w:val="none"/>
                    </w:rPr>
                    <w:t>2.5t/h</w:t>
                  </w:r>
                </w:p>
              </w:tc>
              <w:tc>
                <w:tcPr>
                  <w:tcW w:w="456" w:type="pct"/>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eastAsia" w:ascii="Times New Roman" w:hAnsi="Times New Roman" w:eastAsia="宋体" w:cs="Times New Roman"/>
                      <w:bCs/>
                      <w:color w:val="auto"/>
                      <w:spacing w:val="0"/>
                      <w:kern w:val="2"/>
                      <w:sz w:val="21"/>
                      <w:szCs w:val="21"/>
                      <w:highlight w:val="none"/>
                      <w:lang w:val="en-US" w:eastAsia="zh-CN" w:bidi="ar-SA"/>
                    </w:rPr>
                  </w:pPr>
                  <w:r>
                    <w:rPr>
                      <w:rFonts w:hint="eastAsia" w:ascii="Times New Roman" w:cs="Times New Roman"/>
                      <w:color w:val="auto"/>
                      <w:spacing w:val="-10"/>
                      <w:sz w:val="21"/>
                      <w:szCs w:val="21"/>
                      <w:highlight w:val="none"/>
                      <w:lang w:val="en-US" w:eastAsia="zh-CN"/>
                    </w:rPr>
                    <w:t>1</w:t>
                  </w:r>
                </w:p>
              </w:tc>
              <w:tc>
                <w:tcPr>
                  <w:tcW w:w="736" w:type="pct"/>
                  <w:shd w:val="clear" w:color="auto" w:fill="auto"/>
                  <w:noWrap w:val="0"/>
                  <w:tcMar>
                    <w:left w:w="28" w:type="dxa"/>
                    <w:right w:w="28" w:type="dxa"/>
                  </w:tcMar>
                  <w:vAlign w:val="center"/>
                </w:tcPr>
                <w:p>
                  <w:pPr>
                    <w:pStyle w:val="67"/>
                    <w:keepNext w:val="0"/>
                    <w:keepLines w:val="0"/>
                    <w:widowControl w:val="0"/>
                    <w:suppressLineNumbers w:val="0"/>
                    <w:spacing w:before="0" w:beforeAutospacing="0" w:after="0" w:afterAutospacing="0" w:line="0" w:lineRule="atLeast"/>
                    <w:ind w:left="0" w:leftChars="0" w:right="0" w:firstLine="0" w:firstLineChars="0"/>
                    <w:rPr>
                      <w:rFonts w:hint="default" w:ascii="Times New Roman" w:hAnsi="Times New Roman" w:eastAsia="宋体" w:cs="Times New Roman"/>
                      <w:bCs/>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cs="Times New Roman"/>
                      <w:color w:val="auto"/>
                      <w:spacing w:val="0"/>
                      <w:sz w:val="21"/>
                      <w:szCs w:val="21"/>
                      <w:highlight w:val="none"/>
                      <w:lang w:val="en-US" w:eastAsia="zh-CN"/>
                    </w:rPr>
                    <w:t>常用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0"/>
                      <w:sz w:val="21"/>
                      <w:szCs w:val="21"/>
                      <w:highlight w:val="none"/>
                    </w:rPr>
                  </w:pPr>
                </w:p>
              </w:tc>
              <w:tc>
                <w:tcPr>
                  <w:tcW w:w="1473" w:type="pct"/>
                  <w:shd w:val="clear" w:color="auto" w:fill="auto"/>
                  <w:noWrap w:val="0"/>
                  <w:tcMar>
                    <w:left w:w="28" w:type="dxa"/>
                    <w:right w:w="28" w:type="dxa"/>
                  </w:tcMar>
                  <w:vAlign w:val="center"/>
                </w:tcPr>
                <w:p>
                  <w:pPr>
                    <w:pStyle w:val="67"/>
                    <w:keepNext w:val="0"/>
                    <w:keepLines w:val="0"/>
                    <w:widowControl w:val="0"/>
                    <w:suppressLineNumbers w:val="0"/>
                    <w:spacing w:before="0" w:beforeAutospacing="0" w:after="0" w:afterAutospacing="0" w:line="0" w:lineRule="atLeast"/>
                    <w:ind w:left="0" w:leftChars="0" w:right="0" w:firstLine="0" w:firstLineChars="0"/>
                    <w:rPr>
                      <w:rFonts w:hint="eastAsia" w:ascii="Times New Roman" w:hAnsi="Times New Roman" w:eastAsia="宋体" w:cs="Times New Roman"/>
                      <w:color w:val="auto"/>
                      <w:spacing w:val="0"/>
                      <w:sz w:val="21"/>
                      <w:szCs w:val="21"/>
                      <w:highlight w:val="none"/>
                      <w:lang w:val="en-US" w:eastAsia="zh-CN"/>
                    </w:rPr>
                  </w:pPr>
                  <w:r>
                    <w:rPr>
                      <w:rFonts w:hint="eastAsia" w:ascii="Times New Roman" w:cs="Times New Roman"/>
                      <w:color w:val="auto"/>
                      <w:spacing w:val="0"/>
                      <w:sz w:val="21"/>
                      <w:szCs w:val="21"/>
                      <w:highlight w:val="none"/>
                      <w:lang w:val="en-US" w:eastAsia="zh-CN"/>
                    </w:rPr>
                    <w:t>燃油锅炉</w:t>
                  </w:r>
                </w:p>
              </w:tc>
              <w:tc>
                <w:tcPr>
                  <w:tcW w:w="942" w:type="pct"/>
                  <w:shd w:val="clear" w:color="auto" w:fill="auto"/>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2.5t/h</w:t>
                  </w:r>
                </w:p>
              </w:tc>
              <w:tc>
                <w:tcPr>
                  <w:tcW w:w="456" w:type="pct"/>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w:t>
                  </w:r>
                </w:p>
              </w:tc>
              <w:tc>
                <w:tcPr>
                  <w:tcW w:w="736" w:type="pct"/>
                  <w:shd w:val="clear" w:color="auto" w:fill="auto"/>
                  <w:noWrap w:val="0"/>
                  <w:tcMar>
                    <w:left w:w="28" w:type="dxa"/>
                    <w:right w:w="28" w:type="dxa"/>
                  </w:tcMar>
                  <w:vAlign w:val="center"/>
                </w:tcPr>
                <w:p>
                  <w:pPr>
                    <w:pStyle w:val="67"/>
                    <w:keepNext w:val="0"/>
                    <w:keepLines w:val="0"/>
                    <w:widowControl w:val="0"/>
                    <w:suppressLineNumbers w:val="0"/>
                    <w:spacing w:before="0" w:beforeAutospacing="0" w:after="0" w:afterAutospacing="0" w:line="0" w:lineRule="atLeast"/>
                    <w:ind w:left="0" w:leftChars="0" w:right="0" w:firstLine="0" w:firstLineChars="0"/>
                    <w:rPr>
                      <w:rFonts w:hint="eastAsia" w:ascii="Times New Roman" w:hAnsi="Times New Roman" w:eastAsia="宋体" w:cs="Times New Roman"/>
                      <w:color w:val="auto"/>
                      <w:spacing w:val="0"/>
                      <w:sz w:val="21"/>
                      <w:szCs w:val="21"/>
                      <w:highlight w:val="none"/>
                      <w:lang w:val="en-US" w:eastAsia="zh-CN"/>
                    </w:rPr>
                  </w:pPr>
                  <w:r>
                    <w:rPr>
                      <w:rFonts w:hint="eastAsia" w:ascii="Times New Roman" w:cs="Times New Roman"/>
                      <w:color w:val="auto"/>
                      <w:spacing w:val="0"/>
                      <w:sz w:val="21"/>
                      <w:szCs w:val="21"/>
                      <w:highlight w:val="none"/>
                      <w:lang w:val="en-US" w:eastAsia="zh-CN"/>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cs="Times New Roman"/>
                      <w:color w:val="auto"/>
                      <w:spacing w:val="0"/>
                      <w:sz w:val="21"/>
                      <w:szCs w:val="21"/>
                      <w:highlight w:val="none"/>
                      <w:lang w:val="en-US" w:eastAsia="zh-CN"/>
                    </w:rPr>
                  </w:pPr>
                  <w:r>
                    <w:rPr>
                      <w:rFonts w:hint="eastAsia" w:ascii="Times New Roman" w:cs="Times New Roman"/>
                      <w:color w:val="auto"/>
                      <w:spacing w:val="0"/>
                      <w:sz w:val="21"/>
                      <w:szCs w:val="21"/>
                      <w:highlight w:val="none"/>
                      <w:lang w:val="en-US" w:eastAsia="zh-CN"/>
                    </w:rPr>
                    <w:t>备用</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9、主要原辅材料及能源消耗情况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工程原辅材料消耗主要为钻井工程中钻井液调配、钻井、固井等工艺消耗的水、水泥、防塌润滑剂以及降失水剂等。</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color w:val="auto"/>
                <w:sz w:val="24"/>
                <w:highlight w:val="none"/>
              </w:rPr>
              <w:t>钻井工程原辅材料中的水由罐车拉运至井场，其他原辅材料由汽车拉运进场，堆存于场内原辅材料存放区内，</w:t>
            </w:r>
            <w:r>
              <w:rPr>
                <w:rFonts w:hint="default" w:ascii="Times New Roman" w:hAnsi="Times New Roman" w:eastAsia="宋体" w:cs="Times New Roman"/>
                <w:bCs/>
                <w:color w:val="auto"/>
                <w:sz w:val="24"/>
                <w:highlight w:val="none"/>
                <w:lang w:val="en-US" w:eastAsia="zh-CN"/>
              </w:rPr>
              <w:t>原辅材料及能源消耗见表2-6。</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0000FF"/>
                <w:sz w:val="24"/>
                <w:highlight w:val="none"/>
                <w:lang w:val="en-US" w:eastAsia="zh-CN"/>
              </w:rPr>
            </w:pPr>
            <w:r>
              <w:rPr>
                <w:rFonts w:hint="default" w:ascii="Times New Roman" w:hAnsi="Times New Roman" w:eastAsia="宋体" w:cs="Times New Roman"/>
                <w:b/>
                <w:bCs/>
                <w:color w:val="auto"/>
                <w:sz w:val="24"/>
                <w:highlight w:val="none"/>
                <w:lang w:val="en-US" w:eastAsia="zh-CN"/>
              </w:rPr>
              <w:t>表2-6    钻井工程原材料消耗一览表</w:t>
            </w:r>
          </w:p>
          <w:tbl>
            <w:tblPr>
              <w:tblStyle w:val="32"/>
              <w:tblW w:w="498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0"/>
              <w:gridCol w:w="1568"/>
              <w:gridCol w:w="593"/>
              <w:gridCol w:w="585"/>
              <w:gridCol w:w="51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top w:val="single" w:color="auto" w:sz="8" w:space="0"/>
                    <w:lef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942" w:type="pct"/>
                  <w:tcBorders>
                    <w:top w:val="single" w:color="auto" w:sz="8"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材料名称</w:t>
                  </w:r>
                </w:p>
              </w:tc>
              <w:tc>
                <w:tcPr>
                  <w:tcW w:w="356" w:type="pct"/>
                  <w:tcBorders>
                    <w:top w:val="single" w:color="auto" w:sz="8"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单位</w:t>
                  </w:r>
                </w:p>
              </w:tc>
              <w:tc>
                <w:tcPr>
                  <w:tcW w:w="351" w:type="pct"/>
                  <w:tcBorders>
                    <w:top w:val="single" w:color="auto" w:sz="8"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数量</w:t>
                  </w:r>
                </w:p>
              </w:tc>
              <w:tc>
                <w:tcPr>
                  <w:tcW w:w="3074" w:type="pct"/>
                  <w:tcBorders>
                    <w:top w:val="single" w:color="auto" w:sz="8" w:space="0"/>
                    <w:right w:val="single" w:color="auto" w:sz="8"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1</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lang w:val="en-US" w:eastAsia="zh-CN"/>
                    </w:rPr>
                    <w:t>新鲜</w:t>
                  </w:r>
                  <w:r>
                    <w:rPr>
                      <w:rFonts w:hint="default" w:ascii="Times New Roman" w:hAnsi="Times New Roman" w:eastAsia="宋体" w:cs="Times New Roman"/>
                      <w:color w:val="auto"/>
                      <w:spacing w:val="-10"/>
                      <w:kern w:val="21"/>
                      <w:sz w:val="21"/>
                      <w:szCs w:val="21"/>
                      <w:highlight w:val="none"/>
                    </w:rPr>
                    <w:t>水</w:t>
                  </w:r>
                </w:p>
              </w:tc>
              <w:tc>
                <w:tcPr>
                  <w:tcW w:w="3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m</w:t>
                  </w:r>
                  <w:r>
                    <w:rPr>
                      <w:rFonts w:hint="default" w:ascii="Times New Roman" w:hAnsi="Times New Roman" w:eastAsia="宋体" w:cs="Times New Roman"/>
                      <w:color w:val="auto"/>
                      <w:spacing w:val="-10"/>
                      <w:kern w:val="21"/>
                      <w:sz w:val="21"/>
                      <w:szCs w:val="21"/>
                      <w:highlight w:val="none"/>
                      <w:vertAlign w:val="superscript"/>
                    </w:rPr>
                    <w:t>3</w:t>
                  </w:r>
                </w:p>
              </w:tc>
              <w:tc>
                <w:tcPr>
                  <w:tcW w:w="351"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2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eastAsia" w:ascii="Times New Roman" w:cs="Times New Roman"/>
                      <w:color w:val="auto"/>
                      <w:spacing w:val="0"/>
                      <w:kern w:val="21"/>
                      <w:sz w:val="21"/>
                      <w:szCs w:val="21"/>
                      <w:highlight w:val="none"/>
                      <w:lang w:val="en-US" w:eastAsia="zh-CN"/>
                    </w:rPr>
                    <w:t>3000</w:t>
                  </w:r>
                </w:p>
              </w:tc>
              <w:tc>
                <w:tcPr>
                  <w:tcW w:w="3074" w:type="pct"/>
                  <w:tcBorders>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2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0"/>
                      <w:kern w:val="21"/>
                      <w:sz w:val="21"/>
                      <w:szCs w:val="21"/>
                      <w:highlight w:val="none"/>
                    </w:rPr>
                    <w:t>配制泥浆</w:t>
                  </w:r>
                  <w:r>
                    <w:rPr>
                      <w:rFonts w:hint="default" w:ascii="Times New Roman" w:hAnsi="Times New Roman" w:eastAsia="宋体" w:cs="Times New Roman"/>
                      <w:color w:val="auto"/>
                      <w:spacing w:val="0"/>
                      <w:kern w:val="21"/>
                      <w:sz w:val="21"/>
                      <w:szCs w:val="21"/>
                      <w:highlight w:val="none"/>
                      <w:lang w:val="en-US" w:eastAsia="zh-CN"/>
                    </w:rPr>
                    <w:t>新鲜水补水</w:t>
                  </w:r>
                  <w:r>
                    <w:rPr>
                      <w:rFonts w:hint="eastAsia" w:ascii="Times New Roman" w:cs="Times New Roman"/>
                      <w:color w:val="auto"/>
                      <w:spacing w:val="0"/>
                      <w:kern w:val="21"/>
                      <w:sz w:val="21"/>
                      <w:szCs w:val="21"/>
                      <w:highlight w:val="none"/>
                      <w:lang w:val="en-US" w:eastAsia="zh-CN"/>
                    </w:rPr>
                    <w:t>240</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rPr>
                    <w:t>，酸化压裂用水</w:t>
                  </w:r>
                  <w:r>
                    <w:rPr>
                      <w:rFonts w:hint="eastAsia" w:ascii="Times New Roman" w:cs="Times New Roman"/>
                      <w:color w:val="auto"/>
                      <w:spacing w:val="0"/>
                      <w:kern w:val="21"/>
                      <w:sz w:val="21"/>
                      <w:szCs w:val="21"/>
                      <w:highlight w:val="none"/>
                      <w:lang w:val="en-US" w:eastAsia="zh-CN"/>
                    </w:rPr>
                    <w:t>1200</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rPr>
                    <w:t>；生物质锅炉补水</w:t>
                  </w:r>
                  <w:r>
                    <w:rPr>
                      <w:rFonts w:hint="eastAsia" w:ascii="Times New Roman" w:cs="Times New Roman"/>
                      <w:color w:val="auto"/>
                      <w:spacing w:val="0"/>
                      <w:kern w:val="21"/>
                      <w:sz w:val="21"/>
                      <w:szCs w:val="21"/>
                      <w:highlight w:val="none"/>
                      <w:lang w:eastAsia="zh-CN"/>
                    </w:rPr>
                    <w:t>480</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lang w:eastAsia="zh-CN"/>
                    </w:rPr>
                    <w:t>；</w:t>
                  </w:r>
                  <w:r>
                    <w:rPr>
                      <w:rFonts w:hint="default" w:ascii="Times New Roman" w:hAnsi="Times New Roman" w:eastAsia="宋体" w:cs="Times New Roman"/>
                      <w:color w:val="auto"/>
                      <w:spacing w:val="0"/>
                      <w:kern w:val="21"/>
                      <w:sz w:val="21"/>
                      <w:szCs w:val="21"/>
                      <w:highlight w:val="none"/>
                    </w:rPr>
                    <w:t>生活用</w:t>
                  </w:r>
                  <w:r>
                    <w:rPr>
                      <w:rFonts w:hint="default" w:ascii="Times New Roman" w:hAnsi="Times New Roman" w:eastAsia="宋体" w:cs="Times New Roman"/>
                      <w:color w:val="auto"/>
                      <w:spacing w:val="0"/>
                      <w:kern w:val="21"/>
                      <w:sz w:val="21"/>
                      <w:szCs w:val="21"/>
                      <w:highlight w:val="none"/>
                      <w:lang w:val="en-US" w:eastAsia="zh-CN"/>
                    </w:rPr>
                    <w:t>水</w:t>
                  </w:r>
                  <w:r>
                    <w:rPr>
                      <w:rFonts w:hint="eastAsia" w:ascii="Times New Roman" w:cs="Times New Roman"/>
                      <w:color w:val="auto"/>
                      <w:spacing w:val="0"/>
                      <w:kern w:val="21"/>
                      <w:sz w:val="21"/>
                      <w:szCs w:val="21"/>
                      <w:highlight w:val="none"/>
                      <w:lang w:val="en-US" w:eastAsia="zh-CN"/>
                    </w:rPr>
                    <w:t>1080</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val="en-US" w:eastAsia="zh-CN"/>
                    </w:rPr>
                    <w:t>2</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柴油</w:t>
                  </w:r>
                </w:p>
              </w:tc>
              <w:tc>
                <w:tcPr>
                  <w:tcW w:w="3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 w:val="21"/>
                      <w:szCs w:val="21"/>
                      <w:highlight w:val="none"/>
                      <w:lang w:val="en-US" w:eastAsia="zh-CN"/>
                    </w:rPr>
                    <w:t>t</w:t>
                  </w:r>
                </w:p>
              </w:tc>
              <w:tc>
                <w:tcPr>
                  <w:tcW w:w="351"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eastAsia" w:ascii="Times New Roman" w:cs="Times New Roman"/>
                      <w:color w:val="auto"/>
                      <w:spacing w:val="-10"/>
                      <w:kern w:val="21"/>
                      <w:sz w:val="21"/>
                      <w:szCs w:val="21"/>
                      <w:highlight w:val="none"/>
                      <w:lang w:val="en-US" w:eastAsia="zh-CN"/>
                    </w:rPr>
                    <w:t>5940</w:t>
                  </w:r>
                </w:p>
              </w:tc>
              <w:tc>
                <w:tcPr>
                  <w:tcW w:w="3074" w:type="pct"/>
                  <w:tcBorders>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0"/>
                      <w:kern w:val="21"/>
                      <w:sz w:val="21"/>
                      <w:szCs w:val="21"/>
                      <w:highlight w:val="none"/>
                    </w:rPr>
                    <w:t>作为柴油发电机燃料</w:t>
                  </w:r>
                  <w:r>
                    <w:rPr>
                      <w:rFonts w:hint="default" w:ascii="Times New Roman" w:hAnsi="Times New Roman" w:eastAsia="宋体" w:cs="Times New Roman"/>
                      <w:color w:val="auto"/>
                      <w:spacing w:val="0"/>
                      <w:kern w:val="21"/>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w:t>
                  </w:r>
                </w:p>
              </w:tc>
              <w:tc>
                <w:tcPr>
                  <w:tcW w:w="942"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10"/>
                      <w:kern w:val="21"/>
                      <w:szCs w:val="21"/>
                      <w:highlight w:val="none"/>
                      <w:lang w:val="en-US" w:eastAsia="zh-CN"/>
                    </w:rPr>
                    <w:t>生物质燃料</w:t>
                  </w:r>
                </w:p>
              </w:tc>
              <w:tc>
                <w:tcPr>
                  <w:tcW w:w="356"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 w:val="21"/>
                      <w:szCs w:val="21"/>
                      <w:highlight w:val="none"/>
                      <w:lang w:val="en-US" w:eastAsia="zh-CN"/>
                    </w:rPr>
                    <w:t>t</w:t>
                  </w:r>
                </w:p>
              </w:tc>
              <w:tc>
                <w:tcPr>
                  <w:tcW w:w="351"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eastAsia" w:ascii="Times New Roman" w:cs="Times New Roman"/>
                      <w:color w:val="auto"/>
                      <w:spacing w:val="-10"/>
                      <w:kern w:val="21"/>
                      <w:sz w:val="21"/>
                      <w:szCs w:val="21"/>
                      <w:highlight w:val="none"/>
                      <w:lang w:val="en-US" w:eastAsia="zh-CN"/>
                    </w:rPr>
                    <w:t>1760</w:t>
                  </w:r>
                </w:p>
              </w:tc>
              <w:tc>
                <w:tcPr>
                  <w:tcW w:w="3074" w:type="pct"/>
                  <w:tcBorders>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作为生物质锅炉燃料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4</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Cs w:val="21"/>
                      <w:highlight w:val="none"/>
                    </w:rPr>
                    <w:t>水泥+硅粉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kern w:val="21"/>
                      <w:szCs w:val="21"/>
                      <w:highlight w:val="none"/>
                      <w:lang w:val="en-US" w:eastAsia="zh-CN"/>
                    </w:rPr>
                    <w:t>753</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kern w:val="21"/>
                      <w:szCs w:val="21"/>
                      <w:highlight w:val="none"/>
                    </w:rPr>
                    <w:t>固井</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5</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bidi="ar"/>
                    </w:rPr>
                    <w:t>膨润土</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Cs w:val="21"/>
                      <w:highlight w:val="none"/>
                      <w:lang w:val="en-US" w:eastAsia="zh-CN"/>
                    </w:rPr>
                    <w:t>74</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Cs w:val="21"/>
                      <w:highlight w:val="none"/>
                      <w:lang w:bidi="ar"/>
                    </w:rPr>
                    <w:t>也叫坂土，是一种胶性黏土，具有良好的吸附性、膨胀性</w:t>
                  </w:r>
                  <w:r>
                    <w:rPr>
                      <w:rFonts w:hint="default" w:ascii="Times New Roman" w:hAnsi="Times New Roman" w:eastAsia="宋体" w:cs="Times New Roman"/>
                      <w:color w:val="auto"/>
                      <w:spacing w:val="-10"/>
                      <w:sz w:val="21"/>
                      <w:szCs w:val="21"/>
                      <w:highlight w:val="none"/>
                    </w:rPr>
                    <w:t>以及</w:t>
                  </w:r>
                  <w:r>
                    <w:rPr>
                      <w:rFonts w:hint="default" w:ascii="Times New Roman" w:hAnsi="Times New Roman" w:eastAsia="宋体" w:cs="Times New Roman"/>
                      <w:color w:val="auto"/>
                      <w:spacing w:val="-10"/>
                      <w:kern w:val="21"/>
                      <w:szCs w:val="21"/>
                      <w:highlight w:val="none"/>
                      <w:lang w:bidi="ar"/>
                    </w:rPr>
                    <w:t>悬浮性，用于配制泥浆</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6</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烧碱/NaOH</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lang w:val="en-US" w:eastAsia="zh-CN"/>
                    </w:rPr>
                    <w:t>4</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Cs w:val="21"/>
                      <w:highlight w:val="none"/>
                    </w:rPr>
                    <w:t>用于</w:t>
                  </w:r>
                  <w:r>
                    <w:rPr>
                      <w:rFonts w:hint="default" w:ascii="Times New Roman" w:hAnsi="Times New Roman" w:eastAsia="宋体" w:cs="Times New Roman"/>
                      <w:color w:val="auto"/>
                      <w:spacing w:val="-10"/>
                      <w:sz w:val="21"/>
                      <w:szCs w:val="21"/>
                      <w:highlight w:val="none"/>
                    </w:rPr>
                    <w:t>调节</w:t>
                  </w:r>
                  <w:r>
                    <w:rPr>
                      <w:rFonts w:hint="default" w:ascii="Times New Roman" w:hAnsi="Times New Roman" w:eastAsia="宋体" w:cs="Times New Roman"/>
                      <w:color w:val="auto"/>
                      <w:spacing w:val="-10"/>
                      <w:kern w:val="21"/>
                      <w:szCs w:val="21"/>
                      <w:highlight w:val="none"/>
                    </w:rPr>
                    <w:t>钻井液pH值（</w:t>
                  </w:r>
                  <w:r>
                    <w:rPr>
                      <w:rFonts w:hint="default" w:ascii="Times New Roman" w:hAnsi="Times New Roman" w:eastAsia="宋体" w:cs="Times New Roman"/>
                      <w:color w:val="auto"/>
                      <w:spacing w:val="-10"/>
                      <w:szCs w:val="21"/>
                      <w:highlight w:val="none"/>
                    </w:rPr>
                    <w:t>烧碱属于危险化学品，单独存放在危险化学品间内</w:t>
                  </w:r>
                  <w:r>
                    <w:rPr>
                      <w:rFonts w:hint="default" w:ascii="Times New Roman" w:hAnsi="Times New Roman" w:eastAsia="宋体" w:cs="Times New Roman"/>
                      <w:color w:val="auto"/>
                      <w:spacing w:val="-10"/>
                      <w:kern w:val="21"/>
                      <w:szCs w:val="21"/>
                      <w:highlight w:val="none"/>
                    </w:rPr>
                    <w:t>）</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7</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纯碱/Na</w:t>
                  </w:r>
                  <w:r>
                    <w:rPr>
                      <w:rFonts w:hint="default" w:ascii="Times New Roman" w:hAnsi="Times New Roman" w:eastAsia="宋体" w:cs="Times New Roman"/>
                      <w:color w:val="auto"/>
                      <w:spacing w:val="-10"/>
                      <w:kern w:val="21"/>
                      <w:szCs w:val="21"/>
                      <w:highlight w:val="none"/>
                      <w:vertAlign w:val="subscript"/>
                    </w:rPr>
                    <w:t>2</w:t>
                  </w:r>
                  <w:r>
                    <w:rPr>
                      <w:rFonts w:hint="default" w:ascii="Times New Roman" w:hAnsi="Times New Roman" w:eastAsia="宋体" w:cs="Times New Roman"/>
                      <w:color w:val="auto"/>
                      <w:spacing w:val="-10"/>
                      <w:kern w:val="21"/>
                      <w:szCs w:val="21"/>
                      <w:highlight w:val="none"/>
                    </w:rPr>
                    <w:t>CO</w:t>
                  </w:r>
                  <w:r>
                    <w:rPr>
                      <w:rFonts w:hint="default" w:ascii="Times New Roman" w:hAnsi="Times New Roman" w:eastAsia="宋体" w:cs="Times New Roman"/>
                      <w:color w:val="auto"/>
                      <w:spacing w:val="-10"/>
                      <w:kern w:val="21"/>
                      <w:szCs w:val="21"/>
                      <w:highlight w:val="none"/>
                      <w:vertAlign w:val="subscript"/>
                    </w:rPr>
                    <w:t>3</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lang w:val="en-US" w:eastAsia="zh-CN"/>
                    </w:rPr>
                    <w:t>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rPr>
                    <w:t>用于调节钻井液pH值（单独存放在危险化学品间内）</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8</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大分子聚合物/80A51/NM1-4等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11</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rPr>
                    <w:t>丙烯酰胺与丙烯酸钠共聚物，易溶于水，其水溶液呈弱酸性。钻井液处理剂、防塌剂和增稠剂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9</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羧甲基纤维素/CMC-LV等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rPr>
                    <w:t>羧甲基纤维素钠，白色或灰白色粉末，无毒，不溶于乙醇、甲醇等有机溶剂，溶于水，水溶液为透明黏稠液体，具有较好耐盐性。钻井液增黏合降滤失剂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10</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中分子聚合物/LP++等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7</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bCs/>
                      <w:color w:val="auto"/>
                      <w:spacing w:val="-10"/>
                      <w:kern w:val="21"/>
                      <w:szCs w:val="21"/>
                      <w:highlight w:val="none"/>
                      <w:lang w:eastAsia="zh-CN"/>
                    </w:rPr>
                    <w:t>改善</w:t>
                  </w:r>
                  <w:r>
                    <w:rPr>
                      <w:rFonts w:hint="default" w:ascii="Times New Roman" w:hAnsi="Times New Roman" w:eastAsia="宋体" w:cs="Times New Roman"/>
                      <w:color w:val="auto"/>
                      <w:spacing w:val="-10"/>
                      <w:sz w:val="21"/>
                      <w:szCs w:val="21"/>
                      <w:highlight w:val="none"/>
                    </w:rPr>
                    <w:t>附着力</w:t>
                  </w:r>
                  <w:r>
                    <w:rPr>
                      <w:rFonts w:hint="default" w:ascii="Times New Roman" w:hAnsi="Times New Roman" w:eastAsia="宋体" w:cs="Times New Roman"/>
                      <w:bCs/>
                      <w:color w:val="auto"/>
                      <w:spacing w:val="-10"/>
                      <w:kern w:val="21"/>
                      <w:szCs w:val="21"/>
                      <w:highlight w:val="none"/>
                    </w:rPr>
                    <w:t>、柔韧性等性能，提高作用时间和效果</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11</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小分子聚合物/双聚铵盐NP-2等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7</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bCs/>
                      <w:color w:val="auto"/>
                      <w:spacing w:val="-10"/>
                      <w:kern w:val="21"/>
                      <w:szCs w:val="21"/>
                      <w:highlight w:val="none"/>
                    </w:rPr>
                    <w:t>分子尺寸小，具有较好的扩散性和渗透性</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12</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加重剂/重晶石粉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106</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主要成分BaSO</w:t>
                  </w:r>
                  <w:r>
                    <w:rPr>
                      <w:rFonts w:hint="default" w:ascii="Times New Roman" w:hAnsi="Times New Roman" w:eastAsia="宋体" w:cs="Times New Roman"/>
                      <w:color w:val="auto"/>
                      <w:spacing w:val="-10"/>
                      <w:kern w:val="21"/>
                      <w:szCs w:val="21"/>
                      <w:highlight w:val="none"/>
                      <w:vertAlign w:val="subscript"/>
                    </w:rPr>
                    <w:t>4</w:t>
                  </w:r>
                  <w:r>
                    <w:rPr>
                      <w:rFonts w:hint="default" w:ascii="Times New Roman" w:hAnsi="Times New Roman" w:eastAsia="宋体" w:cs="Times New Roman"/>
                      <w:color w:val="auto"/>
                      <w:spacing w:val="-10"/>
                      <w:kern w:val="21"/>
                      <w:szCs w:val="21"/>
                      <w:highlight w:val="none"/>
                    </w:rPr>
                    <w:t>，白色粉末，可将钻井液密度配至2.0g/cm</w:t>
                  </w:r>
                  <w:r>
                    <w:rPr>
                      <w:rFonts w:hint="default" w:ascii="Times New Roman" w:hAnsi="Times New Roman" w:eastAsia="宋体" w:cs="Times New Roman"/>
                      <w:color w:val="auto"/>
                      <w:spacing w:val="-10"/>
                      <w:kern w:val="21"/>
                      <w:szCs w:val="21"/>
                      <w:highlight w:val="none"/>
                      <w:vertAlign w:val="superscript"/>
                    </w:rPr>
                    <w:t>3</w:t>
                  </w:r>
                  <w:r>
                    <w:rPr>
                      <w:rFonts w:hint="default" w:ascii="Times New Roman" w:hAnsi="Times New Roman" w:eastAsia="宋体" w:cs="Times New Roman"/>
                      <w:color w:val="auto"/>
                      <w:spacing w:val="-10"/>
                      <w:kern w:val="21"/>
                      <w:szCs w:val="21"/>
                      <w:highlight w:val="none"/>
                    </w:rPr>
                    <w:t>，钻井液加重剂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13</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bidi="ar"/>
                    </w:rPr>
                    <w:t>氯化钾</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0"/>
                      <w:szCs w:val="21"/>
                      <w:highlight w:val="none"/>
                      <w:lang w:val="en-US" w:eastAsia="zh-CN" w:bidi="ar"/>
                    </w:rPr>
                    <w:t>53</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无色立方晶体或白色结晶，可抑制井壁泥饼页岩水化膨胀或坍塌，提高钻井液黏度和切力，抑制盐岩井段盐溶，钻井液防塌剂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14</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right="0"/>
                    <w:rPr>
                      <w:rFonts w:hint="default" w:ascii="Times New Roman" w:hAnsi="Times New Roman" w:eastAsia="宋体" w:cs="Times New Roman"/>
                      <w:color w:val="auto"/>
                      <w:spacing w:val="-10"/>
                      <w:kern w:val="0"/>
                      <w:szCs w:val="21"/>
                      <w:highlight w:val="none"/>
                      <w:lang w:bidi="ar"/>
                    </w:rPr>
                  </w:pPr>
                  <w:r>
                    <w:rPr>
                      <w:rFonts w:hint="default" w:ascii="Times New Roman" w:hAnsi="Times New Roman" w:eastAsia="宋体" w:cs="Times New Roman"/>
                      <w:color w:val="auto"/>
                      <w:spacing w:val="-10"/>
                      <w:kern w:val="0"/>
                      <w:szCs w:val="21"/>
                      <w:highlight w:val="none"/>
                      <w:lang w:bidi="ar"/>
                    </w:rPr>
                    <w:t>随钻堵漏剂</w:t>
                  </w:r>
                </w:p>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bidi="ar"/>
                    </w:rPr>
                    <w:t>/TYSD-1/TP-2等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12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改性植物纤维，黄色粉末，堵漏裂缝性漏失，钻井液随钻堵漏剂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15</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Cs w:val="21"/>
                      <w:highlight w:val="none"/>
                    </w:rPr>
                    <w:t>高粘羧甲基纤维素/CMC-HV等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3</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高粘羧甲基纤维素（CMC-HV），它是羧甲基纤维素醚类中的一种，羧甲基纤维素钠（CMC）是纤维素醚类中产量最大、用途最广且使用最为方便的产品</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16</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Cs w:val="21"/>
                      <w:highlight w:val="none"/>
                      <w:lang w:bidi="ar"/>
                    </w:rPr>
                    <w:t>超细碳酸钙</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4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25</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碳酸钙</w:t>
                  </w:r>
                  <w:r>
                    <w:rPr>
                      <w:rFonts w:hint="default" w:ascii="Times New Roman" w:hAnsi="Times New Roman" w:eastAsia="宋体" w:cs="Times New Roman"/>
                      <w:color w:val="auto"/>
                      <w:spacing w:val="-10"/>
                      <w:sz w:val="21"/>
                      <w:szCs w:val="21"/>
                      <w:highlight w:val="none"/>
                    </w:rPr>
                    <w:t>粉体</w:t>
                  </w:r>
                  <w:r>
                    <w:rPr>
                      <w:rFonts w:hint="default" w:ascii="Times New Roman" w:hAnsi="Times New Roman" w:eastAsia="宋体" w:cs="Times New Roman"/>
                      <w:color w:val="auto"/>
                      <w:spacing w:val="-10"/>
                      <w:kern w:val="21"/>
                      <w:szCs w:val="21"/>
                      <w:highlight w:val="none"/>
                      <w:lang w:bidi="ar"/>
                    </w:rPr>
                    <w:t>平均粒径0.02μm&lt;d≤0.1μm的碳酸钙，高分子复合材料</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17</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Cs w:val="21"/>
                      <w:highlight w:val="none"/>
                      <w:lang w:bidi="ar"/>
                    </w:rPr>
                    <w:t>抑制剂/CHI等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4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6</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是一种可以抑制或缓和化学反应的物质</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常用物质包括</w:t>
                  </w:r>
                  <w:r>
                    <w:rPr>
                      <w:rFonts w:hint="default" w:ascii="Times New Roman" w:hAnsi="Times New Roman" w:eastAsia="宋体" w:cs="Times New Roman"/>
                      <w:i w:val="0"/>
                      <w:iCs w:val="0"/>
                      <w:caps w:val="0"/>
                      <w:color w:val="auto"/>
                      <w:spacing w:val="0"/>
                      <w:sz w:val="22"/>
                      <w:szCs w:val="22"/>
                      <w:shd w:val="clear" w:fill="FFFFFF"/>
                    </w:rPr>
                    <w:t>氯化钾</w:t>
                  </w:r>
                  <w:r>
                    <w:rPr>
                      <w:rFonts w:hint="default" w:ascii="Times New Roman" w:hAnsi="Times New Roman" w:eastAsia="宋体" w:cs="Times New Roman"/>
                      <w:i w:val="0"/>
                      <w:iCs w:val="0"/>
                      <w:caps w:val="0"/>
                      <w:color w:val="auto"/>
                      <w:spacing w:val="0"/>
                      <w:sz w:val="22"/>
                      <w:szCs w:val="22"/>
                      <w:shd w:val="clear" w:fill="FFFFFF"/>
                      <w:lang w:eastAsia="zh-CN"/>
                    </w:rPr>
                    <w:t>、</w:t>
                  </w:r>
                  <w:r>
                    <w:rPr>
                      <w:rFonts w:hint="default" w:ascii="Times New Roman" w:hAnsi="Times New Roman" w:eastAsia="宋体" w:cs="Times New Roman"/>
                      <w:i w:val="0"/>
                      <w:iCs w:val="0"/>
                      <w:caps w:val="0"/>
                      <w:color w:val="auto"/>
                      <w:spacing w:val="0"/>
                      <w:sz w:val="22"/>
                      <w:szCs w:val="22"/>
                      <w:shd w:val="clear" w:fill="FFFFFF"/>
                    </w:rPr>
                    <w:t>甲酸钾</w:t>
                  </w:r>
                  <w:r>
                    <w:rPr>
                      <w:rFonts w:hint="default" w:ascii="Times New Roman" w:hAnsi="Times New Roman" w:eastAsia="宋体" w:cs="Times New Roman"/>
                      <w:i w:val="0"/>
                      <w:iCs w:val="0"/>
                      <w:caps w:val="0"/>
                      <w:color w:val="auto"/>
                      <w:spacing w:val="0"/>
                      <w:sz w:val="22"/>
                      <w:szCs w:val="22"/>
                      <w:shd w:val="clear" w:fill="FFFFFF"/>
                      <w:lang w:eastAsia="zh-CN"/>
                    </w:rPr>
                    <w:t>、</w:t>
                  </w:r>
                  <w:r>
                    <w:rPr>
                      <w:rFonts w:hint="default" w:ascii="Times New Roman" w:hAnsi="Times New Roman" w:eastAsia="宋体" w:cs="Times New Roman"/>
                      <w:i w:val="0"/>
                      <w:iCs w:val="0"/>
                      <w:caps w:val="0"/>
                      <w:color w:val="auto"/>
                      <w:spacing w:val="0"/>
                      <w:sz w:val="22"/>
                      <w:szCs w:val="22"/>
                      <w:shd w:val="clear" w:fill="FFFFFF"/>
                    </w:rPr>
                    <w:t>聚胺</w:t>
                  </w:r>
                  <w:r>
                    <w:rPr>
                      <w:rFonts w:hint="default" w:ascii="Times New Roman" w:hAnsi="Times New Roman" w:eastAsia="宋体" w:cs="Times New Roman"/>
                      <w:i w:val="0"/>
                      <w:iCs w:val="0"/>
                      <w:caps w:val="0"/>
                      <w:color w:val="auto"/>
                      <w:spacing w:val="0"/>
                      <w:sz w:val="22"/>
                      <w:szCs w:val="22"/>
                      <w:shd w:val="clear" w:fill="FFFFFF"/>
                      <w:lang w:eastAsia="zh-CN"/>
                    </w:rPr>
                    <w:t>、</w:t>
                  </w:r>
                  <w:r>
                    <w:rPr>
                      <w:rFonts w:hint="default" w:ascii="Times New Roman" w:hAnsi="Times New Roman" w:eastAsia="宋体" w:cs="Times New Roman"/>
                      <w:i w:val="0"/>
                      <w:iCs w:val="0"/>
                      <w:caps w:val="0"/>
                      <w:color w:val="auto"/>
                      <w:spacing w:val="0"/>
                      <w:sz w:val="22"/>
                      <w:szCs w:val="22"/>
                      <w:shd w:val="clear" w:fill="FFFFFF"/>
                    </w:rPr>
                    <w:t>聚醚胺</w:t>
                  </w:r>
                  <w:r>
                    <w:rPr>
                      <w:rFonts w:hint="default" w:ascii="Times New Roman" w:hAnsi="Times New Roman" w:eastAsia="宋体" w:cs="Times New Roman"/>
                      <w:i w:val="0"/>
                      <w:iCs w:val="0"/>
                      <w:caps w:val="0"/>
                      <w:color w:val="auto"/>
                      <w:spacing w:val="0"/>
                      <w:sz w:val="22"/>
                      <w:szCs w:val="22"/>
                      <w:shd w:val="clear" w:fill="FFFFFF"/>
                      <w:lang w:val="en-US" w:eastAsia="zh-CN"/>
                    </w:rPr>
                    <w:t>等</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18</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润滑剂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4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9</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硫化脂肪酸皂，亚硝酸钠等，具有良好的抗磨阻性和降黏附性，无荧光干扰，不影响地质录井</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19</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破胶剂组分A</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210</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20</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破胶剂组分B</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42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21</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高价离子去除剂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4.5</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22</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调质剂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9</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23</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改性剂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60</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24</w:t>
                  </w:r>
                </w:p>
              </w:tc>
              <w:tc>
                <w:tcPr>
                  <w:tcW w:w="942" w:type="pct"/>
                  <w:tcBorders>
                    <w:top w:val="single" w:color="auto" w:sz="4" w:space="0"/>
                    <w:left w:val="single" w:color="auto" w:sz="4" w:space="0"/>
                    <w:bottom w:val="single" w:color="auto" w:sz="8"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增强剂</w:t>
                  </w:r>
                </w:p>
              </w:tc>
              <w:tc>
                <w:tcPr>
                  <w:tcW w:w="356" w:type="pct"/>
                  <w:tcBorders>
                    <w:top w:val="single" w:color="auto" w:sz="4" w:space="0"/>
                    <w:left w:val="single" w:color="auto" w:sz="4" w:space="0"/>
                    <w:bottom w:val="single" w:color="auto" w:sz="8"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8"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120</w:t>
                  </w:r>
                </w:p>
              </w:tc>
              <w:tc>
                <w:tcPr>
                  <w:tcW w:w="3074" w:type="pct"/>
                  <w:tcBorders>
                    <w:top w:val="single" w:color="auto" w:sz="4" w:space="0"/>
                    <w:left w:val="single" w:color="auto" w:sz="4" w:space="0"/>
                    <w:bottom w:val="single" w:color="auto" w:sz="8"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bl>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表2-7    储层改造原材料消耗一览表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9"/>
              <w:gridCol w:w="1033"/>
              <w:gridCol w:w="582"/>
              <w:gridCol w:w="631"/>
              <w:gridCol w:w="56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9"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1033"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材料名称</w:t>
                  </w:r>
                </w:p>
              </w:tc>
              <w:tc>
                <w:tcPr>
                  <w:tcW w:w="582"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单位</w:t>
                  </w:r>
                </w:p>
              </w:tc>
              <w:tc>
                <w:tcPr>
                  <w:tcW w:w="631"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数量</w:t>
                  </w:r>
                </w:p>
              </w:tc>
              <w:tc>
                <w:tcPr>
                  <w:tcW w:w="3377"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kern w:val="21"/>
                      <w:sz w:val="21"/>
                      <w:szCs w:val="21"/>
                      <w:highlight w:val="none"/>
                    </w:rPr>
                    <w:t>理化特性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9"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1033"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水</w:t>
                  </w:r>
                </w:p>
              </w:tc>
              <w:tc>
                <w:tcPr>
                  <w:tcW w:w="582"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color w:val="auto"/>
                      <w:spacing w:val="-10"/>
                      <w:sz w:val="21"/>
                      <w:szCs w:val="21"/>
                      <w:highlight w:val="none"/>
                      <w:vertAlign w:val="superscript"/>
                    </w:rPr>
                    <w:t>3</w:t>
                  </w:r>
                </w:p>
              </w:tc>
              <w:tc>
                <w:tcPr>
                  <w:tcW w:w="631"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default" w:ascii="Times New Roman" w:hAnsi="Times New Roman" w:eastAsia="宋体" w:cs="Times New Roman"/>
                      <w:color w:val="auto"/>
                      <w:spacing w:val="-10"/>
                      <w:sz w:val="21"/>
                      <w:szCs w:val="21"/>
                      <w:highlight w:val="none"/>
                      <w:lang w:val="en-US"/>
                    </w:rPr>
                  </w:pPr>
                  <w:r>
                    <w:rPr>
                      <w:rFonts w:hint="eastAsia" w:ascii="Times New Roman" w:cs="Times New Roman"/>
                      <w:color w:val="auto"/>
                      <w:spacing w:val="-10"/>
                      <w:kern w:val="0"/>
                      <w:sz w:val="21"/>
                      <w:szCs w:val="21"/>
                      <w:highlight w:val="none"/>
                      <w:lang w:val="en-US" w:eastAsia="zh-CN" w:bidi="ar"/>
                    </w:rPr>
                    <w:t>1200</w:t>
                  </w:r>
                </w:p>
              </w:tc>
              <w:tc>
                <w:tcPr>
                  <w:tcW w:w="3377" w:type="pct"/>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kern w:val="21"/>
                      <w:sz w:val="21"/>
                      <w:szCs w:val="21"/>
                      <w:highlight w:val="none"/>
                      <w:lang w:bidi="ar"/>
                    </w:rPr>
                  </w:pPr>
                  <w:r>
                    <w:rPr>
                      <w:rFonts w:hint="default" w:ascii="Times New Roman" w:hAnsi="Times New Roman" w:eastAsia="宋体" w:cs="Times New Roman"/>
                      <w:color w:val="auto"/>
                      <w:spacing w:val="-10"/>
                      <w:kern w:val="21"/>
                      <w:sz w:val="21"/>
                      <w:szCs w:val="21"/>
                      <w:highlight w:val="none"/>
                      <w:lang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9"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2</w:t>
                  </w:r>
                </w:p>
              </w:tc>
              <w:tc>
                <w:tcPr>
                  <w:tcW w:w="103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lang w:bidi="ar"/>
                    </w:rPr>
                    <w:t>黄原胶</w:t>
                  </w:r>
                </w:p>
              </w:tc>
              <w:tc>
                <w:tcPr>
                  <w:tcW w:w="582"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631"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1.4</w:t>
                  </w:r>
                </w:p>
              </w:tc>
              <w:tc>
                <w:tcPr>
                  <w:tcW w:w="3377"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黄原胶是一种由黄单胞杆菌发酵产生的细胞外酸性杂多糖。是由D</w:t>
                  </w:r>
                  <w:r>
                    <w:rPr>
                      <w:rFonts w:hint="default" w:ascii="Times New Roman" w:hAnsi="Times New Roman" w:eastAsia="宋体" w:cs="Times New Roman"/>
                      <w:color w:val="auto"/>
                      <w:spacing w:val="-10"/>
                      <w:kern w:val="21"/>
                      <w:sz w:val="21"/>
                      <w:szCs w:val="21"/>
                      <w:highlight w:val="none"/>
                      <w:lang w:eastAsia="zh-CN" w:bidi="ar"/>
                    </w:rPr>
                    <w:t>－</w:t>
                  </w:r>
                  <w:r>
                    <w:rPr>
                      <w:rFonts w:hint="default" w:ascii="Times New Roman" w:hAnsi="Times New Roman" w:eastAsia="宋体" w:cs="Times New Roman"/>
                      <w:color w:val="auto"/>
                      <w:spacing w:val="-10"/>
                      <w:kern w:val="21"/>
                      <w:sz w:val="21"/>
                      <w:szCs w:val="21"/>
                      <w:highlight w:val="none"/>
                      <w:lang w:bidi="ar"/>
                    </w:rPr>
                    <w:t>葡萄糖、D-甘露糖和D-</w:t>
                  </w:r>
                  <w:r>
                    <w:rPr>
                      <w:rFonts w:hint="eastAsia" w:ascii="Times New Roman" w:cs="Times New Roman"/>
                      <w:color w:val="auto"/>
                      <w:spacing w:val="-10"/>
                      <w:kern w:val="21"/>
                      <w:sz w:val="21"/>
                      <w:szCs w:val="21"/>
                      <w:highlight w:val="none"/>
                      <w:lang w:eastAsia="zh-CN" w:bidi="ar"/>
                    </w:rPr>
                    <w:t>葡糖醛酸</w:t>
                  </w:r>
                  <w:r>
                    <w:rPr>
                      <w:rFonts w:hint="default" w:ascii="Times New Roman" w:hAnsi="Times New Roman" w:eastAsia="宋体" w:cs="Times New Roman"/>
                      <w:color w:val="auto"/>
                      <w:spacing w:val="-10"/>
                      <w:kern w:val="21"/>
                      <w:sz w:val="21"/>
                      <w:szCs w:val="21"/>
                      <w:highlight w:val="none"/>
                      <w:lang w:bidi="ar"/>
                    </w:rPr>
                    <w:t>按2:2:1组成的多糖类高分子化合物，相对分子质量在100万以上；黄原胶为浅黄色至白色可流动粉末，稍带臭味。易溶于冷、热水中，溶液中性，耐冻结和解冻，不溶于乙醇。遇水分散、乳化变成稳定的亲水性</w:t>
                  </w:r>
                  <w:r>
                    <w:rPr>
                      <w:rFonts w:hint="eastAsia" w:ascii="Times New Roman" w:cs="Times New Roman"/>
                      <w:color w:val="auto"/>
                      <w:spacing w:val="-10"/>
                      <w:kern w:val="21"/>
                      <w:sz w:val="21"/>
                      <w:szCs w:val="21"/>
                      <w:highlight w:val="none"/>
                      <w:lang w:eastAsia="zh-CN" w:bidi="ar"/>
                    </w:rPr>
                    <w:t>黏稠</w:t>
                  </w:r>
                  <w:r>
                    <w:rPr>
                      <w:rFonts w:hint="default" w:ascii="Times New Roman" w:hAnsi="Times New Roman" w:eastAsia="宋体" w:cs="Times New Roman"/>
                      <w:color w:val="auto"/>
                      <w:spacing w:val="-10"/>
                      <w:kern w:val="21"/>
                      <w:sz w:val="21"/>
                      <w:szCs w:val="21"/>
                      <w:highlight w:val="none"/>
                      <w:lang w:bidi="ar"/>
                    </w:rPr>
                    <w:t>胶体</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9"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3</w:t>
                  </w:r>
                </w:p>
              </w:tc>
              <w:tc>
                <w:tcPr>
                  <w:tcW w:w="103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破乳剂</w:t>
                  </w:r>
                </w:p>
              </w:tc>
              <w:tc>
                <w:tcPr>
                  <w:tcW w:w="582"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631"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2.2</w:t>
                  </w:r>
                </w:p>
              </w:tc>
              <w:tc>
                <w:tcPr>
                  <w:tcW w:w="3377"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含量3%的1，2-丙二醇、甲基环氧乙烷、环氧乙烷的共聚物，其余为水</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9"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4</w:t>
                  </w:r>
                </w:p>
              </w:tc>
              <w:tc>
                <w:tcPr>
                  <w:tcW w:w="103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氯化钾</w:t>
                  </w:r>
                </w:p>
              </w:tc>
              <w:tc>
                <w:tcPr>
                  <w:tcW w:w="582"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631"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2.6</w:t>
                  </w:r>
                </w:p>
              </w:tc>
              <w:tc>
                <w:tcPr>
                  <w:tcW w:w="3377"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无色细长菱形或立方晶体，或白色结晶小颗粒粉末，用作添加剂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59"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5</w:t>
                  </w:r>
                </w:p>
              </w:tc>
              <w:tc>
                <w:tcPr>
                  <w:tcW w:w="103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center"/>
                    <w:rPr>
                      <w:rFonts w:hint="default" w:ascii="Times New Roman" w:hAnsi="Times New Roman" w:eastAsia="宋体" w:cs="Times New Roman"/>
                      <w:color w:val="auto"/>
                      <w:spacing w:val="-10"/>
                      <w:kern w:val="21"/>
                      <w:sz w:val="21"/>
                      <w:szCs w:val="21"/>
                      <w:highlight w:val="none"/>
                      <w:lang w:bidi="ar"/>
                    </w:rPr>
                  </w:pPr>
                  <w:r>
                    <w:rPr>
                      <w:rFonts w:hint="default" w:ascii="Times New Roman" w:hAnsi="Times New Roman" w:eastAsia="宋体" w:cs="Times New Roman"/>
                      <w:color w:val="auto"/>
                      <w:spacing w:val="-10"/>
                      <w:kern w:val="21"/>
                      <w:sz w:val="21"/>
                      <w:szCs w:val="21"/>
                      <w:highlight w:val="none"/>
                      <w:lang w:bidi="ar"/>
                    </w:rPr>
                    <w:t>支撑剂</w:t>
                  </w:r>
                </w:p>
              </w:tc>
              <w:tc>
                <w:tcPr>
                  <w:tcW w:w="582" w:type="dxa"/>
                  <w:noWrap w:val="0"/>
                  <w:tcMar>
                    <w:left w:w="28" w:type="dxa"/>
                    <w:right w:w="28" w:type="dxa"/>
                  </w:tcMar>
                  <w:vAlign w:val="center"/>
                </w:tcPr>
                <w:p>
                  <w:pPr>
                    <w:pStyle w:val="67"/>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leftChars="0" w:right="0" w:rightChars="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631"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43.8</w:t>
                  </w:r>
                </w:p>
              </w:tc>
              <w:tc>
                <w:tcPr>
                  <w:tcW w:w="3377"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压裂支撑剂是一种石英砂、陶瓷颗粒产品，具有很高的压裂强度，主要用于油田井下支撑，以增加石油天然气的产量</w:t>
                  </w:r>
                  <w:r>
                    <w:rPr>
                      <w:rFonts w:hint="default" w:ascii="Times New Roman" w:hAnsi="Times New Roman" w:eastAsia="宋体" w:cs="Times New Roman"/>
                      <w:color w:val="auto"/>
                      <w:spacing w:val="-10"/>
                      <w:kern w:val="21"/>
                      <w:sz w:val="21"/>
                      <w:szCs w:val="21"/>
                      <w:highlight w:val="none"/>
                      <w:lang w:eastAsia="zh-CN" w:bidi="ar"/>
                    </w:rPr>
                    <w:t>。</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10、</w:t>
            </w:r>
            <w:r>
              <w:rPr>
                <w:rFonts w:hint="default" w:ascii="Times New Roman" w:hAnsi="Times New Roman" w:eastAsia="宋体" w:cs="Times New Roman"/>
                <w:b/>
                <w:bCs/>
                <w:color w:val="auto"/>
                <w:sz w:val="24"/>
                <w:highlight w:val="none"/>
              </w:rPr>
              <w:t>公用工程</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Cs/>
                <w:color w:val="0000FF"/>
                <w:spacing w:val="0"/>
                <w:kern w:val="2"/>
                <w:sz w:val="24"/>
                <w:szCs w:val="24"/>
              </w:rPr>
            </w:pPr>
            <w:r>
              <w:rPr>
                <w:rFonts w:hint="default" w:ascii="Times New Roman" w:hAnsi="Times New Roman" w:eastAsia="宋体" w:cs="Times New Roman"/>
                <w:bCs/>
                <w:color w:val="auto"/>
                <w:spacing w:val="0"/>
                <w:kern w:val="2"/>
                <w:sz w:val="24"/>
                <w:szCs w:val="24"/>
                <w:lang w:val="en-US" w:eastAsia="zh-CN" w:bidi="ar"/>
              </w:rPr>
              <w:t>（1）给排水</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lang w:val="en-US" w:eastAsia="zh-CN" w:bidi="ar"/>
              </w:rPr>
              <w:t>①给水：工程用水主要包括钻井用水、酸化压裂用水、锅炉补水和生活用水。</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pacing w:val="0"/>
                <w:kern w:val="2"/>
                <w:sz w:val="24"/>
                <w:szCs w:val="24"/>
              </w:rPr>
            </w:pPr>
            <w:r>
              <w:rPr>
                <w:rFonts w:hint="default" w:ascii="Times New Roman" w:hAnsi="Times New Roman" w:eastAsia="宋体" w:cs="Times New Roman"/>
                <w:bCs/>
                <w:color w:val="auto"/>
                <w:spacing w:val="0"/>
                <w:sz w:val="24"/>
                <w:highlight w:val="none"/>
                <w:lang w:val="en-US" w:eastAsia="zh-CN"/>
              </w:rPr>
              <w:t>工程钻井用水</w:t>
            </w:r>
            <w:r>
              <w:rPr>
                <w:rFonts w:hint="eastAsia" w:ascii="Times New Roman" w:cs="Times New Roman"/>
                <w:bCs/>
                <w:color w:val="auto"/>
                <w:spacing w:val="0"/>
                <w:sz w:val="24"/>
                <w:highlight w:val="none"/>
                <w:lang w:val="en-US" w:eastAsia="zh-CN"/>
              </w:rPr>
              <w:t>自备水井，</w:t>
            </w:r>
            <w:r>
              <w:rPr>
                <w:rFonts w:hint="default" w:ascii="Times New Roman" w:hAnsi="Times New Roman" w:eastAsia="宋体" w:cs="Times New Roman"/>
                <w:bCs/>
                <w:color w:val="auto"/>
                <w:spacing w:val="0"/>
                <w:sz w:val="24"/>
                <w:highlight w:val="none"/>
                <w:lang w:val="en-US" w:eastAsia="zh-CN"/>
              </w:rPr>
              <w:t>生活用水由罐车拉至井场及生活区</w:t>
            </w:r>
            <w:r>
              <w:rPr>
                <w:rFonts w:hint="eastAsia" w:ascii="Times New Roman" w:cs="Times New Roman"/>
                <w:bCs/>
                <w:color w:val="auto"/>
                <w:spacing w:val="0"/>
                <w:sz w:val="24"/>
                <w:highlight w:val="none"/>
                <w:lang w:val="en-US" w:eastAsia="zh-CN"/>
              </w:rPr>
              <w:t>；</w:t>
            </w:r>
            <w:r>
              <w:rPr>
                <w:rFonts w:hint="default" w:ascii="Times New Roman" w:hAnsi="Times New Roman" w:eastAsia="宋体" w:cs="Times New Roman"/>
                <w:bCs/>
                <w:color w:val="auto"/>
                <w:spacing w:val="0"/>
                <w:sz w:val="24"/>
                <w:highlight w:val="none"/>
                <w:lang w:val="en-US" w:eastAsia="zh-CN"/>
              </w:rPr>
              <w:t>钻井用水量</w:t>
            </w:r>
            <w:r>
              <w:rPr>
                <w:rFonts w:hint="eastAsia" w:ascii="Times New Roman" w:cs="Times New Roman"/>
                <w:bCs/>
                <w:color w:val="auto"/>
                <w:spacing w:val="0"/>
                <w:sz w:val="24"/>
                <w:highlight w:val="none"/>
                <w:lang w:val="en-US" w:eastAsia="zh-CN"/>
              </w:rPr>
              <w:t>4793</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vertAlign w:val="baseline"/>
                <w:lang w:val="en-US" w:eastAsia="zh-CN"/>
              </w:rPr>
              <w:t>（其中新鲜水用量</w:t>
            </w:r>
            <w:r>
              <w:rPr>
                <w:rFonts w:hint="eastAsia" w:ascii="Times New Roman" w:cs="Times New Roman"/>
                <w:bCs/>
                <w:color w:val="auto"/>
                <w:spacing w:val="0"/>
                <w:sz w:val="24"/>
                <w:highlight w:val="none"/>
                <w:vertAlign w:val="baseline"/>
                <w:lang w:val="en-US" w:eastAsia="zh-CN"/>
              </w:rPr>
              <w:t>240</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vertAlign w:val="baseline"/>
                <w:lang w:val="en-US" w:eastAsia="zh-CN"/>
              </w:rPr>
              <w:t>，循环水量</w:t>
            </w:r>
            <w:r>
              <w:rPr>
                <w:rFonts w:hint="eastAsia" w:ascii="Times New Roman" w:cs="Times New Roman"/>
                <w:bCs/>
                <w:color w:val="auto"/>
                <w:spacing w:val="0"/>
                <w:sz w:val="24"/>
                <w:highlight w:val="none"/>
                <w:vertAlign w:val="baseline"/>
                <w:lang w:val="en-US" w:eastAsia="zh-CN"/>
              </w:rPr>
              <w:t>4553</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vertAlign w:val="baseline"/>
                <w:lang w:val="en-US" w:eastAsia="zh-CN"/>
              </w:rPr>
              <w:t>）</w:t>
            </w:r>
            <w:r>
              <w:rPr>
                <w:rFonts w:hint="default" w:ascii="Times New Roman" w:hAnsi="Times New Roman" w:eastAsia="宋体" w:cs="Times New Roman"/>
                <w:bCs/>
                <w:color w:val="auto"/>
                <w:spacing w:val="0"/>
                <w:sz w:val="24"/>
                <w:highlight w:val="none"/>
                <w:lang w:val="en-US" w:eastAsia="zh-CN"/>
              </w:rPr>
              <w:t>，主要用于配制泥浆等；酸化压裂用水</w:t>
            </w:r>
            <w:r>
              <w:rPr>
                <w:rFonts w:hint="eastAsia" w:ascii="Times New Roman" w:cs="Times New Roman"/>
                <w:bCs/>
                <w:color w:val="auto"/>
                <w:spacing w:val="0"/>
                <w:sz w:val="24"/>
                <w:highlight w:val="none"/>
                <w:lang w:val="en-US" w:eastAsia="zh-CN"/>
              </w:rPr>
              <w:t>1200</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；工程井队人数约60人，施工总天数</w:t>
            </w:r>
            <w:r>
              <w:rPr>
                <w:rFonts w:hint="eastAsia" w:ascii="Times New Roman" w:cs="Times New Roman"/>
                <w:bCs/>
                <w:color w:val="auto"/>
                <w:spacing w:val="0"/>
                <w:sz w:val="24"/>
                <w:highlight w:val="none"/>
                <w:lang w:val="en-US" w:eastAsia="zh-CN"/>
              </w:rPr>
              <w:t>180</w:t>
            </w:r>
            <w:r>
              <w:rPr>
                <w:rFonts w:hint="default" w:ascii="Times New Roman" w:hAnsi="Times New Roman" w:eastAsia="宋体" w:cs="Times New Roman"/>
                <w:bCs/>
                <w:color w:val="auto"/>
                <w:spacing w:val="0"/>
                <w:sz w:val="24"/>
                <w:highlight w:val="none"/>
                <w:lang w:val="en-US" w:eastAsia="zh-CN"/>
              </w:rPr>
              <w:t>天，按生活用水量100L/d·人计，生活用水量约</w:t>
            </w:r>
            <w:r>
              <w:rPr>
                <w:rFonts w:hint="eastAsia" w:ascii="Times New Roman" w:cs="Times New Roman"/>
                <w:bCs/>
                <w:color w:val="auto"/>
                <w:spacing w:val="0"/>
                <w:sz w:val="24"/>
                <w:highlight w:val="none"/>
                <w:lang w:val="en-US" w:eastAsia="zh-CN"/>
              </w:rPr>
              <w:t>1080</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eastAsia" w:ascii="Times New Roman" w:cs="Times New Roman"/>
                <w:bCs/>
                <w:color w:val="auto"/>
                <w:spacing w:val="0"/>
                <w:sz w:val="24"/>
                <w:highlight w:val="none"/>
                <w:lang w:val="en-US" w:eastAsia="zh-CN"/>
              </w:rPr>
              <w:t>（</w:t>
            </w:r>
            <w:r>
              <w:rPr>
                <w:rFonts w:hint="default" w:ascii="Times New Roman" w:hAnsi="Times New Roman" w:eastAsia="宋体" w:cs="Times New Roman"/>
                <w:bCs/>
                <w:color w:val="auto"/>
                <w:spacing w:val="0"/>
                <w:sz w:val="24"/>
                <w:highlight w:val="none"/>
                <w:lang w:val="en-US" w:eastAsia="zh-CN"/>
              </w:rPr>
              <w:t>6m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/d</w:t>
            </w:r>
            <w:r>
              <w:rPr>
                <w:rFonts w:hint="eastAsia" w:ascii="Times New Roman" w:cs="Times New Roman"/>
                <w:bCs/>
                <w:color w:val="auto"/>
                <w:spacing w:val="0"/>
                <w:sz w:val="24"/>
                <w:highlight w:val="none"/>
                <w:lang w:val="en-US" w:eastAsia="zh-CN"/>
              </w:rPr>
              <w:t>）</w:t>
            </w:r>
            <w:r>
              <w:rPr>
                <w:rFonts w:hint="default" w:ascii="Times New Roman" w:hAnsi="Times New Roman" w:eastAsia="宋体" w:cs="Times New Roman"/>
                <w:bCs/>
                <w:color w:val="auto"/>
                <w:spacing w:val="0"/>
                <w:sz w:val="24"/>
                <w:highlight w:val="none"/>
                <w:lang w:val="en-US" w:eastAsia="zh-CN"/>
              </w:rPr>
              <w:t>；锅炉补水主要为蒸汽损耗，根据《热力输送系统节能监测》（GB/T15910-2009）规定了蒸汽系统的节能监测项目，蒸汽损耗量按5%计，则锅炉每天补水量为3m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，本项目钻井期生物质锅炉使用天数约为</w:t>
            </w:r>
            <w:r>
              <w:rPr>
                <w:rFonts w:hint="eastAsia" w:ascii="Times New Roman" w:cs="Times New Roman"/>
                <w:bCs/>
                <w:color w:val="auto"/>
                <w:spacing w:val="0"/>
                <w:sz w:val="24"/>
                <w:highlight w:val="none"/>
                <w:lang w:val="en-US" w:eastAsia="zh-CN"/>
              </w:rPr>
              <w:t>160</w:t>
            </w:r>
            <w:r>
              <w:rPr>
                <w:rFonts w:hint="default" w:ascii="Times New Roman" w:hAnsi="Times New Roman" w:eastAsia="宋体" w:cs="Times New Roman"/>
                <w:bCs/>
                <w:color w:val="auto"/>
                <w:spacing w:val="0"/>
                <w:sz w:val="24"/>
                <w:highlight w:val="none"/>
                <w:lang w:val="en-US" w:eastAsia="zh-CN"/>
              </w:rPr>
              <w:t>天，则本项目蒸汽损耗补水量为</w:t>
            </w:r>
            <w:r>
              <w:rPr>
                <w:rFonts w:hint="eastAsia" w:ascii="Times New Roman" w:cs="Times New Roman"/>
                <w:bCs/>
                <w:color w:val="auto"/>
                <w:spacing w:val="0"/>
                <w:sz w:val="24"/>
                <w:highlight w:val="none"/>
                <w:lang w:val="en-US" w:eastAsia="zh-CN"/>
              </w:rPr>
              <w:t>480</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。工程总用水量</w:t>
            </w:r>
            <w:r>
              <w:rPr>
                <w:rFonts w:hint="eastAsia" w:ascii="Times New Roman" w:cs="Times New Roman"/>
                <w:bCs/>
                <w:color w:val="auto"/>
                <w:spacing w:val="0"/>
                <w:sz w:val="24"/>
                <w:highlight w:val="none"/>
                <w:lang w:val="en-US" w:eastAsia="zh-CN"/>
              </w:rPr>
              <w:t>12353</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pacing w:val="0"/>
                <w:kern w:val="2"/>
                <w:sz w:val="24"/>
                <w:szCs w:val="24"/>
              </w:rPr>
            </w:pPr>
            <w:r>
              <w:rPr>
                <w:rFonts w:hint="default" w:ascii="Times New Roman" w:hAnsi="Times New Roman" w:eastAsia="宋体" w:cs="Times New Roman"/>
                <w:bCs/>
                <w:color w:val="auto"/>
                <w:spacing w:val="0"/>
                <w:kern w:val="2"/>
                <w:sz w:val="24"/>
                <w:szCs w:val="24"/>
                <w:lang w:val="en-US" w:eastAsia="zh-CN" w:bidi="ar"/>
              </w:rPr>
              <w:t>②排水：工程废水主要为钻井废水、酸化压裂返排液、锅炉系统排污水和生活污水。</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bCs/>
                <w:color w:val="auto"/>
                <w:spacing w:val="0"/>
                <w:kern w:val="2"/>
                <w:sz w:val="24"/>
                <w:szCs w:val="24"/>
                <w:lang w:val="en-US" w:eastAsia="zh-CN" w:bidi="ar"/>
              </w:rPr>
              <w:t>参照《排放源统计调查产排污核算方法和系数手册》中石油和天然气开采专业及辅助性活动行业系数手册钻井作业废水（≥4km）产污系数52.64t/100m，项目钻井深度为</w:t>
            </w:r>
            <w:r>
              <w:rPr>
                <w:rFonts w:hint="eastAsia" w:ascii="Times New Roman" w:cs="Times New Roman"/>
                <w:bCs/>
                <w:color w:val="auto"/>
                <w:spacing w:val="0"/>
                <w:kern w:val="2"/>
                <w:sz w:val="24"/>
                <w:szCs w:val="24"/>
                <w:lang w:val="en-US" w:eastAsia="zh-CN" w:bidi="ar"/>
              </w:rPr>
              <w:t>8650</w:t>
            </w:r>
            <w:r>
              <w:rPr>
                <w:rFonts w:hint="default" w:ascii="Times New Roman" w:hAnsi="Times New Roman" w:eastAsia="宋体" w:cs="Times New Roman"/>
                <w:bCs/>
                <w:color w:val="auto"/>
                <w:spacing w:val="0"/>
                <w:kern w:val="2"/>
                <w:sz w:val="24"/>
                <w:szCs w:val="24"/>
                <w:lang w:val="en-US" w:eastAsia="zh-CN" w:bidi="ar"/>
              </w:rPr>
              <w:t>m，则钻井废水产生量为</w:t>
            </w:r>
            <w:r>
              <w:rPr>
                <w:rFonts w:hint="eastAsia" w:ascii="Times New Roman" w:cs="Times New Roman"/>
                <w:bCs/>
                <w:color w:val="auto"/>
                <w:spacing w:val="0"/>
                <w:kern w:val="2"/>
                <w:sz w:val="24"/>
                <w:szCs w:val="24"/>
                <w:lang w:val="en-US" w:eastAsia="zh-CN" w:bidi="ar"/>
              </w:rPr>
              <w:t>4553</w:t>
            </w:r>
            <w:r>
              <w:rPr>
                <w:rFonts w:hint="default" w:ascii="Times New Roman" w:hAnsi="Times New Roman" w:eastAsia="宋体" w:cs="Times New Roman"/>
                <w:bCs/>
                <w:color w:val="auto"/>
                <w:spacing w:val="0"/>
                <w:kern w:val="2"/>
                <w:sz w:val="24"/>
                <w:szCs w:val="24"/>
                <w:lang w:val="en-US" w:eastAsia="zh-CN" w:bidi="ar"/>
              </w:rPr>
              <w:t>t，</w:t>
            </w:r>
            <w:r>
              <w:rPr>
                <w:rFonts w:hint="default" w:ascii="Times New Roman" w:hAnsi="Times New Roman" w:eastAsia="宋体" w:cs="Times New Roman"/>
                <w:color w:val="auto"/>
                <w:spacing w:val="0"/>
                <w:kern w:val="2"/>
                <w:sz w:val="24"/>
                <w:szCs w:val="24"/>
                <w:lang w:val="en-US" w:eastAsia="zh-CN" w:bidi="ar"/>
              </w:rPr>
              <w:t>钻井废水与钻井泥浆、岩屑一同进入不落地系统处理，处理后的液相全部回用于钻井液配制，不外排。压裂作业产生的酸化压裂返排液，产生量约</w:t>
            </w:r>
            <w:r>
              <w:rPr>
                <w:rFonts w:hint="eastAsia" w:ascii="Times New Roman" w:cs="Times New Roman"/>
                <w:color w:val="auto"/>
                <w:spacing w:val="0"/>
                <w:kern w:val="2"/>
                <w:sz w:val="24"/>
                <w:szCs w:val="24"/>
                <w:lang w:val="en-US" w:eastAsia="zh-CN" w:bidi="ar"/>
              </w:rPr>
              <w:t>1000</w:t>
            </w:r>
            <w:r>
              <w:rPr>
                <w:rFonts w:hint="default" w:ascii="Times New Roman" w:hAnsi="Times New Roman" w:eastAsia="宋体" w:cs="Times New Roman"/>
                <w:color w:val="auto"/>
                <w:spacing w:val="0"/>
                <w:kern w:val="2"/>
                <w:sz w:val="24"/>
                <w:szCs w:val="24"/>
                <w:lang w:val="en-US" w:eastAsia="zh-CN" w:bidi="ar"/>
              </w:rPr>
              <w:t>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w:t>
            </w:r>
            <w:r>
              <w:rPr>
                <w:rFonts w:hint="eastAsia" w:ascii="Times New Roman" w:cs="Times New Roman"/>
                <w:color w:val="auto"/>
                <w:spacing w:val="0"/>
                <w:kern w:val="2"/>
                <w:sz w:val="24"/>
                <w:szCs w:val="24"/>
                <w:lang w:val="en-US" w:eastAsia="zh-CN" w:bidi="ar"/>
              </w:rPr>
              <w:t>在井场加碱中和后，</w:t>
            </w:r>
            <w:r>
              <w:rPr>
                <w:rFonts w:hint="default" w:ascii="Times New Roman" w:hAnsi="Times New Roman" w:eastAsia="宋体" w:cs="Times New Roman"/>
                <w:color w:val="auto"/>
                <w:spacing w:val="0"/>
                <w:kern w:val="2"/>
                <w:sz w:val="24"/>
                <w:szCs w:val="24"/>
                <w:lang w:val="en-US" w:eastAsia="zh-CN" w:bidi="ar"/>
              </w:rPr>
              <w:t>采用专用废液收集罐，定期运至塔里木油田富源7环保处理站。生活污水主要为盥洗废水，产生量约</w:t>
            </w:r>
            <w:r>
              <w:rPr>
                <w:rFonts w:hint="eastAsia" w:ascii="Times New Roman" w:cs="Times New Roman"/>
                <w:color w:val="auto"/>
                <w:spacing w:val="0"/>
                <w:kern w:val="2"/>
                <w:sz w:val="24"/>
                <w:szCs w:val="24"/>
                <w:lang w:val="en-US" w:eastAsia="zh-CN" w:bidi="ar"/>
              </w:rPr>
              <w:t>864</w:t>
            </w:r>
            <w:r>
              <w:rPr>
                <w:rFonts w:hint="default" w:ascii="Times New Roman" w:hAnsi="Times New Roman" w:eastAsia="宋体" w:cs="Times New Roman"/>
                <w:color w:val="auto"/>
                <w:spacing w:val="0"/>
                <w:kern w:val="2"/>
                <w:sz w:val="24"/>
                <w:szCs w:val="24"/>
                <w:lang w:val="en-US" w:eastAsia="zh-CN" w:bidi="ar"/>
              </w:rPr>
              <w:t>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（4.8m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/d），经井场撬装式污水处理装置处理后，水质达到《农村生活污水处理排放标准》（DB654275-2019）表2的B级标准，用于荒漠生态恢复；生物质锅炉系统排污水水量为0.3m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/d，钻井期产生量为</w:t>
            </w:r>
            <w:r>
              <w:rPr>
                <w:rFonts w:hint="eastAsia" w:ascii="Times New Roman" w:cs="Times New Roman"/>
                <w:color w:val="auto"/>
                <w:spacing w:val="0"/>
                <w:kern w:val="2"/>
                <w:sz w:val="24"/>
                <w:szCs w:val="24"/>
                <w:lang w:val="en-US" w:eastAsia="zh-CN" w:bidi="ar"/>
              </w:rPr>
              <w:t>48</w:t>
            </w:r>
            <w:r>
              <w:rPr>
                <w:rFonts w:hint="default" w:ascii="Times New Roman" w:hAnsi="Times New Roman" w:eastAsia="宋体" w:cs="Times New Roman"/>
                <w:color w:val="auto"/>
                <w:spacing w:val="0"/>
                <w:kern w:val="2"/>
                <w:sz w:val="24"/>
                <w:szCs w:val="24"/>
                <w:lang w:val="en-US" w:eastAsia="zh-CN" w:bidi="ar"/>
              </w:rPr>
              <w:t>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，水质简单，污染物主要为SS、COD及含盐量，用于井区周边洒水抑尘。</w:t>
            </w:r>
          </w:p>
          <w:p>
            <w:pPr>
              <w:keepNext w:val="0"/>
              <w:keepLines w:val="0"/>
              <w:widowControl w:val="0"/>
              <w:suppressLineNumbers w:val="0"/>
              <w:spacing w:before="0" w:beforeAutospacing="0" w:after="0" w:afterAutospacing="0" w:line="440" w:lineRule="exact"/>
              <w:ind w:left="0" w:right="0" w:firstLine="482" w:firstLineChars="200"/>
              <w:jc w:val="both"/>
              <w:rPr>
                <w:rFonts w:hint="default" w:ascii="Times New Roman" w:hAnsi="Times New Roman" w:eastAsia="宋体" w:cs="Times New Roman"/>
                <w:b/>
                <w:bCs/>
                <w:color w:val="auto"/>
                <w:spacing w:val="0"/>
                <w:kern w:val="2"/>
                <w:sz w:val="24"/>
                <w:szCs w:val="24"/>
              </w:rPr>
            </w:pPr>
            <w:r>
              <w:rPr>
                <w:rFonts w:hint="default" w:ascii="Times New Roman" w:hAnsi="Times New Roman" w:eastAsia="宋体" w:cs="Times New Roman"/>
                <w:b/>
                <w:bCs/>
                <w:color w:val="auto"/>
                <w:spacing w:val="0"/>
                <w:kern w:val="2"/>
                <w:sz w:val="24"/>
                <w:szCs w:val="24"/>
                <w:lang w:val="en-US" w:eastAsia="zh-CN" w:bidi="ar"/>
              </w:rPr>
              <w:t>表2-8    项目用排水量一览表</w:t>
            </w:r>
          </w:p>
          <w:tbl>
            <w:tblPr>
              <w:tblStyle w:val="32"/>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346"/>
              <w:gridCol w:w="1155"/>
              <w:gridCol w:w="1155"/>
              <w:gridCol w:w="1155"/>
              <w:gridCol w:w="1095"/>
              <w:gridCol w:w="1110"/>
              <w:gridCol w:w="13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1346" w:type="dxa"/>
                  <w:tcBorders>
                    <w:top w:val="single" w:color="auto" w:sz="8"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用水项目</w:t>
                  </w:r>
                </w:p>
              </w:tc>
              <w:tc>
                <w:tcPr>
                  <w:tcW w:w="1155" w:type="dxa"/>
                  <w:vMerge w:val="restart"/>
                  <w:tcBorders>
                    <w:top w:val="single" w:color="auto" w:sz="8" w:space="0"/>
                    <w:left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总用水量</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c>
                <w:tcPr>
                  <w:tcW w:w="1155" w:type="dxa"/>
                  <w:vMerge w:val="restart"/>
                  <w:tcBorders>
                    <w:top w:val="single" w:color="auto" w:sz="8"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新鲜水</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c>
                <w:tcPr>
                  <w:tcW w:w="3360" w:type="dxa"/>
                  <w:gridSpan w:val="3"/>
                  <w:tcBorders>
                    <w:top w:val="single" w:color="auto" w:sz="8" w:space="0"/>
                    <w:left w:val="single" w:color="auto" w:sz="4" w:space="0"/>
                    <w:bottom w:val="single" w:color="auto" w:sz="4" w:space="0"/>
                    <w:right w:val="single" w:color="auto" w:sz="8"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iCs w:val="0"/>
                      <w:color w:val="auto"/>
                      <w:spacing w:val="0"/>
                      <w:kern w:val="0"/>
                      <w:sz w:val="21"/>
                      <w:szCs w:val="21"/>
                      <w:lang w:val="en-US" w:eastAsia="zh-CN" w:bidi="ar"/>
                    </w:rPr>
                  </w:pPr>
                  <w:r>
                    <w:rPr>
                      <w:rFonts w:hint="default" w:ascii="Times New Roman" w:hAnsi="Times New Roman" w:eastAsia="宋体" w:cs="Times New Roman"/>
                      <w:i w:val="0"/>
                      <w:iCs w:val="0"/>
                      <w:color w:val="auto"/>
                      <w:spacing w:val="0"/>
                      <w:kern w:val="0"/>
                      <w:sz w:val="21"/>
                      <w:szCs w:val="21"/>
                      <w:lang w:val="en-US" w:eastAsia="zh-CN" w:bidi="ar"/>
                    </w:rPr>
                    <w:t>废水量</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c>
                <w:tcPr>
                  <w:tcW w:w="1321" w:type="dxa"/>
                  <w:vMerge w:val="restart"/>
                  <w:tcBorders>
                    <w:top w:val="single" w:color="auto" w:sz="8" w:space="0"/>
                    <w:left w:val="single" w:color="auto" w:sz="4" w:space="0"/>
                    <w:right w:val="single" w:color="auto" w:sz="8"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处理量</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名称</w:t>
                  </w:r>
                </w:p>
              </w:tc>
              <w:tc>
                <w:tcPr>
                  <w:tcW w:w="1155"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p>
              </w:tc>
              <w:tc>
                <w:tcPr>
                  <w:tcW w:w="1155"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损耗量</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产生量</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iCs w:val="0"/>
                      <w:color w:val="auto"/>
                      <w:spacing w:val="0"/>
                      <w:kern w:val="0"/>
                      <w:sz w:val="21"/>
                      <w:szCs w:val="21"/>
                    </w:rPr>
                  </w:pPr>
                  <w:r>
                    <w:rPr>
                      <w:rFonts w:hint="default" w:ascii="Times New Roman" w:hAnsi="Times New Roman" w:eastAsia="宋体" w:cs="Times New Roman"/>
                      <w:i w:val="0"/>
                      <w:iCs w:val="0"/>
                      <w:color w:val="auto"/>
                      <w:spacing w:val="0"/>
                      <w:kern w:val="0"/>
                      <w:sz w:val="21"/>
                      <w:szCs w:val="21"/>
                      <w:lang w:val="en-US" w:eastAsia="zh-CN" w:bidi="ar"/>
                    </w:rPr>
                    <w:t>回用量</w:t>
                  </w:r>
                  <w:r>
                    <w:rPr>
                      <w:rStyle w:val="98"/>
                      <w:rFonts w:hint="default" w:ascii="Times New Roman" w:hAnsi="Times New Roman" w:eastAsia="宋体" w:cs="Times New Roman"/>
                      <w:color w:val="auto"/>
                      <w:spacing w:val="0"/>
                      <w:kern w:val="2"/>
                      <w:sz w:val="21"/>
                      <w:szCs w:val="21"/>
                      <w:lang w:val="en-US" w:eastAsia="zh-CN" w:bidi="ar"/>
                    </w:rPr>
                    <w:t>m</w:t>
                  </w:r>
                  <w:r>
                    <w:rPr>
                      <w:rStyle w:val="96"/>
                      <w:rFonts w:hint="default" w:ascii="Times New Roman" w:hAnsi="Times New Roman" w:eastAsia="宋体" w:cs="Times New Roman"/>
                      <w:color w:val="auto"/>
                      <w:spacing w:val="0"/>
                      <w:kern w:val="2"/>
                      <w:sz w:val="21"/>
                      <w:szCs w:val="21"/>
                      <w:vertAlign w:val="superscript"/>
                      <w:lang w:val="en-US" w:eastAsia="zh-CN" w:bidi="ar"/>
                    </w:rPr>
                    <w:t>3</w:t>
                  </w:r>
                </w:p>
              </w:tc>
              <w:tc>
                <w:tcPr>
                  <w:tcW w:w="1321" w:type="dxa"/>
                  <w:vMerge w:val="continue"/>
                  <w:tcBorders>
                    <w:left w:val="single" w:color="auto" w:sz="4" w:space="0"/>
                    <w:bottom w:val="single" w:color="auto" w:sz="4" w:space="0"/>
                    <w:right w:val="single" w:color="auto" w:sz="8"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钻井用水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4793</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240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240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4553</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酸化压裂用水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1200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1200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200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1000</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0</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iCs w:val="0"/>
                      <w:color w:val="auto"/>
                      <w:spacing w:val="0"/>
                      <w:kern w:val="0"/>
                      <w:sz w:val="21"/>
                      <w:szCs w:val="21"/>
                    </w:rPr>
                  </w:pPr>
                  <w:r>
                    <w:rPr>
                      <w:rFonts w:hint="default" w:ascii="Times New Roman" w:hAnsi="Times New Roman" w:eastAsia="宋体" w:cs="Times New Roman"/>
                      <w:i w:val="0"/>
                      <w:iCs w:val="0"/>
                      <w:color w:val="auto"/>
                      <w:spacing w:val="0"/>
                      <w:kern w:val="0"/>
                      <w:sz w:val="21"/>
                      <w:szCs w:val="21"/>
                      <w:lang w:val="en-US" w:eastAsia="zh-CN" w:bidi="ar"/>
                    </w:rPr>
                    <w:t>锅炉用水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5280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480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432</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48</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4800</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生活用水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1080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1080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color w:val="auto"/>
                      <w:sz w:val="21"/>
                      <w:szCs w:val="21"/>
                      <w:highlight w:val="none"/>
                      <w:lang w:val="en-US" w:eastAsia="zh-CN"/>
                    </w:rPr>
                    <w:t>216</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864</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0</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864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小计</w:t>
                  </w:r>
                </w:p>
              </w:tc>
              <w:tc>
                <w:tcPr>
                  <w:tcW w:w="115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12353</w:t>
                  </w:r>
                </w:p>
              </w:tc>
              <w:tc>
                <w:tcPr>
                  <w:tcW w:w="115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3000</w:t>
                  </w:r>
                </w:p>
              </w:tc>
              <w:tc>
                <w:tcPr>
                  <w:tcW w:w="115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1088</w:t>
                  </w:r>
                </w:p>
              </w:tc>
              <w:tc>
                <w:tcPr>
                  <w:tcW w:w="109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1912</w:t>
                  </w:r>
                </w:p>
              </w:tc>
              <w:tc>
                <w:tcPr>
                  <w:tcW w:w="1110"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9353</w:t>
                  </w:r>
                </w:p>
              </w:tc>
              <w:tc>
                <w:tcPr>
                  <w:tcW w:w="1321" w:type="dxa"/>
                  <w:tcBorders>
                    <w:top w:val="single" w:color="auto" w:sz="4" w:space="0"/>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1912</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0000FF"/>
                <w:sz w:val="24"/>
                <w:szCs w:val="24"/>
                <w:highlight w:val="none"/>
                <w:lang w:val="en-US" w:eastAsia="zh-CN"/>
              </w:rPr>
            </w:pPr>
            <w:r>
              <w:rPr>
                <w:rFonts w:hint="default"/>
                <w:sz w:val="21"/>
              </w:rPr>
              <mc:AlternateContent>
                <mc:Choice Requires="wpg">
                  <w:drawing>
                    <wp:anchor distT="0" distB="0" distL="114300" distR="114300" simplePos="0" relativeHeight="251669504" behindDoc="0" locked="0" layoutInCell="1" allowOverlap="1">
                      <wp:simplePos x="0" y="0"/>
                      <wp:positionH relativeFrom="column">
                        <wp:posOffset>173990</wp:posOffset>
                      </wp:positionH>
                      <wp:positionV relativeFrom="paragraph">
                        <wp:posOffset>10795</wp:posOffset>
                      </wp:positionV>
                      <wp:extent cx="4958715" cy="2917190"/>
                      <wp:effectExtent l="0" t="0" r="12700" b="17145"/>
                      <wp:wrapTopAndBottom/>
                      <wp:docPr id="40" name="组合 40"/>
                      <wp:cNvGraphicFramePr/>
                      <a:graphic xmlns:a="http://schemas.openxmlformats.org/drawingml/2006/main">
                        <a:graphicData uri="http://schemas.microsoft.com/office/word/2010/wordprocessingGroup">
                          <wpg:wgp>
                            <wpg:cNvGrpSpPr/>
                            <wpg:grpSpPr>
                              <a:xfrm>
                                <a:off x="0" y="0"/>
                                <a:ext cx="4958715" cy="2917190"/>
                                <a:chOff x="2578" y="978348"/>
                                <a:chExt cx="7809" cy="4594"/>
                              </a:xfrm>
                            </wpg:grpSpPr>
                            <wps:wsp>
                              <wps:cNvPr id="70" name="文本框 70"/>
                              <wps:cNvSpPr txBox="1"/>
                              <wps:spPr>
                                <a:xfrm>
                                  <a:off x="2578" y="980058"/>
                                  <a:ext cx="963" cy="414"/>
                                </a:xfrm>
                                <a:prstGeom prst="rect">
                                  <a:avLst/>
                                </a:prstGeom>
                                <a:noFill/>
                                <a:ln w="6350">
                                  <a:noFill/>
                                </a:ln>
                              </wps:spPr>
                              <wps:txbx>
                                <w:txbxContent>
                                  <w:p>
                                    <w:pPr>
                                      <w:widowControl/>
                                      <w:jc w:val="center"/>
                                      <w:rPr>
                                        <w:rFonts w:hAnsi="宋体"/>
                                        <w:kern w:val="0"/>
                                        <w:sz w:val="24"/>
                                      </w:rPr>
                                    </w:pPr>
                                    <w:r>
                                      <w:rPr>
                                        <w:rFonts w:hint="eastAsia" w:ascii="Times New Roman" w:hAnsi="宋体"/>
                                        <w:szCs w:val="21"/>
                                      </w:rPr>
                                      <w:t>新鲜水</w:t>
                                    </w:r>
                                  </w:p>
                                </w:txbxContent>
                              </wps:txbx>
                              <wps:bodyPr upright="1"/>
                            </wps:wsp>
                            <wps:wsp>
                              <wps:cNvPr id="71" name="矩形 71"/>
                              <wps:cNvSpPr/>
                              <wps:spPr>
                                <a:xfrm>
                                  <a:off x="8149" y="982382"/>
                                  <a:ext cx="2200" cy="469"/>
                                </a:xfrm>
                                <a:prstGeom prst="rect">
                                  <a:avLst/>
                                </a:prstGeom>
                                <a:noFill/>
                                <a:ln w="6350">
                                  <a:noFill/>
                                </a:ln>
                              </wps:spPr>
                              <wps:txbx>
                                <w:txbxContent>
                                  <w:p>
                                    <w:pPr>
                                      <w:jc w:val="center"/>
                                      <w:rPr>
                                        <w:rFonts w:hint="default" w:hAnsi="宋体" w:cs="宋体"/>
                                        <w:szCs w:val="21"/>
                                        <w:lang w:val="en-US" w:eastAsia="zh-CN"/>
                                      </w:rPr>
                                    </w:pPr>
                                    <w:r>
                                      <w:rPr>
                                        <w:rFonts w:hint="eastAsia" w:hAnsi="宋体" w:cs="宋体"/>
                                        <w:szCs w:val="21"/>
                                        <w:lang w:val="en-US" w:eastAsia="zh-CN"/>
                                      </w:rPr>
                                      <w:t>用于荒漠生态恢复</w:t>
                                    </w:r>
                                  </w:p>
                                </w:txbxContent>
                              </wps:txbx>
                              <wps:bodyPr upright="1"/>
                            </wps:wsp>
                            <wps:wsp>
                              <wps:cNvPr id="72" name="直接箭头连接符 72"/>
                              <wps:cNvCnPr/>
                              <wps:spPr>
                                <a:xfrm>
                                  <a:off x="3430" y="980330"/>
                                  <a:ext cx="461" cy="2"/>
                                </a:xfrm>
                                <a:prstGeom prst="straightConnector1">
                                  <a:avLst/>
                                </a:prstGeom>
                                <a:ln w="6350" cap="flat" cmpd="sng">
                                  <a:solidFill>
                                    <a:srgbClr val="000000"/>
                                  </a:solidFill>
                                  <a:prstDash val="solid"/>
                                  <a:round/>
                                  <a:headEnd type="none" w="med" len="med"/>
                                  <a:tailEnd type="stealth" w="sm" len="sm"/>
                                </a:ln>
                              </wps:spPr>
                              <wps:bodyPr/>
                            </wps:wsp>
                            <wps:wsp>
                              <wps:cNvPr id="20" name="矩形 73"/>
                              <wps:cNvSpPr/>
                              <wps:spPr>
                                <a:xfrm>
                                  <a:off x="4468" y="982435"/>
                                  <a:ext cx="1250" cy="398"/>
                                </a:xfrm>
                                <a:prstGeom prst="rect">
                                  <a:avLst/>
                                </a:prstGeom>
                                <a:noFill/>
                                <a:ln w="6350" cap="flat" cmpd="sng">
                                  <a:solidFill>
                                    <a:srgbClr val="000000"/>
                                  </a:solidFill>
                                  <a:prstDash val="solid"/>
                                  <a:miter/>
                                  <a:headEnd type="none" w="med" len="med"/>
                                  <a:tailEnd type="none" w="med" len="med"/>
                                </a:ln>
                              </wps:spPr>
                              <wps:txbx>
                                <w:txbxContent>
                                  <w:p>
                                    <w:pPr>
                                      <w:widowControl/>
                                      <w:spacing w:line="0" w:lineRule="atLeast"/>
                                      <w:jc w:val="center"/>
                                      <w:rPr>
                                        <w:rFonts w:hAnsi="宋体"/>
                                        <w:kern w:val="0"/>
                                        <w:sz w:val="24"/>
                                      </w:rPr>
                                    </w:pPr>
                                    <w:r>
                                      <w:rPr>
                                        <w:rFonts w:hint="eastAsia" w:ascii="Times New Roman" w:hAnsi="宋体"/>
                                        <w:szCs w:val="21"/>
                                      </w:rPr>
                                      <w:t>生活用水</w:t>
                                    </w:r>
                                  </w:p>
                                </w:txbxContent>
                              </wps:txbx>
                              <wps:bodyPr upright="1"/>
                            </wps:wsp>
                            <wps:wsp>
                              <wps:cNvPr id="74" name="文本框 74"/>
                              <wps:cNvSpPr txBox="1"/>
                              <wps:spPr>
                                <a:xfrm>
                                  <a:off x="3844" y="982332"/>
                                  <a:ext cx="760" cy="374"/>
                                </a:xfrm>
                                <a:prstGeom prst="rect">
                                  <a:avLst/>
                                </a:prstGeom>
                                <a:noFill/>
                                <a:ln w="6350">
                                  <a:noFill/>
                                </a:ln>
                              </wps:spPr>
                              <wps:txbx>
                                <w:txbxContent>
                                  <w:p>
                                    <w:pPr>
                                      <w:widowControl/>
                                      <w:rPr>
                                        <w:rFonts w:hint="default" w:hAnsi="宋体" w:eastAsia="宋体"/>
                                        <w:kern w:val="0"/>
                                        <w:sz w:val="24"/>
                                        <w:lang w:val="en-US" w:eastAsia="zh-CN"/>
                                      </w:rPr>
                                    </w:pPr>
                                    <w:r>
                                      <w:rPr>
                                        <w:rFonts w:hint="eastAsia" w:ascii="Times New Roman"/>
                                        <w:szCs w:val="21"/>
                                        <w:lang w:val="en-US" w:eastAsia="zh-CN"/>
                                      </w:rPr>
                                      <w:t>1080</w:t>
                                    </w:r>
                                  </w:p>
                                </w:txbxContent>
                              </wps:txbx>
                              <wps:bodyPr upright="1"/>
                            </wps:wsp>
                            <wps:wsp>
                              <wps:cNvPr id="75" name="直接箭头连接符 75"/>
                              <wps:cNvCnPr/>
                              <wps:spPr>
                                <a:xfrm>
                                  <a:off x="7456" y="982640"/>
                                  <a:ext cx="923" cy="6"/>
                                </a:xfrm>
                                <a:prstGeom prst="straightConnector1">
                                  <a:avLst/>
                                </a:prstGeom>
                                <a:ln w="6350" cap="flat" cmpd="sng">
                                  <a:solidFill>
                                    <a:srgbClr val="000000"/>
                                  </a:solidFill>
                                  <a:prstDash val="solid"/>
                                  <a:round/>
                                  <a:headEnd type="none" w="med" len="med"/>
                                  <a:tailEnd type="stealth" w="sm" len="sm"/>
                                </a:ln>
                              </wps:spPr>
                              <wps:bodyPr/>
                            </wps:wsp>
                            <wps:wsp>
                              <wps:cNvPr id="76" name="文本框 76"/>
                              <wps:cNvSpPr txBox="1"/>
                              <wps:spPr>
                                <a:xfrm>
                                  <a:off x="5696" y="982332"/>
                                  <a:ext cx="632" cy="355"/>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864</w:t>
                                    </w:r>
                                  </w:p>
                                </w:txbxContent>
                              </wps:txbx>
                              <wps:bodyPr upright="1"/>
                            </wps:wsp>
                            <wps:wsp>
                              <wps:cNvPr id="77" name="文本框 77"/>
                              <wps:cNvSpPr txBox="1"/>
                              <wps:spPr>
                                <a:xfrm>
                                  <a:off x="3257" y="979973"/>
                                  <a:ext cx="837" cy="398"/>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i w:val="0"/>
                                        <w:iCs w:val="0"/>
                                        <w:color w:val="000000"/>
                                        <w:kern w:val="0"/>
                                        <w:sz w:val="21"/>
                                        <w:szCs w:val="21"/>
                                        <w:u w:val="none"/>
                                        <w:lang w:val="en-US" w:eastAsia="zh-CN" w:bidi="ar"/>
                                      </w:rPr>
                                      <w:t>3000</w:t>
                                    </w:r>
                                  </w:p>
                                </w:txbxContent>
                              </wps:txbx>
                              <wps:bodyPr upright="1"/>
                            </wps:wsp>
                            <wps:wsp>
                              <wps:cNvPr id="78" name="直接箭头连接符 78"/>
                              <wps:cNvCnPr/>
                              <wps:spPr>
                                <a:xfrm>
                                  <a:off x="3888" y="982665"/>
                                  <a:ext cx="598" cy="0"/>
                                </a:xfrm>
                                <a:prstGeom prst="straightConnector1">
                                  <a:avLst/>
                                </a:prstGeom>
                                <a:ln w="6350" cap="flat" cmpd="sng">
                                  <a:solidFill>
                                    <a:srgbClr val="000000"/>
                                  </a:solidFill>
                                  <a:prstDash val="solid"/>
                                  <a:round/>
                                  <a:headEnd type="none" w="med" len="med"/>
                                  <a:tailEnd type="stealth" w="sm" len="sm"/>
                                </a:ln>
                              </wps:spPr>
                              <wps:bodyPr/>
                            </wps:wsp>
                            <wps:wsp>
                              <wps:cNvPr id="79" name="文本框 79"/>
                              <wps:cNvSpPr txBox="1"/>
                              <wps:spPr>
                                <a:xfrm>
                                  <a:off x="5100" y="982042"/>
                                  <a:ext cx="765" cy="378"/>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216</w:t>
                                    </w:r>
                                  </w:p>
                                </w:txbxContent>
                              </wps:txbx>
                              <wps:bodyPr upright="1"/>
                            </wps:wsp>
                            <wps:wsp>
                              <wps:cNvPr id="80" name="直接箭头连接符 80"/>
                              <wps:cNvCnPr/>
                              <wps:spPr>
                                <a:xfrm flipH="1" flipV="1">
                                  <a:off x="5238" y="981232"/>
                                  <a:ext cx="0" cy="344"/>
                                </a:xfrm>
                                <a:prstGeom prst="straightConnector1">
                                  <a:avLst/>
                                </a:prstGeom>
                                <a:ln w="6350" cap="flat" cmpd="sng">
                                  <a:solidFill>
                                    <a:srgbClr val="000000"/>
                                  </a:solidFill>
                                  <a:prstDash val="dashDot"/>
                                  <a:round/>
                                  <a:headEnd type="none" w="med" len="med"/>
                                  <a:tailEnd type="stealth" w="sm" len="sm"/>
                                </a:ln>
                              </wps:spPr>
                              <wps:bodyPr/>
                            </wps:wsp>
                            <wps:wsp>
                              <wps:cNvPr id="81" name="直接箭头连接符 81"/>
                              <wps:cNvCnPr/>
                              <wps:spPr>
                                <a:xfrm>
                                  <a:off x="3884" y="979079"/>
                                  <a:ext cx="0" cy="3571"/>
                                </a:xfrm>
                                <a:prstGeom prst="straightConnector1">
                                  <a:avLst/>
                                </a:prstGeom>
                                <a:ln w="6350" cap="flat" cmpd="sng">
                                  <a:solidFill>
                                    <a:srgbClr val="000000"/>
                                  </a:solidFill>
                                  <a:prstDash val="solid"/>
                                  <a:round/>
                                  <a:headEnd type="none" w="med" len="med"/>
                                  <a:tailEnd type="none" w="med" len="med"/>
                                </a:ln>
                              </wps:spPr>
                              <wps:bodyPr/>
                            </wps:wsp>
                            <wps:wsp>
                              <wps:cNvPr id="82" name="直接箭头连接符 82"/>
                              <wps:cNvCnPr/>
                              <wps:spPr>
                                <a:xfrm>
                                  <a:off x="3907" y="979083"/>
                                  <a:ext cx="598" cy="1"/>
                                </a:xfrm>
                                <a:prstGeom prst="straightConnector1">
                                  <a:avLst/>
                                </a:prstGeom>
                                <a:ln w="6350" cap="flat" cmpd="sng">
                                  <a:solidFill>
                                    <a:srgbClr val="000000"/>
                                  </a:solidFill>
                                  <a:prstDash val="solid"/>
                                  <a:round/>
                                  <a:headEnd type="none" w="med" len="med"/>
                                  <a:tailEnd type="stealth" w="sm" len="sm"/>
                                </a:ln>
                              </wps:spPr>
                              <wps:bodyPr/>
                            </wps:wsp>
                            <wps:wsp>
                              <wps:cNvPr id="83" name="矩形 83"/>
                              <wps:cNvSpPr/>
                              <wps:spPr>
                                <a:xfrm>
                                  <a:off x="4527" y="978856"/>
                                  <a:ext cx="1356" cy="392"/>
                                </a:xfrm>
                                <a:prstGeom prst="rect">
                                  <a:avLst/>
                                </a:prstGeom>
                                <a:noFill/>
                                <a:ln w="6350" cap="flat" cmpd="sng">
                                  <a:solidFill>
                                    <a:srgbClr val="000000"/>
                                  </a:solidFill>
                                  <a:prstDash val="solid"/>
                                  <a:miter/>
                                  <a:headEnd type="none" w="med" len="med"/>
                                  <a:tailEnd type="none" w="med" len="med"/>
                                </a:ln>
                              </wps:spPr>
                              <wps:txbx>
                                <w:txbxContent>
                                  <w:p>
                                    <w:pPr>
                                      <w:widowControl/>
                                      <w:jc w:val="center"/>
                                      <w:rPr>
                                        <w:rFonts w:hAnsi="宋体"/>
                                        <w:kern w:val="0"/>
                                        <w:sz w:val="24"/>
                                      </w:rPr>
                                    </w:pPr>
                                    <w:r>
                                      <w:rPr>
                                        <w:rFonts w:hint="eastAsia" w:ascii="Times New Roman" w:hAnsi="宋体"/>
                                        <w:szCs w:val="21"/>
                                      </w:rPr>
                                      <w:t>钻井用水</w:t>
                                    </w:r>
                                  </w:p>
                                </w:txbxContent>
                              </wps:txbx>
                              <wps:bodyPr upright="1"/>
                            </wps:wsp>
                            <wps:wsp>
                              <wps:cNvPr id="84" name="文本框 84"/>
                              <wps:cNvSpPr txBox="1"/>
                              <wps:spPr>
                                <a:xfrm>
                                  <a:off x="3801" y="978642"/>
                                  <a:ext cx="815" cy="466"/>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240</w:t>
                                    </w:r>
                                  </w:p>
                                </w:txbxContent>
                              </wps:txbx>
                              <wps:bodyPr upright="1"/>
                            </wps:wsp>
                            <wps:wsp>
                              <wps:cNvPr id="85" name="直接箭头连接符 85"/>
                              <wps:cNvCnPr/>
                              <wps:spPr>
                                <a:xfrm flipV="1">
                                  <a:off x="5892" y="979099"/>
                                  <a:ext cx="691" cy="2"/>
                                </a:xfrm>
                                <a:prstGeom prst="straightConnector1">
                                  <a:avLst/>
                                </a:prstGeom>
                                <a:ln w="6350" cap="flat" cmpd="sng">
                                  <a:solidFill>
                                    <a:srgbClr val="000000"/>
                                  </a:solidFill>
                                  <a:prstDash val="solid"/>
                                  <a:round/>
                                  <a:headEnd type="none" w="med" len="med"/>
                                  <a:tailEnd type="stealth" w="sm" len="sm"/>
                                </a:ln>
                              </wps:spPr>
                              <wps:bodyPr/>
                            </wps:wsp>
                            <wps:wsp>
                              <wps:cNvPr id="86" name="矩形 86"/>
                              <wps:cNvSpPr/>
                              <wps:spPr>
                                <a:xfrm>
                                  <a:off x="6572" y="978687"/>
                                  <a:ext cx="1031" cy="661"/>
                                </a:xfrm>
                                <a:prstGeom prst="rect">
                                  <a:avLst/>
                                </a:prstGeom>
                                <a:noFill/>
                                <a:ln w="6350" cap="flat" cmpd="sng">
                                  <a:solidFill>
                                    <a:srgbClr val="000000"/>
                                  </a:solidFill>
                                  <a:prstDash val="solid"/>
                                  <a:miter/>
                                  <a:headEnd type="none" w="med" len="med"/>
                                  <a:tailEnd type="none" w="med" len="med"/>
                                </a:ln>
                              </wps:spPr>
                              <wps:txbx>
                                <w:txbxContent>
                                  <w:p>
                                    <w:pPr>
                                      <w:widowControl/>
                                      <w:adjustRightInd w:val="0"/>
                                      <w:snapToGrid w:val="0"/>
                                      <w:jc w:val="center"/>
                                      <w:rPr>
                                        <w:rFonts w:hAnsi="宋体"/>
                                        <w:kern w:val="0"/>
                                        <w:sz w:val="24"/>
                                      </w:rPr>
                                    </w:pPr>
                                    <w:r>
                                      <w:rPr>
                                        <w:rFonts w:hint="eastAsia" w:hAnsi="宋体" w:cs="宋体"/>
                                        <w:szCs w:val="21"/>
                                      </w:rPr>
                                      <w:t>不落地系统</w:t>
                                    </w:r>
                                  </w:p>
                                </w:txbxContent>
                              </wps:txbx>
                              <wps:bodyPr upright="1"/>
                            </wps:wsp>
                            <wps:wsp>
                              <wps:cNvPr id="87" name="文本框 87"/>
                              <wps:cNvSpPr txBox="1"/>
                              <wps:spPr>
                                <a:xfrm>
                                  <a:off x="8276" y="978797"/>
                                  <a:ext cx="2111" cy="442"/>
                                </a:xfrm>
                                <a:prstGeom prst="rect">
                                  <a:avLst/>
                                </a:prstGeom>
                                <a:noFill/>
                                <a:ln w="6350" cap="flat" cmpd="sng">
                                  <a:solidFill>
                                    <a:srgbClr val="000000"/>
                                  </a:solidFill>
                                  <a:prstDash val="solid"/>
                                  <a:miter/>
                                  <a:headEnd type="none" w="med" len="med"/>
                                  <a:tailEnd type="none" w="med" len="med"/>
                                </a:ln>
                              </wps:spPr>
                              <wps:txbx>
                                <w:txbxContent>
                                  <w:p>
                                    <w:pPr>
                                      <w:widowControl/>
                                      <w:rPr>
                                        <w:rFonts w:hAnsi="宋体"/>
                                        <w:kern w:val="0"/>
                                        <w:sz w:val="24"/>
                                        <w:szCs w:val="20"/>
                                      </w:rPr>
                                    </w:pPr>
                                    <w:r>
                                      <w:rPr>
                                        <w:rFonts w:hint="eastAsia" w:ascii="Times New Roman" w:hAnsi="宋体"/>
                                        <w:szCs w:val="21"/>
                                      </w:rPr>
                                      <w:t>回用于钻井液配制</w:t>
                                    </w:r>
                                  </w:p>
                                </w:txbxContent>
                              </wps:txbx>
                              <wps:bodyPr upright="1"/>
                            </wps:wsp>
                            <wps:wsp>
                              <wps:cNvPr id="88" name="直接箭头连接符 88"/>
                              <wps:cNvCnPr/>
                              <wps:spPr>
                                <a:xfrm>
                                  <a:off x="7660" y="979066"/>
                                  <a:ext cx="608" cy="0"/>
                                </a:xfrm>
                                <a:prstGeom prst="straightConnector1">
                                  <a:avLst/>
                                </a:prstGeom>
                                <a:ln w="6350" cap="flat" cmpd="sng">
                                  <a:solidFill>
                                    <a:srgbClr val="000000"/>
                                  </a:solidFill>
                                  <a:prstDash val="solid"/>
                                  <a:round/>
                                  <a:headEnd type="none" w="med" len="med"/>
                                  <a:tailEnd type="stealth" w="sm" len="sm"/>
                                </a:ln>
                              </wps:spPr>
                              <wps:bodyPr/>
                            </wps:wsp>
                            <wps:wsp>
                              <wps:cNvPr id="90" name="直接箭头连接符 90"/>
                              <wps:cNvCnPr/>
                              <wps:spPr>
                                <a:xfrm flipV="1">
                                  <a:off x="5091" y="978635"/>
                                  <a:ext cx="308" cy="183"/>
                                </a:xfrm>
                                <a:prstGeom prst="straightConnector1">
                                  <a:avLst/>
                                </a:prstGeom>
                                <a:ln w="6350" cap="flat" cmpd="sng">
                                  <a:solidFill>
                                    <a:srgbClr val="000000"/>
                                  </a:solidFill>
                                  <a:prstDash val="dashDot"/>
                                  <a:round/>
                                  <a:headEnd type="none" w="med" len="med"/>
                                  <a:tailEnd type="stealth" w="sm" len="sm"/>
                                </a:ln>
                              </wps:spPr>
                              <wps:bodyPr/>
                            </wps:wsp>
                            <wps:wsp>
                              <wps:cNvPr id="91" name="文本框 91"/>
                              <wps:cNvSpPr txBox="1"/>
                              <wps:spPr>
                                <a:xfrm>
                                  <a:off x="5245" y="978348"/>
                                  <a:ext cx="671" cy="420"/>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240</w:t>
                                    </w:r>
                                  </w:p>
                                </w:txbxContent>
                              </wps:txbx>
                              <wps:bodyPr upright="1"/>
                            </wps:wsp>
                            <wps:wsp>
                              <wps:cNvPr id="92" name="文本框 92"/>
                              <wps:cNvSpPr txBox="1"/>
                              <wps:spPr>
                                <a:xfrm>
                                  <a:off x="5777" y="978729"/>
                                  <a:ext cx="889" cy="362"/>
                                </a:xfrm>
                                <a:prstGeom prst="rect">
                                  <a:avLst/>
                                </a:prstGeom>
                                <a:noFill/>
                                <a:ln w="6350">
                                  <a:noFill/>
                                </a:ln>
                              </wps:spPr>
                              <wps:txbx>
                                <w:txbxContent>
                                  <w:p>
                                    <w:pPr>
                                      <w:jc w:val="center"/>
                                      <w:rPr>
                                        <w:rFonts w:hint="default" w:ascii="Times New Roman" w:hAnsi="Times New Roman" w:eastAsia="宋体" w:cs="Times New Roman"/>
                                        <w:sz w:val="24"/>
                                        <w:szCs w:val="24"/>
                                        <w:highlight w:val="none"/>
                                        <w:lang w:val="en-US" w:eastAsia="zh-CN"/>
                                      </w:rPr>
                                    </w:pPr>
                                    <w:r>
                                      <w:rPr>
                                        <w:rFonts w:hint="eastAsia" w:ascii="Times New Roman" w:cs="Times New Roman"/>
                                        <w:szCs w:val="21"/>
                                        <w:lang w:val="en-US" w:eastAsia="zh-CN"/>
                                      </w:rPr>
                                      <w:t>4553</w:t>
                                    </w:r>
                                  </w:p>
                                </w:txbxContent>
                              </wps:txbx>
                              <wps:bodyPr upright="1"/>
                            </wps:wsp>
                            <wps:wsp>
                              <wps:cNvPr id="93" name="文本框 93"/>
                              <wps:cNvSpPr txBox="1"/>
                              <wps:spPr>
                                <a:xfrm>
                                  <a:off x="7457" y="978672"/>
                                  <a:ext cx="981" cy="410"/>
                                </a:xfrm>
                                <a:prstGeom prst="rect">
                                  <a:avLst/>
                                </a:prstGeom>
                                <a:noFill/>
                                <a:ln w="6350">
                                  <a:noFill/>
                                </a:ln>
                              </wps:spPr>
                              <wps:txb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4553</w:t>
                                    </w:r>
                                  </w:p>
                                </w:txbxContent>
                              </wps:txbx>
                              <wps:bodyPr upright="1"/>
                            </wps:wsp>
                            <wps:wsp>
                              <wps:cNvPr id="94" name="直接箭头连接符 94"/>
                              <wps:cNvCnPr/>
                              <wps:spPr>
                                <a:xfrm>
                                  <a:off x="3899" y="980317"/>
                                  <a:ext cx="662" cy="1"/>
                                </a:xfrm>
                                <a:prstGeom prst="straightConnector1">
                                  <a:avLst/>
                                </a:prstGeom>
                                <a:ln w="6350" cap="flat" cmpd="sng">
                                  <a:solidFill>
                                    <a:srgbClr val="000000"/>
                                  </a:solidFill>
                                  <a:prstDash val="solid"/>
                                  <a:round/>
                                  <a:headEnd type="none" w="med" len="med"/>
                                  <a:tailEnd type="stealth" w="sm" len="sm"/>
                                </a:ln>
                              </wps:spPr>
                              <wps:bodyPr/>
                            </wps:wsp>
                            <wps:wsp>
                              <wps:cNvPr id="96" name="直接箭头连接符 96"/>
                              <wps:cNvCnPr/>
                              <wps:spPr>
                                <a:xfrm>
                                  <a:off x="5947" y="980313"/>
                                  <a:ext cx="690" cy="1"/>
                                </a:xfrm>
                                <a:prstGeom prst="straightConnector1">
                                  <a:avLst/>
                                </a:prstGeom>
                                <a:ln w="6350" cap="flat" cmpd="sng">
                                  <a:solidFill>
                                    <a:srgbClr val="000000"/>
                                  </a:solidFill>
                                  <a:prstDash val="solid"/>
                                  <a:round/>
                                  <a:headEnd type="none" w="med" len="med"/>
                                  <a:tailEnd type="stealth" w="sm" len="sm"/>
                                </a:ln>
                              </wps:spPr>
                              <wps:bodyPr/>
                            </wps:wsp>
                            <wps:wsp>
                              <wps:cNvPr id="99" name="文本框 99"/>
                              <wps:cNvSpPr txBox="1"/>
                              <wps:spPr>
                                <a:xfrm>
                                  <a:off x="6379" y="982263"/>
                                  <a:ext cx="1068" cy="67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lang w:val="en-US" w:eastAsia="zh-CN"/>
                                      </w:rPr>
                                    </w:pPr>
                                    <w:r>
                                      <w:rPr>
                                        <w:rFonts w:hint="eastAsia" w:ascii="Times New Roman" w:hAnsi="宋体" w:cs="Times New Roman"/>
                                        <w:szCs w:val="21"/>
                                        <w:lang w:val="en-US" w:eastAsia="zh-CN"/>
                                      </w:rPr>
                                      <w:t>污水处理站</w:t>
                                    </w:r>
                                  </w:p>
                                </w:txbxContent>
                              </wps:txbx>
                              <wps:bodyPr upright="1"/>
                            </wps:wsp>
                            <wps:wsp>
                              <wps:cNvPr id="100" name="直接箭头连接符 100"/>
                              <wps:cNvCnPr/>
                              <wps:spPr>
                                <a:xfrm>
                                  <a:off x="5736" y="982653"/>
                                  <a:ext cx="639" cy="6"/>
                                </a:xfrm>
                                <a:prstGeom prst="straightConnector1">
                                  <a:avLst/>
                                </a:prstGeom>
                                <a:ln w="6350" cap="flat" cmpd="sng">
                                  <a:solidFill>
                                    <a:srgbClr val="000000"/>
                                  </a:solidFill>
                                  <a:prstDash val="solid"/>
                                  <a:round/>
                                  <a:headEnd type="none" w="med" len="med"/>
                                  <a:tailEnd type="stealth" w="sm" len="sm"/>
                                </a:ln>
                              </wps:spPr>
                              <wps:bodyPr/>
                            </wps:wsp>
                            <wps:wsp>
                              <wps:cNvPr id="101" name="文本框 101"/>
                              <wps:cNvSpPr txBox="1"/>
                              <wps:spPr>
                                <a:xfrm>
                                  <a:off x="7465" y="982289"/>
                                  <a:ext cx="910" cy="384"/>
                                </a:xfrm>
                                <a:prstGeom prst="rect">
                                  <a:avLst/>
                                </a:prstGeom>
                                <a:noFill/>
                                <a:ln w="6350">
                                  <a:noFill/>
                                </a:ln>
                              </wps:spPr>
                              <wps:txb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864</w:t>
                                    </w:r>
                                  </w:p>
                                </w:txbxContent>
                              </wps:txbx>
                              <wps:bodyPr upright="1"/>
                            </wps:wsp>
                            <wps:wsp>
                              <wps:cNvPr id="6" name="直接箭头连接符 6"/>
                              <wps:cNvCnPr/>
                              <wps:spPr>
                                <a:xfrm>
                                  <a:off x="3904" y="981052"/>
                                  <a:ext cx="661" cy="0"/>
                                </a:xfrm>
                                <a:prstGeom prst="straightConnector1">
                                  <a:avLst/>
                                </a:prstGeom>
                                <a:ln w="6350" cap="flat" cmpd="sng">
                                  <a:solidFill>
                                    <a:srgbClr val="000000"/>
                                  </a:solidFill>
                                  <a:prstDash val="solid"/>
                                  <a:round/>
                                  <a:headEnd type="none" w="med" len="med"/>
                                  <a:tailEnd type="stealth" w="sm" len="sm"/>
                                </a:ln>
                              </wps:spPr>
                              <wps:bodyPr/>
                            </wps:wsp>
                            <wps:wsp>
                              <wps:cNvPr id="7" name="矩形 7"/>
                              <wps:cNvSpPr/>
                              <wps:spPr>
                                <a:xfrm>
                                  <a:off x="4569" y="980834"/>
                                  <a:ext cx="1380" cy="397"/>
                                </a:xfrm>
                                <a:prstGeom prst="rect">
                                  <a:avLst/>
                                </a:prstGeom>
                                <a:noFill/>
                                <a:ln w="6350" cap="flat" cmpd="sng">
                                  <a:solidFill>
                                    <a:srgbClr val="000000"/>
                                  </a:solidFill>
                                  <a:prstDash val="solid"/>
                                  <a:miter/>
                                  <a:headEnd type="none" w="med" len="med"/>
                                  <a:tailEnd type="none" w="med" len="med"/>
                                </a:ln>
                              </wps:spPr>
                              <wps:txbx>
                                <w:txbxContent>
                                  <w:p>
                                    <w:pPr>
                                      <w:widowControl/>
                                      <w:spacing w:line="0" w:lineRule="atLeast"/>
                                      <w:jc w:val="center"/>
                                      <w:rPr>
                                        <w:rFonts w:hint="default" w:hAnsi="宋体" w:eastAsia="宋体"/>
                                        <w:kern w:val="0"/>
                                        <w:sz w:val="24"/>
                                        <w:lang w:val="en-US" w:eastAsia="zh-CN"/>
                                      </w:rPr>
                                    </w:pPr>
                                    <w:r>
                                      <w:rPr>
                                        <w:rFonts w:hint="eastAsia" w:ascii="Times New Roman" w:hAnsi="宋体"/>
                                        <w:szCs w:val="21"/>
                                        <w:lang w:val="en-US" w:eastAsia="zh-CN"/>
                                      </w:rPr>
                                      <w:t>生物质锅炉</w:t>
                                    </w:r>
                                  </w:p>
                                </w:txbxContent>
                              </wps:txbx>
                              <wps:bodyPr upright="1"/>
                            </wps:wsp>
                            <wps:wsp>
                              <wps:cNvPr id="8" name="直接箭头连接符 8"/>
                              <wps:cNvCnPr/>
                              <wps:spPr>
                                <a:xfrm>
                                  <a:off x="5964" y="981049"/>
                                  <a:ext cx="665" cy="6"/>
                                </a:xfrm>
                                <a:prstGeom prst="straightConnector1">
                                  <a:avLst/>
                                </a:prstGeom>
                                <a:ln w="6350" cap="flat" cmpd="sng">
                                  <a:solidFill>
                                    <a:srgbClr val="000000"/>
                                  </a:solidFill>
                                  <a:prstDash val="solid"/>
                                  <a:round/>
                                  <a:headEnd type="none" w="med" len="med"/>
                                  <a:tailEnd type="stealth" w="sm" len="sm"/>
                                </a:ln>
                              </wps:spPr>
                              <wps:bodyPr/>
                            </wps:wsp>
                            <wps:wsp>
                              <wps:cNvPr id="9" name="矩形 9"/>
                              <wps:cNvSpPr/>
                              <wps:spPr>
                                <a:xfrm>
                                  <a:off x="6643" y="980816"/>
                                  <a:ext cx="1248" cy="415"/>
                                </a:xfrm>
                                <a:prstGeom prst="rect">
                                  <a:avLst/>
                                </a:prstGeom>
                                <a:noFill/>
                                <a:ln w="6350" cap="flat" cmpd="sng">
                                  <a:solidFill>
                                    <a:srgbClr val="000000"/>
                                  </a:solidFill>
                                  <a:prstDash val="solid"/>
                                  <a:miter/>
                                  <a:headEnd type="none" w="med" len="med"/>
                                  <a:tailEnd type="none" w="med" len="med"/>
                                </a:ln>
                              </wps:spPr>
                              <wps:txbx>
                                <w:txbxContent>
                                  <w:p>
                                    <w:pPr>
                                      <w:widowControl/>
                                      <w:spacing w:line="0" w:lineRule="atLeast"/>
                                      <w:jc w:val="center"/>
                                      <w:rPr>
                                        <w:rFonts w:hint="eastAsia" w:hAnsi="宋体" w:eastAsia="宋体"/>
                                        <w:kern w:val="0"/>
                                        <w:sz w:val="24"/>
                                        <w:lang w:eastAsia="zh-CN"/>
                                      </w:rPr>
                                    </w:pPr>
                                    <w:r>
                                      <w:rPr>
                                        <w:rFonts w:hint="eastAsia" w:ascii="Times New Roman" w:hAnsi="宋体"/>
                                        <w:szCs w:val="21"/>
                                        <w:lang w:val="en-US" w:eastAsia="zh-CN"/>
                                      </w:rPr>
                                      <w:t>泥浆罐</w:t>
                                    </w:r>
                                  </w:p>
                                </w:txbxContent>
                              </wps:txbx>
                              <wps:bodyPr upright="1"/>
                            </wps:wsp>
                            <wps:wsp>
                              <wps:cNvPr id="10" name="直接箭头连接符 10"/>
                              <wps:cNvCnPr/>
                              <wps:spPr>
                                <a:xfrm flipV="1">
                                  <a:off x="7094" y="980645"/>
                                  <a:ext cx="308" cy="183"/>
                                </a:xfrm>
                                <a:prstGeom prst="straightConnector1">
                                  <a:avLst/>
                                </a:prstGeom>
                                <a:ln w="6350" cap="flat" cmpd="sng">
                                  <a:solidFill>
                                    <a:srgbClr val="000000"/>
                                  </a:solidFill>
                                  <a:prstDash val="dashDot"/>
                                  <a:round/>
                                  <a:headEnd type="none" w="med" len="med"/>
                                  <a:tailEnd type="stealth" w="sm" len="sm"/>
                                </a:ln>
                              </wps:spPr>
                              <wps:bodyPr/>
                            </wps:wsp>
                            <wps:wsp>
                              <wps:cNvPr id="104" name="文本框 104"/>
                              <wps:cNvSpPr txBox="1"/>
                              <wps:spPr>
                                <a:xfrm>
                                  <a:off x="7336" y="980471"/>
                                  <a:ext cx="694" cy="366"/>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432</w:t>
                                    </w:r>
                                  </w:p>
                                </w:txbxContent>
                              </wps:txbx>
                              <wps:bodyPr upright="1"/>
                            </wps:wsp>
                            <wps:wsp>
                              <wps:cNvPr id="105" name="直接箭头连接符 105"/>
                              <wps:cNvCnPr/>
                              <wps:spPr>
                                <a:xfrm flipH="1">
                                  <a:off x="7277" y="981236"/>
                                  <a:ext cx="0" cy="344"/>
                                </a:xfrm>
                                <a:prstGeom prst="straightConnector1">
                                  <a:avLst/>
                                </a:prstGeom>
                                <a:ln w="6350" cap="flat" cmpd="sng">
                                  <a:solidFill>
                                    <a:srgbClr val="000000"/>
                                  </a:solidFill>
                                  <a:prstDash val="dash"/>
                                  <a:round/>
                                  <a:headEnd type="none" w="med" len="med"/>
                                  <a:tailEnd type="none" w="sm" len="sm"/>
                                </a:ln>
                              </wps:spPr>
                              <wps:bodyPr/>
                            </wps:wsp>
                            <wps:wsp>
                              <wps:cNvPr id="107" name="直接箭头连接符 107"/>
                              <wps:cNvCnPr/>
                              <wps:spPr>
                                <a:xfrm>
                                  <a:off x="5218" y="981574"/>
                                  <a:ext cx="2074" cy="0"/>
                                </a:xfrm>
                                <a:prstGeom prst="straightConnector1">
                                  <a:avLst/>
                                </a:prstGeom>
                                <a:ln w="6350" cap="flat" cmpd="sng">
                                  <a:solidFill>
                                    <a:srgbClr val="000000"/>
                                  </a:solidFill>
                                  <a:prstDash val="dash"/>
                                  <a:round/>
                                  <a:headEnd type="none" w="med" len="med"/>
                                  <a:tailEnd type="none" w="sm" len="sm"/>
                                </a:ln>
                              </wps:spPr>
                              <wps:bodyPr/>
                            </wps:wsp>
                            <wps:wsp>
                              <wps:cNvPr id="108" name="文本框 108"/>
                              <wps:cNvSpPr txBox="1"/>
                              <wps:spPr>
                                <a:xfrm>
                                  <a:off x="3883" y="980707"/>
                                  <a:ext cx="761" cy="388"/>
                                </a:xfrm>
                                <a:prstGeom prst="rect">
                                  <a:avLst/>
                                </a:prstGeom>
                                <a:noFill/>
                                <a:ln w="6350">
                                  <a:noFill/>
                                </a:ln>
                              </wps:spPr>
                              <wps:txbx>
                                <w:txbxContent>
                                  <w:p>
                                    <w:pPr>
                                      <w:widowControl/>
                                      <w:rPr>
                                        <w:rFonts w:hint="eastAsia" w:ascii="Times New Roman" w:hAnsi="Times New Roman" w:eastAsia="宋体" w:cs="Times New Roman"/>
                                        <w:szCs w:val="21"/>
                                        <w:lang w:val="en-US" w:eastAsia="zh-CN"/>
                                      </w:rPr>
                                    </w:pPr>
                                    <w:r>
                                      <w:rPr>
                                        <w:rFonts w:hint="eastAsia" w:ascii="Times New Roman" w:cs="Times New Roman"/>
                                        <w:szCs w:val="21"/>
                                        <w:lang w:val="en-US" w:eastAsia="zh-CN"/>
                                      </w:rPr>
                                      <w:t>480</w:t>
                                    </w:r>
                                  </w:p>
                                </w:txbxContent>
                              </wps:txbx>
                              <wps:bodyPr upright="1"/>
                            </wps:wsp>
                            <wps:wsp>
                              <wps:cNvPr id="109" name="直接箭头连接符 109"/>
                              <wps:cNvCnPr/>
                              <wps:spPr>
                                <a:xfrm>
                                  <a:off x="4927" y="981231"/>
                                  <a:ext cx="0" cy="558"/>
                                </a:xfrm>
                                <a:prstGeom prst="straightConnector1">
                                  <a:avLst/>
                                </a:prstGeom>
                                <a:ln w="6350" cap="flat" cmpd="sng">
                                  <a:solidFill>
                                    <a:srgbClr val="000000"/>
                                  </a:solidFill>
                                  <a:prstDash val="solid"/>
                                  <a:round/>
                                  <a:headEnd type="none" w="med" len="med"/>
                                  <a:tailEnd type="stealth" w="sm" len="sm"/>
                                </a:ln>
                              </wps:spPr>
                              <wps:bodyPr/>
                            </wps:wsp>
                            <wps:wsp>
                              <wps:cNvPr id="110" name="文本框 110"/>
                              <wps:cNvSpPr txBox="1"/>
                              <wps:spPr>
                                <a:xfrm>
                                  <a:off x="3973" y="981683"/>
                                  <a:ext cx="2480" cy="414"/>
                                </a:xfrm>
                                <a:prstGeom prst="rect">
                                  <a:avLst/>
                                </a:prstGeom>
                                <a:noFill/>
                                <a:ln w="6350">
                                  <a:noFill/>
                                </a:ln>
                              </wps:spPr>
                              <wps:txbx>
                                <w:txbxContent>
                                  <w:p>
                                    <w:pPr>
                                      <w:keepNext w:val="0"/>
                                      <w:keepLines w:val="0"/>
                                      <w:pageBreakBefore w:val="0"/>
                                      <w:widowControl w:val="0"/>
                                      <w:kinsoku/>
                                      <w:wordWrap/>
                                      <w:overflowPunct/>
                                      <w:topLinePunct w:val="0"/>
                                      <w:bidi w:val="0"/>
                                      <w:adjustRightInd/>
                                      <w:snapToGrid/>
                                      <w:spacing w:before="0"/>
                                      <w:jc w:val="center"/>
                                      <w:textAlignment w:val="auto"/>
                                      <w:rPr>
                                        <w:rFonts w:hint="eastAsia"/>
                                      </w:rPr>
                                    </w:pPr>
                                    <w:r>
                                      <w:rPr>
                                        <w:rFonts w:hint="eastAsia"/>
                                        <w:lang w:val="en-US" w:eastAsia="zh-CN"/>
                                      </w:rPr>
                                      <w:t>井场周边洒水抑尘。</w:t>
                                    </w:r>
                                  </w:p>
                                </w:txbxContent>
                              </wps:txbx>
                              <wps:bodyPr upright="1"/>
                            </wps:wsp>
                            <wps:wsp>
                              <wps:cNvPr id="119" name="文本框 119"/>
                              <wps:cNvSpPr txBox="1"/>
                              <wps:spPr>
                                <a:xfrm>
                                  <a:off x="4374" y="981290"/>
                                  <a:ext cx="580" cy="389"/>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48</w:t>
                                    </w:r>
                                  </w:p>
                                </w:txbxContent>
                              </wps:txbx>
                              <wps:bodyPr upright="1"/>
                            </wps:wsp>
                            <wps:wsp>
                              <wps:cNvPr id="120" name="文本框 120"/>
                              <wps:cNvSpPr txBox="1"/>
                              <wps:spPr>
                                <a:xfrm>
                                  <a:off x="5891" y="980681"/>
                                  <a:ext cx="833" cy="405"/>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5232</w:t>
                                    </w:r>
                                  </w:p>
                                </w:txbxContent>
                              </wps:txbx>
                              <wps:bodyPr upright="1"/>
                            </wps:wsp>
                            <wps:wsp>
                              <wps:cNvPr id="121" name="文本框 121"/>
                              <wps:cNvSpPr txBox="1"/>
                              <wps:spPr>
                                <a:xfrm>
                                  <a:off x="5880" y="981228"/>
                                  <a:ext cx="812" cy="391"/>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4800</w:t>
                                    </w:r>
                                  </w:p>
                                </w:txbxContent>
                              </wps:txbx>
                              <wps:bodyPr upright="1"/>
                            </wps:wsp>
                            <wps:wsp>
                              <wps:cNvPr id="21" name="直接箭头连接符 11"/>
                              <wps:cNvCnPr/>
                              <wps:spPr>
                                <a:xfrm flipH="1">
                                  <a:off x="9301" y="979238"/>
                                  <a:ext cx="0" cy="344"/>
                                </a:xfrm>
                                <a:prstGeom prst="straightConnector1">
                                  <a:avLst/>
                                </a:prstGeom>
                                <a:ln w="6350" cap="flat" cmpd="sng">
                                  <a:solidFill>
                                    <a:srgbClr val="000000"/>
                                  </a:solidFill>
                                  <a:prstDash val="solid"/>
                                  <a:round/>
                                  <a:headEnd type="none" w="med" len="med"/>
                                  <a:tailEnd type="none" w="sm" len="sm"/>
                                </a:ln>
                              </wps:spPr>
                              <wps:bodyPr/>
                            </wps:wsp>
                            <wps:wsp>
                              <wps:cNvPr id="22" name="直接箭头连接符 12"/>
                              <wps:cNvCnPr/>
                              <wps:spPr>
                                <a:xfrm>
                                  <a:off x="5283" y="979575"/>
                                  <a:ext cx="4024" cy="0"/>
                                </a:xfrm>
                                <a:prstGeom prst="straightConnector1">
                                  <a:avLst/>
                                </a:prstGeom>
                                <a:ln w="6350" cap="flat" cmpd="sng">
                                  <a:solidFill>
                                    <a:srgbClr val="000000"/>
                                  </a:solidFill>
                                  <a:prstDash val="solid"/>
                                  <a:round/>
                                  <a:headEnd type="none" w="med" len="med"/>
                                  <a:tailEnd type="none" w="sm" len="sm"/>
                                </a:ln>
                              </wps:spPr>
                              <wps:bodyPr/>
                            </wps:wsp>
                            <wps:wsp>
                              <wps:cNvPr id="23" name="直接箭头连接符 23"/>
                              <wps:cNvCnPr/>
                              <wps:spPr>
                                <a:xfrm flipH="1">
                                  <a:off x="5274" y="979245"/>
                                  <a:ext cx="0" cy="344"/>
                                </a:xfrm>
                                <a:prstGeom prst="straightConnector1">
                                  <a:avLst/>
                                </a:prstGeom>
                                <a:ln w="6350" cap="flat" cmpd="sng">
                                  <a:solidFill>
                                    <a:srgbClr val="000000"/>
                                  </a:solidFill>
                                  <a:prstDash val="solid"/>
                                  <a:round/>
                                  <a:headEnd type="triangle" w="med" len="med"/>
                                  <a:tailEnd type="none" w="sm" len="sm"/>
                                </a:ln>
                              </wps:spPr>
                              <wps:bodyPr/>
                            </wps:wsp>
                            <wps:wsp>
                              <wps:cNvPr id="24" name="文本框 24"/>
                              <wps:cNvSpPr txBox="1"/>
                              <wps:spPr>
                                <a:xfrm>
                                  <a:off x="5780" y="979260"/>
                                  <a:ext cx="981" cy="367"/>
                                </a:xfrm>
                                <a:prstGeom prst="rect">
                                  <a:avLst/>
                                </a:prstGeom>
                                <a:noFill/>
                                <a:ln w="6350">
                                  <a:noFill/>
                                </a:ln>
                              </wps:spPr>
                              <wps:txb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4553</w:t>
                                    </w:r>
                                  </w:p>
                                </w:txbxContent>
                              </wps:txbx>
                              <wps:bodyPr upright="1"/>
                            </wps:wsp>
                            <wps:wsp>
                              <wps:cNvPr id="30" name="直接箭头连接符 30"/>
                              <wps:cNvCnPr/>
                              <wps:spPr>
                                <a:xfrm flipV="1">
                                  <a:off x="4927" y="982269"/>
                                  <a:ext cx="309" cy="184"/>
                                </a:xfrm>
                                <a:prstGeom prst="straightConnector1">
                                  <a:avLst/>
                                </a:prstGeom>
                                <a:ln w="6350" cap="flat" cmpd="sng">
                                  <a:solidFill>
                                    <a:srgbClr val="000000"/>
                                  </a:solidFill>
                                  <a:prstDash val="dashDot"/>
                                  <a:round/>
                                  <a:headEnd type="none" w="med" len="med"/>
                                  <a:tailEnd type="stealth" w="sm" len="sm"/>
                                </a:ln>
                              </wps:spPr>
                              <wps:bodyPr/>
                            </wps:wsp>
                          </wpg:wgp>
                        </a:graphicData>
                      </a:graphic>
                    </wp:anchor>
                  </w:drawing>
                </mc:Choice>
                <mc:Fallback>
                  <w:pict>
                    <v:group id="_x0000_s1026" o:spid="_x0000_s1026" o:spt="203" style="position:absolute;left:0pt;margin-left:13.7pt;margin-top:0.85pt;height:229.7pt;width:390.45pt;mso-wrap-distance-bottom:0pt;mso-wrap-distance-top:0pt;z-index:251669504;mso-width-relative:page;mso-height-relative:page;" coordorigin="2578,978348" coordsize="7809,4594" o:gfxdata="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">
                      <o:lock v:ext="edit" aspectratio="f"/>
                      <v:shape id="_x0000_s1026" o:spid="_x0000_s1026" o:spt="202" type="#_x0000_t202" style="position:absolute;left:2578;top:980058;height:414;width:963;"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widowControl/>
                                <w:jc w:val="center"/>
                                <w:rPr>
                                  <w:rFonts w:hAnsi="宋体"/>
                                  <w:kern w:val="0"/>
                                  <w:sz w:val="24"/>
                                </w:rPr>
                              </w:pPr>
                              <w:r>
                                <w:rPr>
                                  <w:rFonts w:hint="eastAsia" w:ascii="Times New Roman" w:hAnsi="宋体"/>
                                  <w:szCs w:val="21"/>
                                </w:rPr>
                                <w:t>新鲜水</w:t>
                              </w:r>
                            </w:p>
                          </w:txbxContent>
                        </v:textbox>
                      </v:shape>
                      <v:rect id="_x0000_s1026" o:spid="_x0000_s1026" o:spt="1" style="position:absolute;left:8149;top:982382;height:469;width:2200;" filled="f" stroked="f" coordsize="21600,21600" o:gfxdata="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oDcp&#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jc w:val="center"/>
                                <w:rPr>
                                  <w:rFonts w:hint="default" w:hAnsi="宋体" w:cs="宋体"/>
                                  <w:szCs w:val="21"/>
                                  <w:lang w:val="en-US" w:eastAsia="zh-CN"/>
                                </w:rPr>
                              </w:pPr>
                              <w:r>
                                <w:rPr>
                                  <w:rFonts w:hint="eastAsia" w:hAnsi="宋体" w:cs="宋体"/>
                                  <w:szCs w:val="21"/>
                                  <w:lang w:val="en-US" w:eastAsia="zh-CN"/>
                                </w:rPr>
                                <w:t>用于荒漠生态恢复</w:t>
                              </w:r>
                            </w:p>
                          </w:txbxContent>
                        </v:textbox>
                      </v:rect>
                      <v:shape id="_x0000_s1026" o:spid="_x0000_s1026" o:spt="32" type="#_x0000_t32" style="position:absolute;left:3430;top:980330;height:2;width:461;" filled="f" stroked="t" coordsize="21600,21600" o:gfxdata="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KhjJi/&#10;AAAA2wAAAA8AAAAAAAAAAQAgAAAAIgAAAGRycy9kb3ducmV2LnhtbFBLAQIUABQAAAAIAIdO4kAz&#10;LwWeOwAAADkAAAAQAAAAAAAAAAEAIAAAAA4BAABkcnMvc2hhcGV4bWwueG1sUEsFBgAAAAAGAAYA&#10;WwEAALgDAAAAAA==&#10;">
                        <v:fill on="f" focussize="0,0"/>
                        <v:stroke weight="0.5pt" color="#000000" joinstyle="round" endarrow="classic" endarrowwidth="narrow" endarrowlength="short"/>
                        <v:imagedata o:title=""/>
                        <o:lock v:ext="edit" aspectratio="f"/>
                      </v:shape>
                      <v:rect id="矩形 73" o:spid="_x0000_s1026" o:spt="1" style="position:absolute;left:4468;top:982435;height:398;width:1250;" filled="f" stroked="t" coordsize="21600,21600" o:gfxdata="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I6lC5AAAA2wAA&#10;AA8AAAAAAAAAAQAgAAAAIgAAAGRycy9kb3ducmV2LnhtbFBLAQIUABQAAAAIAIdO4kAzLwWeOwAA&#10;ADkAAAAQAAAAAAAAAAEAIAAAAAgBAABkcnMvc2hhcGV4bWwueG1sUEsFBgAAAAAGAAYAWwEAALID&#10;AAAAAA==&#10;">
                        <v:fill on="f" focussize="0,0"/>
                        <v:stroke weight="0.5pt" color="#000000" joinstyle="miter"/>
                        <v:imagedata o:title=""/>
                        <o:lock v:ext="edit" aspectratio="f"/>
                        <v:textbox>
                          <w:txbxContent>
                            <w:p>
                              <w:pPr>
                                <w:widowControl/>
                                <w:spacing w:line="0" w:lineRule="atLeast"/>
                                <w:jc w:val="center"/>
                                <w:rPr>
                                  <w:rFonts w:hAnsi="宋体"/>
                                  <w:kern w:val="0"/>
                                  <w:sz w:val="24"/>
                                </w:rPr>
                              </w:pPr>
                              <w:r>
                                <w:rPr>
                                  <w:rFonts w:hint="eastAsia" w:ascii="Times New Roman" w:hAnsi="宋体"/>
                                  <w:szCs w:val="21"/>
                                </w:rPr>
                                <w:t>生活用水</w:t>
                              </w:r>
                            </w:p>
                          </w:txbxContent>
                        </v:textbox>
                      </v:rect>
                      <v:shape id="_x0000_s1026" o:spid="_x0000_s1026" o:spt="202" type="#_x0000_t202" style="position:absolute;left:3844;top:982332;height:374;width:760;" filled="f" stroked="f" coordsize="21600,21600" o:gfxdata="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CqI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hAnsi="宋体" w:eastAsia="宋体"/>
                                  <w:kern w:val="0"/>
                                  <w:sz w:val="24"/>
                                  <w:lang w:val="en-US" w:eastAsia="zh-CN"/>
                                </w:rPr>
                              </w:pPr>
                              <w:r>
                                <w:rPr>
                                  <w:rFonts w:hint="eastAsia" w:ascii="Times New Roman"/>
                                  <w:szCs w:val="21"/>
                                  <w:lang w:val="en-US" w:eastAsia="zh-CN"/>
                                </w:rPr>
                                <w:t>1080</w:t>
                              </w:r>
                            </w:p>
                          </w:txbxContent>
                        </v:textbox>
                      </v:shape>
                      <v:shape id="_x0000_s1026" o:spid="_x0000_s1026" o:spt="32" type="#_x0000_t32" style="position:absolute;left:7456;top:982640;height:6;width:923;" filled="f" stroked="t" coordsize="21600,21600" o:gfxdata="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gU7L4A&#10;AADbAAAADwAAAAAAAAABACAAAAAiAAAAZHJzL2Rvd25yZXYueG1sUEsBAhQAFAAAAAgAh07iQDMv&#10;BZ47AAAAOQAAABAAAAAAAAAAAQAgAAAADQEAAGRycy9zaGFwZXhtbC54bWxQSwUGAAAAAAYABgBb&#10;AQAAtwMAAAAA&#10;">
                        <v:fill on="f" focussize="0,0"/>
                        <v:stroke weight="0.5pt" color="#000000" joinstyle="round" endarrow="classic" endarrowwidth="narrow" endarrowlength="short"/>
                        <v:imagedata o:title=""/>
                        <o:lock v:ext="edit" aspectratio="f"/>
                      </v:shape>
                      <v:shape id="_x0000_s1026" o:spid="_x0000_s1026" o:spt="202" type="#_x0000_t202" style="position:absolute;left:5696;top:982332;height:355;width:632;" filled="f" stroked="f" coordsize="21600,21600" o:gfxdata="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ek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864</w:t>
                              </w:r>
                            </w:p>
                          </w:txbxContent>
                        </v:textbox>
                      </v:shape>
                      <v:shape id="_x0000_s1026" o:spid="_x0000_s1026" o:spt="202" type="#_x0000_t202" style="position:absolute;left:3257;top:979973;height:398;width:83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i w:val="0"/>
                                  <w:iCs w:val="0"/>
                                  <w:color w:val="000000"/>
                                  <w:kern w:val="0"/>
                                  <w:sz w:val="21"/>
                                  <w:szCs w:val="21"/>
                                  <w:u w:val="none"/>
                                  <w:lang w:val="en-US" w:eastAsia="zh-CN" w:bidi="ar"/>
                                </w:rPr>
                                <w:t>3000</w:t>
                              </w:r>
                            </w:p>
                          </w:txbxContent>
                        </v:textbox>
                      </v:shape>
                      <v:shape id="_x0000_s1026" o:spid="_x0000_s1026" o:spt="32" type="#_x0000_t32" style="position:absolute;left:3888;top:982665;height:0;width:598;" filled="f" stroked="t" coordsize="21600,21600" o:gfxdata="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Ju3K8AAAA&#10;2wAAAA8AAAAAAAAAAQAgAAAAIgAAAGRycy9kb3ducmV2LnhtbFBLAQIUABQAAAAIAIdO4kAzLwWe&#10;OwAAADkAAAAQAAAAAAAAAAEAIAAAAAsBAABkcnMvc2hhcGV4bWwueG1sUEsFBgAAAAAGAAYAWwEA&#10;ALUDAAAAAA==&#10;">
                        <v:fill on="f" focussize="0,0"/>
                        <v:stroke weight="0.5pt" color="#000000" joinstyle="round" endarrow="classic" endarrowwidth="narrow" endarrowlength="short"/>
                        <v:imagedata o:title=""/>
                        <o:lock v:ext="edit" aspectratio="f"/>
                      </v:shape>
                      <v:shape id="_x0000_s1026" o:spid="_x0000_s1026" o:spt="202" type="#_x0000_t202" style="position:absolute;left:5100;top:982042;height:378;width:765;" filled="f" stroked="f" coordsize="21600,21600" o:gfxdata="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8EFv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216</w:t>
                              </w:r>
                            </w:p>
                          </w:txbxContent>
                        </v:textbox>
                      </v:shape>
                      <v:shape id="_x0000_s1026" o:spid="_x0000_s1026" o:spt="32" type="#_x0000_t32" style="position:absolute;left:5238;top:981232;flip:x y;height:344;width:0;" filled="f" stroked="t" coordsize="21600,21600" o:gfxdata="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M2h25AAAA2wAA&#10;AA8AAAAAAAAAAQAgAAAAIgAAAGRycy9kb3ducmV2LnhtbFBLAQIUABQAAAAIAIdO4kAzLwWeOwAA&#10;ADkAAAAQAAAAAAAAAAEAIAAAAAgBAABkcnMvc2hhcGV4bWwueG1sUEsFBgAAAAAGAAYAWwEAALID&#10;AAAAAA==&#10;">
                        <v:fill on="f" focussize="0,0"/>
                        <v:stroke weight="0.5pt" color="#000000" joinstyle="round" dashstyle="dashDot" endarrow="classic" endarrowwidth="narrow" endarrowlength="short"/>
                        <v:imagedata o:title=""/>
                        <o:lock v:ext="edit" aspectratio="f"/>
                      </v:shape>
                      <v:shape id="_x0000_s1026" o:spid="_x0000_s1026" o:spt="32" type="#_x0000_t32" style="position:absolute;left:3884;top:979079;height:3571;width:0;" filled="f" stroked="t" coordsize="21600,21600" o:gfxdata="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u4Sd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shape>
                      <v:shape id="_x0000_s1026" o:spid="_x0000_s1026" o:spt="32" type="#_x0000_t32" style="position:absolute;left:3907;top:979083;height:1;width:598;" filled="f" stroked="t" coordsize="21600,21600" o:gfxdata="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0/L+/&#10;AAAA2wAAAA8AAAAAAAAAAQAgAAAAIgAAAGRycy9kb3ducmV2LnhtbFBLAQIUABQAAAAIAIdO4kAz&#10;LwWeOwAAADkAAAAQAAAAAAAAAAEAIAAAAA4BAABkcnMvc2hhcGV4bWwueG1sUEsFBgAAAAAGAAYA&#10;WwEAALgDAAAAAA==&#10;">
                        <v:fill on="f" focussize="0,0"/>
                        <v:stroke weight="0.5pt" color="#000000" joinstyle="round" endarrow="classic" endarrowwidth="narrow" endarrowlength="short"/>
                        <v:imagedata o:title=""/>
                        <o:lock v:ext="edit" aspectratio="f"/>
                      </v:shape>
                      <v:rect id="_x0000_s1026" o:spid="_x0000_s1026" o:spt="1" style="position:absolute;left:4527;top:978856;height:392;width:1356;" filled="f" stroked="t" coordsize="21600,21600" o:gfxdata="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8Kx28AAAA&#10;2w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textbox>
                          <w:txbxContent>
                            <w:p>
                              <w:pPr>
                                <w:widowControl/>
                                <w:jc w:val="center"/>
                                <w:rPr>
                                  <w:rFonts w:hAnsi="宋体"/>
                                  <w:kern w:val="0"/>
                                  <w:sz w:val="24"/>
                                </w:rPr>
                              </w:pPr>
                              <w:r>
                                <w:rPr>
                                  <w:rFonts w:hint="eastAsia" w:ascii="Times New Roman" w:hAnsi="宋体"/>
                                  <w:szCs w:val="21"/>
                                </w:rPr>
                                <w:t>钻井用水</w:t>
                              </w:r>
                            </w:p>
                          </w:txbxContent>
                        </v:textbox>
                      </v:rect>
                      <v:shape id="_x0000_s1026" o:spid="_x0000_s1026" o:spt="202" type="#_x0000_t202" style="position:absolute;left:3801;top:978642;height:466;width:815;" filled="f" stroked="f" coordsize="21600,21600" o:gfxdata="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V2g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240</w:t>
                              </w:r>
                            </w:p>
                          </w:txbxContent>
                        </v:textbox>
                      </v:shape>
                      <v:shape id="_x0000_s1026" o:spid="_x0000_s1026" o:spt="32" type="#_x0000_t32" style="position:absolute;left:5892;top:979099;flip:y;height:2;width:691;" filled="f" stroked="t" coordsize="21600,21600" o:gfxdata="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5kCq8AAAA&#10;2wAAAA8AAAAAAAAAAQAgAAAAIgAAAGRycy9kb3ducmV2LnhtbFBLAQIUABQAAAAIAIdO4kAzLwWe&#10;OwAAADkAAAAQAAAAAAAAAAEAIAAAAAsBAABkcnMvc2hhcGV4bWwueG1sUEsFBgAAAAAGAAYAWwEA&#10;ALUDAAAAAA==&#10;">
                        <v:fill on="f" focussize="0,0"/>
                        <v:stroke weight="0.5pt" color="#000000" joinstyle="round" endarrow="classic" endarrowwidth="narrow" endarrowlength="short"/>
                        <v:imagedata o:title=""/>
                        <o:lock v:ext="edit" aspectratio="f"/>
                      </v:shape>
                      <v:rect id="_x0000_s1026" o:spid="_x0000_s1026" o:spt="1" style="position:absolute;left:6572;top:978687;height:661;width:1031;" filled="f" stroked="t" coordsize="21600,21600" o:gfxdata="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i4iFugAAANsA&#10;AAAPAAAAAAAAAAEAIAAAACIAAABkcnMvZG93bnJldi54bWxQSwECFAAUAAAACACHTuJAMy8FnjsA&#10;AAA5AAAAEAAAAAAAAAABACAAAAAJAQAAZHJzL3NoYXBleG1sLnhtbFBLBQYAAAAABgAGAFsBAACz&#10;AwAAAAA=&#10;">
                        <v:fill on="f" focussize="0,0"/>
                        <v:stroke weight="0.5pt" color="#000000" joinstyle="miter"/>
                        <v:imagedata o:title=""/>
                        <o:lock v:ext="edit" aspectratio="f"/>
                        <v:textbox>
                          <w:txbxContent>
                            <w:p>
                              <w:pPr>
                                <w:widowControl/>
                                <w:adjustRightInd w:val="0"/>
                                <w:snapToGrid w:val="0"/>
                                <w:jc w:val="center"/>
                                <w:rPr>
                                  <w:rFonts w:hAnsi="宋体"/>
                                  <w:kern w:val="0"/>
                                  <w:sz w:val="24"/>
                                </w:rPr>
                              </w:pPr>
                              <w:r>
                                <w:rPr>
                                  <w:rFonts w:hint="eastAsia" w:hAnsi="宋体" w:cs="宋体"/>
                                  <w:szCs w:val="21"/>
                                </w:rPr>
                                <w:t>不落地系统</w:t>
                              </w:r>
                            </w:p>
                          </w:txbxContent>
                        </v:textbox>
                      </v:rect>
                      <v:shape id="_x0000_s1026" o:spid="_x0000_s1026" o:spt="202" type="#_x0000_t202" style="position:absolute;left:8276;top:978797;height:442;width:2111;" filled="f" stroked="t" coordsize="21600,21600" o:gfxdata="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qkmD2/&#10;AAAA2wAAAA8AAAAAAAAAAQAgAAAAIgAAAGRycy9kb3ducmV2LnhtbFBLAQIUABQAAAAIAIdO4kAz&#10;LwWeOwAAADkAAAAQAAAAAAAAAAEAIAAAAA4BAABkcnMvc2hhcGV4bWwueG1sUEsFBgAAAAAGAAYA&#10;WwEAALgDAAAAAA==&#10;">
                        <v:fill on="f" focussize="0,0"/>
                        <v:stroke weight="0.5pt" color="#000000" joinstyle="miter"/>
                        <v:imagedata o:title=""/>
                        <o:lock v:ext="edit" aspectratio="f"/>
                        <v:textbox>
                          <w:txbxContent>
                            <w:p>
                              <w:pPr>
                                <w:widowControl/>
                                <w:rPr>
                                  <w:rFonts w:hAnsi="宋体"/>
                                  <w:kern w:val="0"/>
                                  <w:sz w:val="24"/>
                                  <w:szCs w:val="20"/>
                                </w:rPr>
                              </w:pPr>
                              <w:r>
                                <w:rPr>
                                  <w:rFonts w:hint="eastAsia" w:ascii="Times New Roman" w:hAnsi="宋体"/>
                                  <w:szCs w:val="21"/>
                                </w:rPr>
                                <w:t>回用于钻井液配制</w:t>
                              </w:r>
                            </w:p>
                          </w:txbxContent>
                        </v:textbox>
                      </v:shape>
                      <v:shape id="_x0000_s1026" o:spid="_x0000_s1026" o:spt="32" type="#_x0000_t32" style="position:absolute;left:7660;top:979066;height:0;width:608;" filled="f" stroked="t" coordsize="21600,21600" o:gfxdata="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pzLVbsAAADb&#10;AAAADwAAAAAAAAABACAAAAAiAAAAZHJzL2Rvd25yZXYueG1sUEsBAhQAFAAAAAgAh07iQDMvBZ47&#10;AAAAOQAAABAAAAAAAAAAAQAgAAAACgEAAGRycy9zaGFwZXhtbC54bWxQSwUGAAAAAAYABgBbAQAA&#10;tAMAAAAA&#10;">
                        <v:fill on="f" focussize="0,0"/>
                        <v:stroke weight="0.5pt" color="#000000" joinstyle="round" endarrow="classic" endarrowwidth="narrow" endarrowlength="short"/>
                        <v:imagedata o:title=""/>
                        <o:lock v:ext="edit" aspectratio="f"/>
                      </v:shape>
                      <v:shape id="_x0000_s1026" o:spid="_x0000_s1026" o:spt="32" type="#_x0000_t32" style="position:absolute;left:5091;top:978635;flip:y;height:183;width:308;" filled="f" stroked="t" coordsize="21600,21600" o:gfxdata="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P5jAG5AAAA2wAA&#10;AA8AAAAAAAAAAQAgAAAAIgAAAGRycy9kb3ducmV2LnhtbFBLAQIUABQAAAAIAIdO4kAzLwWeOwAA&#10;ADkAAAAQAAAAAAAAAAEAIAAAAAgBAABkcnMvc2hhcGV4bWwueG1sUEsFBgAAAAAGAAYAWwEAALID&#10;AAAAAA==&#10;">
                        <v:fill on="f" focussize="0,0"/>
                        <v:stroke weight="0.5pt" color="#000000" joinstyle="round" dashstyle="dashDot" endarrow="classic" endarrowwidth="narrow" endarrowlength="short"/>
                        <v:imagedata o:title=""/>
                        <o:lock v:ext="edit" aspectratio="f"/>
                      </v:shape>
                      <v:shape id="_x0000_s1026" o:spid="_x0000_s1026" o:spt="202" type="#_x0000_t202" style="position:absolute;left:5245;top:978348;height:420;width:671;" filled="f" stroked="f" coordsize="21600,21600" o:gfxdata="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770G/&#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240</w:t>
                              </w:r>
                            </w:p>
                          </w:txbxContent>
                        </v:textbox>
                      </v:shape>
                      <v:shape id="_x0000_s1026" o:spid="_x0000_s1026" o:spt="202" type="#_x0000_t202" style="position:absolute;left:5777;top:978729;height:362;width:889;" filled="f" stroked="f" coordsize="21600,21600" o:gfxdata="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pcTa/&#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jc w:val="center"/>
                                <w:rPr>
                                  <w:rFonts w:hint="default" w:ascii="Times New Roman" w:hAnsi="Times New Roman" w:eastAsia="宋体" w:cs="Times New Roman"/>
                                  <w:sz w:val="24"/>
                                  <w:szCs w:val="24"/>
                                  <w:highlight w:val="none"/>
                                  <w:lang w:val="en-US" w:eastAsia="zh-CN"/>
                                </w:rPr>
                              </w:pPr>
                              <w:r>
                                <w:rPr>
                                  <w:rFonts w:hint="eastAsia" w:ascii="Times New Roman" w:cs="Times New Roman"/>
                                  <w:szCs w:val="21"/>
                                  <w:lang w:val="en-US" w:eastAsia="zh-CN"/>
                                </w:rPr>
                                <w:t>4553</w:t>
                              </w:r>
                            </w:p>
                          </w:txbxContent>
                        </v:textbox>
                      </v:shape>
                      <v:shape id="_x0000_s1026" o:spid="_x0000_s1026" o:spt="202" type="#_x0000_t202" style="position:absolute;left:7457;top:978672;height:410;width:981;" filled="f" stroked="f" coordsize="21600,21600" o:gfxdata="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XUr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4553</w:t>
                              </w:r>
                            </w:p>
                          </w:txbxContent>
                        </v:textbox>
                      </v:shape>
                      <v:shape id="_x0000_s1026" o:spid="_x0000_s1026" o:spt="32" type="#_x0000_t32" style="position:absolute;left:3899;top:980317;height:1;width:662;" filled="f" stroked="t" coordsize="21600,21600" o:gfxdata="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ghXjb4A&#10;AADbAAAADwAAAAAAAAABACAAAAAiAAAAZHJzL2Rvd25yZXYueG1sUEsBAhQAFAAAAAgAh07iQDMv&#10;BZ47AAAAOQAAABAAAAAAAAAAAQAgAAAADQEAAGRycy9zaGFwZXhtbC54bWxQSwUGAAAAAAYABgBb&#10;AQAAtwMAAAAA&#10;">
                        <v:fill on="f" focussize="0,0"/>
                        <v:stroke weight="0.5pt" color="#000000" joinstyle="round" endarrow="classic" endarrowwidth="narrow" endarrowlength="short"/>
                        <v:imagedata o:title=""/>
                        <o:lock v:ext="edit" aspectratio="f"/>
                      </v:shape>
                      <v:shape id="_x0000_s1026" o:spid="_x0000_s1026" o:spt="32" type="#_x0000_t32" style="position:absolute;left:5947;top:980313;height:1;width:690;" filled="f" stroked="t" coordsize="21600,21600" o:gfxdata="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ZZsYb4A&#10;AADbAAAADwAAAAAAAAABACAAAAAiAAAAZHJzL2Rvd25yZXYueG1sUEsBAhQAFAAAAAgAh07iQDMv&#10;BZ47AAAAOQAAABAAAAAAAAAAAQAgAAAADQEAAGRycy9zaGFwZXhtbC54bWxQSwUGAAAAAAYABgBb&#10;AQAAtwMAAAAA&#10;">
                        <v:fill on="f" focussize="0,0"/>
                        <v:stroke weight="0.5pt" color="#000000" joinstyle="round" endarrow="classic" endarrowwidth="narrow" endarrowlength="short"/>
                        <v:imagedata o:title=""/>
                        <o:lock v:ext="edit" aspectratio="f"/>
                      </v:shape>
                      <v:shape id="_x0000_s1026" o:spid="_x0000_s1026" o:spt="202" type="#_x0000_t202" style="position:absolute;left:6379;top:982263;height:679;width:1068;" fillcolor="#FFFFFF" filled="t" stroked="t" coordsize="21600,21600" o:gfxdata="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11H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hint="default" w:eastAsia="宋体"/>
                                  <w:lang w:val="en-US" w:eastAsia="zh-CN"/>
                                </w:rPr>
                              </w:pPr>
                              <w:r>
                                <w:rPr>
                                  <w:rFonts w:hint="eastAsia" w:ascii="Times New Roman" w:hAnsi="宋体" w:cs="Times New Roman"/>
                                  <w:szCs w:val="21"/>
                                  <w:lang w:val="en-US" w:eastAsia="zh-CN"/>
                                </w:rPr>
                                <w:t>污水处理站</w:t>
                              </w:r>
                            </w:p>
                          </w:txbxContent>
                        </v:textbox>
                      </v:shape>
                      <v:shape id="_x0000_s1026" o:spid="_x0000_s1026" o:spt="32" type="#_x0000_t32" style="position:absolute;left:5736;top:982653;height:6;width:639;" filled="f" stroked="t" coordsize="21600,21600" o:gfxdata="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LM/S/&#10;AAAA3AAAAA8AAAAAAAAAAQAgAAAAIgAAAGRycy9kb3ducmV2LnhtbFBLAQIUABQAAAAIAIdO4kAz&#10;LwWeOwAAADkAAAAQAAAAAAAAAAEAIAAAAA4BAABkcnMvc2hhcGV4bWwueG1sUEsFBgAAAAAGAAYA&#10;WwEAALgDAAAAAA==&#10;">
                        <v:fill on="f" focussize="0,0"/>
                        <v:stroke weight="0.5pt" color="#000000" joinstyle="round" endarrow="classic" endarrowwidth="narrow" endarrowlength="short"/>
                        <v:imagedata o:title=""/>
                        <o:lock v:ext="edit" aspectratio="f"/>
                      </v:shape>
                      <v:shape id="_x0000_s1026" o:spid="_x0000_s1026" o:spt="202" type="#_x0000_t202" style="position:absolute;left:7465;top:982289;height:384;width:910;" filled="f" stroked="f" coordsize="21600,21600" o:gfxdata="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GqBW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864</w:t>
                              </w:r>
                            </w:p>
                          </w:txbxContent>
                        </v:textbox>
                      </v:shape>
                      <v:shape id="_x0000_s1026" o:spid="_x0000_s1026" o:spt="32" type="#_x0000_t32" style="position:absolute;left:3904;top:981052;height:0;width:661;" filled="f" stroked="t" coordsize="21600,21600" o:gfxdata="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OSSuvQAA&#10;ANoAAAAPAAAAAAAAAAEAIAAAACIAAABkcnMvZG93bnJldi54bWxQSwECFAAUAAAACACHTuJAMy8F&#10;njsAAAA5AAAAEAAAAAAAAAABACAAAAAMAQAAZHJzL3NoYXBleG1sLnhtbFBLBQYAAAAABgAGAFsB&#10;AAC2AwAAAAA=&#10;">
                        <v:fill on="f" focussize="0,0"/>
                        <v:stroke weight="0.5pt" color="#000000" joinstyle="round" endarrow="classic" endarrowwidth="narrow" endarrowlength="short"/>
                        <v:imagedata o:title=""/>
                        <o:lock v:ext="edit" aspectratio="f"/>
                      </v:shape>
                      <v:rect id="_x0000_s1026" o:spid="_x0000_s1026" o:spt="1" style="position:absolute;left:4569;top:980834;height:397;width:1380;" filled="f" stroked="t" coordsize="21600,21600" o:gfxdata="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jL2RLsAAADa&#10;AAAADwAAAAAAAAABACAAAAAiAAAAZHJzL2Rvd25yZXYueG1sUEsBAhQAFAAAAAgAh07iQDMvBZ47&#10;AAAAOQAAABAAAAAAAAAAAQAgAAAACgEAAGRycy9zaGFwZXhtbC54bWxQSwUGAAAAAAYABgBbAQAA&#10;tAMAAAAA&#10;">
                        <v:fill on="f" focussize="0,0"/>
                        <v:stroke weight="0.5pt" color="#000000" joinstyle="miter"/>
                        <v:imagedata o:title=""/>
                        <o:lock v:ext="edit" aspectratio="f"/>
                        <v:textbox>
                          <w:txbxContent>
                            <w:p>
                              <w:pPr>
                                <w:widowControl/>
                                <w:spacing w:line="0" w:lineRule="atLeast"/>
                                <w:jc w:val="center"/>
                                <w:rPr>
                                  <w:rFonts w:hint="default" w:hAnsi="宋体" w:eastAsia="宋体"/>
                                  <w:kern w:val="0"/>
                                  <w:sz w:val="24"/>
                                  <w:lang w:val="en-US" w:eastAsia="zh-CN"/>
                                </w:rPr>
                              </w:pPr>
                              <w:r>
                                <w:rPr>
                                  <w:rFonts w:hint="eastAsia" w:ascii="Times New Roman" w:hAnsi="宋体"/>
                                  <w:szCs w:val="21"/>
                                  <w:lang w:val="en-US" w:eastAsia="zh-CN"/>
                                </w:rPr>
                                <w:t>生物质锅炉</w:t>
                              </w:r>
                            </w:p>
                          </w:txbxContent>
                        </v:textbox>
                      </v:rect>
                      <v:shape id="_x0000_s1026" o:spid="_x0000_s1026" o:spt="32" type="#_x0000_t32" style="position:absolute;left:5964;top:981049;height:6;width:665;" filled="f" stroked="t" coordsize="21600,21600" o:gfxdata="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qFUe5AAAA2gAA&#10;AA8AAAAAAAAAAQAgAAAAIgAAAGRycy9kb3ducmV2LnhtbFBLAQIUABQAAAAIAIdO4kAzLwWeOwAA&#10;ADkAAAAQAAAAAAAAAAEAIAAAAAgBAABkcnMvc2hhcGV4bWwueG1sUEsFBgAAAAAGAAYAWwEAALID&#10;AAAAAA==&#10;">
                        <v:fill on="f" focussize="0,0"/>
                        <v:stroke weight="0.5pt" color="#000000" joinstyle="round" endarrow="classic" endarrowwidth="narrow" endarrowlength="short"/>
                        <v:imagedata o:title=""/>
                        <o:lock v:ext="edit" aspectratio="f"/>
                      </v:shape>
                      <v:rect id="_x0000_s1026" o:spid="_x0000_s1026" o:spt="1" style="position:absolute;left:6643;top:980816;height:415;width:1248;" filled="f" stroked="t" coordsize="21600,21600" o:gfxdata="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OHHrbsAAADa&#10;AAAADwAAAAAAAAABACAAAAAiAAAAZHJzL2Rvd25yZXYueG1sUEsBAhQAFAAAAAgAh07iQDMvBZ47&#10;AAAAOQAAABAAAAAAAAAAAQAgAAAACgEAAGRycy9zaGFwZXhtbC54bWxQSwUGAAAAAAYABgBbAQAA&#10;tAMAAAAA&#10;">
                        <v:fill on="f" focussize="0,0"/>
                        <v:stroke weight="0.5pt" color="#000000" joinstyle="miter"/>
                        <v:imagedata o:title=""/>
                        <o:lock v:ext="edit" aspectratio="f"/>
                        <v:textbox>
                          <w:txbxContent>
                            <w:p>
                              <w:pPr>
                                <w:widowControl/>
                                <w:spacing w:line="0" w:lineRule="atLeast"/>
                                <w:jc w:val="center"/>
                                <w:rPr>
                                  <w:rFonts w:hint="eastAsia" w:hAnsi="宋体" w:eastAsia="宋体"/>
                                  <w:kern w:val="0"/>
                                  <w:sz w:val="24"/>
                                  <w:lang w:eastAsia="zh-CN"/>
                                </w:rPr>
                              </w:pPr>
                              <w:r>
                                <w:rPr>
                                  <w:rFonts w:hint="eastAsia" w:ascii="Times New Roman" w:hAnsi="宋体"/>
                                  <w:szCs w:val="21"/>
                                  <w:lang w:val="en-US" w:eastAsia="zh-CN"/>
                                </w:rPr>
                                <w:t>泥浆罐</w:t>
                              </w:r>
                            </w:p>
                          </w:txbxContent>
                        </v:textbox>
                      </v:rect>
                      <v:shape id="_x0000_s1026" o:spid="_x0000_s1026" o:spt="32" type="#_x0000_t32" style="position:absolute;left:7094;top:980645;flip:y;height:183;width:308;" filled="f" stroked="t" coordsize="21600,21600" o:gfxdata="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Ko9bvQAA&#10;ANsAAAAPAAAAAAAAAAEAIAAAACIAAABkcnMvZG93bnJldi54bWxQSwECFAAUAAAACACHTuJAMy8F&#10;njsAAAA5AAAAEAAAAAAAAAABACAAAAAMAQAAZHJzL3NoYXBleG1sLnhtbFBLBQYAAAAABgAGAFsB&#10;AAC2AwAAAAA=&#10;">
                        <v:fill on="f" focussize="0,0"/>
                        <v:stroke weight="0.5pt" color="#000000" joinstyle="round" dashstyle="dashDot" endarrow="classic" endarrowwidth="narrow" endarrowlength="short"/>
                        <v:imagedata o:title=""/>
                        <o:lock v:ext="edit" aspectratio="f"/>
                      </v:shape>
                      <v:shape id="_x0000_s1026" o:spid="_x0000_s1026" o:spt="202" type="#_x0000_t202" style="position:absolute;left:7336;top:980471;height:366;width:694;" filled="f" stroked="f" coordsize="21600,21600" o:gfxdata="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PELj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432</w:t>
                              </w:r>
                            </w:p>
                          </w:txbxContent>
                        </v:textbox>
                      </v:shape>
                      <v:shape id="_x0000_s1026" o:spid="_x0000_s1026" o:spt="32" type="#_x0000_t32" style="position:absolute;left:7277;top:981236;flip:x;height:344;width:0;" filled="f" stroked="t" coordsize="21600,21600" o:gfxdata="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gmkW8AAAA&#10;3AAAAA8AAAAAAAAAAQAgAAAAIgAAAGRycy9kb3ducmV2LnhtbFBLAQIUABQAAAAIAIdO4kAzLwWe&#10;OwAAADkAAAAQAAAAAAAAAAEAIAAAAAsBAABkcnMvc2hhcGV4bWwueG1sUEsFBgAAAAAGAAYAWwEA&#10;ALUDAAAAAA==&#10;">
                        <v:fill on="f" focussize="0,0"/>
                        <v:stroke weight="0.5pt" color="#000000" joinstyle="round" dashstyle="dash" endarrowwidth="narrow" endarrowlength="short"/>
                        <v:imagedata o:title=""/>
                        <o:lock v:ext="edit" aspectratio="f"/>
                      </v:shape>
                      <v:shape id="_x0000_s1026" o:spid="_x0000_s1026" o:spt="32" type="#_x0000_t32" style="position:absolute;left:5218;top:981574;height:0;width:2074;" filled="f" stroked="t" coordsize="21600,21600" o:gfxdata="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oL9LsAAADc&#10;AAAADwAAAAAAAAABACAAAAAiAAAAZHJzL2Rvd25yZXYueG1sUEsBAhQAFAAAAAgAh07iQDMvBZ47&#10;AAAAOQAAABAAAAAAAAAAAQAgAAAACgEAAGRycy9zaGFwZXhtbC54bWxQSwUGAAAAAAYABgBbAQAA&#10;tAMAAAAA&#10;">
                        <v:fill on="f" focussize="0,0"/>
                        <v:stroke weight="0.5pt" color="#000000" joinstyle="round" dashstyle="dash" endarrowwidth="narrow" endarrowlength="short"/>
                        <v:imagedata o:title=""/>
                        <o:lock v:ext="edit" aspectratio="f"/>
                      </v:shape>
                      <v:shape id="_x0000_s1026" o:spid="_x0000_s1026" o:spt="202" type="#_x0000_t202" style="position:absolute;left:3883;top:980707;height:388;width:761;" filled="f" stroked="f" coordsize="21600,21600" o:gfxdata="UEsDBAoAAAAAAIdO4kAAAAAAAAAAAAAAAAAEAAAAZHJzL1BLAwQUAAAACACHTuJAUbwBiM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t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vAGI&#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widowControl/>
                                <w:rPr>
                                  <w:rFonts w:hint="eastAsia" w:ascii="Times New Roman" w:hAnsi="Times New Roman" w:eastAsia="宋体" w:cs="Times New Roman"/>
                                  <w:szCs w:val="21"/>
                                  <w:lang w:val="en-US" w:eastAsia="zh-CN"/>
                                </w:rPr>
                              </w:pPr>
                              <w:r>
                                <w:rPr>
                                  <w:rFonts w:hint="eastAsia" w:ascii="Times New Roman" w:cs="Times New Roman"/>
                                  <w:szCs w:val="21"/>
                                  <w:lang w:val="en-US" w:eastAsia="zh-CN"/>
                                </w:rPr>
                                <w:t>480</w:t>
                              </w:r>
                            </w:p>
                          </w:txbxContent>
                        </v:textbox>
                      </v:shape>
                      <v:shape id="_x0000_s1026" o:spid="_x0000_s1026" o:spt="32" type="#_x0000_t32" style="position:absolute;left:4927;top:981231;height:558;width:0;" filled="f" stroked="t" coordsize="21600,21600" o:gfxdata="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xmmm8AAAA&#10;3AAAAA8AAAAAAAAAAQAgAAAAIgAAAGRycy9kb3ducmV2LnhtbFBLAQIUABQAAAAIAIdO4kAzLwWe&#10;OwAAADkAAAAQAAAAAAAAAAEAIAAAAAsBAABkcnMvc2hhcGV4bWwueG1sUEsFBgAAAAAGAAYAWwEA&#10;ALUDAAAAAA==&#10;">
                        <v:fill on="f" focussize="0,0"/>
                        <v:stroke weight="0.5pt" color="#000000" joinstyle="round" endarrow="classic" endarrowwidth="narrow" endarrowlength="short"/>
                        <v:imagedata o:title=""/>
                        <o:lock v:ext="edit" aspectratio="f"/>
                      </v:shape>
                      <v:shape id="_x0000_s1026" o:spid="_x0000_s1026" o:spt="202" type="#_x0000_t202" style="position:absolute;left:3973;top:981683;height:414;width:2480;" filled="f" stroked="f" coordsize="21600,21600" o:gfxdata="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E5tT&#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before="0"/>
                                <w:jc w:val="center"/>
                                <w:textAlignment w:val="auto"/>
                                <w:rPr>
                                  <w:rFonts w:hint="eastAsia"/>
                                </w:rPr>
                              </w:pPr>
                              <w:r>
                                <w:rPr>
                                  <w:rFonts w:hint="eastAsia"/>
                                  <w:lang w:val="en-US" w:eastAsia="zh-CN"/>
                                </w:rPr>
                                <w:t>井场周边洒水抑尘。</w:t>
                              </w:r>
                            </w:p>
                          </w:txbxContent>
                        </v:textbox>
                      </v:shape>
                      <v:shape id="_x0000_s1026" o:spid="_x0000_s1026" o:spt="202" type="#_x0000_t202" style="position:absolute;left:4374;top:981290;height:389;width:580;" filled="f" stroked="f" coordsize="21600,21600" o:gfxdata="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kyz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48</w:t>
                              </w:r>
                            </w:p>
                          </w:txbxContent>
                        </v:textbox>
                      </v:shape>
                      <v:shape id="_x0000_s1026" o:spid="_x0000_s1026" o:spt="202" type="#_x0000_t202" style="position:absolute;left:5891;top:980681;height:405;width:833;" filled="f" stroked="f" coordsize="21600,21600" o:gfxdata="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f1H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5232</w:t>
                              </w:r>
                            </w:p>
                          </w:txbxContent>
                        </v:textbox>
                      </v:shape>
                      <v:shape id="_x0000_s1026" o:spid="_x0000_s1026" o:spt="202" type="#_x0000_t202" style="position:absolute;left:5880;top:981228;height:391;width:812;" filled="f" stroked="f" coordsize="21600,21600" o:gfxdata="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P0d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4800</w:t>
                              </w:r>
                            </w:p>
                          </w:txbxContent>
                        </v:textbox>
                      </v:shape>
                      <v:shape id="直接箭头连接符 11" o:spid="_x0000_s1026" o:spt="32" type="#_x0000_t32" style="position:absolute;left:9301;top:979238;flip:x;height:344;width:0;" filled="f" stroked="t" coordsize="21600,21600" o:gfxdata="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tTiLugAAANsA&#10;AAAPAAAAAAAAAAEAIAAAACIAAABkcnMvZG93bnJldi54bWxQSwECFAAUAAAACACHTuJAMy8FnjsA&#10;AAA5AAAAEAAAAAAAAAABACAAAAAJAQAAZHJzL3NoYXBleG1sLnhtbFBLBQYAAAAABgAGAFsBAACz&#10;AwAAAAA=&#10;">
                        <v:fill on="f" focussize="0,0"/>
                        <v:stroke weight="0.5pt" color="#000000" joinstyle="round" endarrowwidth="narrow" endarrowlength="short"/>
                        <v:imagedata o:title=""/>
                        <o:lock v:ext="edit" aspectratio="f"/>
                      </v:shape>
                      <v:shape id="直接箭头连接符 12" o:spid="_x0000_s1026" o:spt="32" type="#_x0000_t32" style="position:absolute;left:5283;top:979575;height:0;width:4024;" filled="f" stroked="t" coordsize="21600,21600" o:gfxdata="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nqr/bsAAADb&#10;AAAADwAAAAAAAAABACAAAAAiAAAAZHJzL2Rvd25yZXYueG1sUEsBAhQAFAAAAAgAh07iQDMvBZ47&#10;AAAAOQAAABAAAAAAAAAAAQAgAAAACgEAAGRycy9zaGFwZXhtbC54bWxQSwUGAAAAAAYABgBbAQAA&#10;tAMAAAAA&#10;">
                        <v:fill on="f" focussize="0,0"/>
                        <v:stroke weight="0.5pt" color="#000000" joinstyle="round" endarrowwidth="narrow" endarrowlength="short"/>
                        <v:imagedata o:title=""/>
                        <o:lock v:ext="edit" aspectratio="f"/>
                      </v:shape>
                      <v:shape id="_x0000_s1026" o:spid="_x0000_s1026" o:spt="32" type="#_x0000_t32" style="position:absolute;left:5274;top:979245;flip:x;height:344;width:0;" filled="f" stroked="t" coordsize="21600,21600" o:gfxdata="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4oKO5AAAA2wAA&#10;AA8AAAAAAAAAAQAgAAAAIgAAAGRycy9kb3ducmV2LnhtbFBLAQIUABQAAAAIAIdO4kAzLwWeOwAA&#10;ADkAAAAQAAAAAAAAAAEAIAAAAAgBAABkcnMvc2hhcGV4bWwueG1sUEsFBgAAAAAGAAYAWwEAALID&#10;AAAAAA==&#10;">
                        <v:fill on="f" focussize="0,0"/>
                        <v:stroke weight="0.5pt" color="#000000" joinstyle="round" startarrow="block" endarrowwidth="narrow" endarrowlength="short"/>
                        <v:imagedata o:title=""/>
                        <o:lock v:ext="edit" aspectratio="f"/>
                      </v:shape>
                      <v:shape id="_x0000_s1026" o:spid="_x0000_s1026" o:spt="202" type="#_x0000_t202" style="position:absolute;left:5780;top:979260;height:367;width:981;" filled="f" stroked="f" coordsize="21600,21600" o:gfxdata="UEsDBAoAAAAAAIdO4kAAAAAAAAAAAAAAAAAEAAAAZHJzL1BLAwQUAAAACACHTuJAenOFPr4AAADb&#10;AAAADwAAAGRycy9kb3ducmV2LnhtbEWPS4vCQBCE74L/YWjBm04M7i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OFP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4553</w:t>
                              </w:r>
                            </w:p>
                          </w:txbxContent>
                        </v:textbox>
                      </v:shape>
                      <v:shape id="_x0000_s1026" o:spid="_x0000_s1026" o:spt="32" type="#_x0000_t32" style="position:absolute;left:4927;top:982269;flip:y;height:184;width:309;" filled="f" stroked="t" coordsize="21600,21600" o:gfxdata="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n9M7ugAAANsA&#10;AAAPAAAAAAAAAAEAIAAAACIAAABkcnMvZG93bnJldi54bWxQSwECFAAUAAAACACHTuJAMy8FnjsA&#10;AAA5AAAAEAAAAAAAAAABACAAAAAJAQAAZHJzL3NoYXBleG1sLnhtbFBLBQYAAAAABgAGAFsBAACz&#10;AwAAAAA=&#10;">
                        <v:fill on="f" focussize="0,0"/>
                        <v:stroke weight="0.5pt" color="#000000" joinstyle="round" dashstyle="dashDot" endarrow="classic" endarrowwidth="narrow" endarrowlength="short"/>
                        <v:imagedata o:title=""/>
                        <o:lock v:ext="edit" aspectratio="f"/>
                      </v:shape>
                      <w10:wrap type="topAndBottom"/>
                    </v:group>
                  </w:pict>
                </mc:Fallback>
              </mc:AlternateContent>
            </w:r>
            <w:r>
              <w:rPr>
                <w:rFonts w:hint="default"/>
                <w:sz w:val="21"/>
              </w:rPr>
              <mc:AlternateContent>
                <mc:Choice Requires="wpg">
                  <w:drawing>
                    <wp:anchor distT="0" distB="0" distL="114300" distR="114300" simplePos="0" relativeHeight="251668480" behindDoc="0" locked="0" layoutInCell="1" allowOverlap="1">
                      <wp:simplePos x="0" y="0"/>
                      <wp:positionH relativeFrom="column">
                        <wp:posOffset>990600</wp:posOffset>
                      </wp:positionH>
                      <wp:positionV relativeFrom="paragraph">
                        <wp:posOffset>873125</wp:posOffset>
                      </wp:positionV>
                      <wp:extent cx="4300855" cy="567690"/>
                      <wp:effectExtent l="0" t="0" r="0" b="3175"/>
                      <wp:wrapNone/>
                      <wp:docPr id="34" name="组合 34"/>
                      <wp:cNvGraphicFramePr/>
                      <a:graphic xmlns:a="http://schemas.openxmlformats.org/drawingml/2006/main">
                        <a:graphicData uri="http://schemas.microsoft.com/office/word/2010/wordprocessingGroup">
                          <wpg:wgp>
                            <wpg:cNvGrpSpPr/>
                            <wpg:grpSpPr>
                              <a:xfrm>
                                <a:off x="0" y="0"/>
                                <a:ext cx="4300855" cy="567690"/>
                                <a:chOff x="3864" y="979706"/>
                                <a:chExt cx="6773" cy="894"/>
                              </a:xfrm>
                            </wpg:grpSpPr>
                            <wps:wsp>
                              <wps:cNvPr id="89" name="文本框 89"/>
                              <wps:cNvSpPr txBox="1"/>
                              <wps:spPr>
                                <a:xfrm>
                                  <a:off x="6547" y="979906"/>
                                  <a:ext cx="4090" cy="694"/>
                                </a:xfrm>
                                <a:prstGeom prst="rect">
                                  <a:avLst/>
                                </a:prstGeom>
                                <a:noFill/>
                                <a:ln w="6350">
                                  <a:noFill/>
                                </a:ln>
                              </wps:spPr>
                              <wps:txbx>
                                <w:txbxContent>
                                  <w:p>
                                    <w:pPr>
                                      <w:keepNext w:val="0"/>
                                      <w:keepLines w:val="0"/>
                                      <w:pageBreakBefore w:val="0"/>
                                      <w:widowControl w:val="0"/>
                                      <w:kinsoku/>
                                      <w:wordWrap/>
                                      <w:overflowPunct/>
                                      <w:topLinePunct w:val="0"/>
                                      <w:bidi w:val="0"/>
                                      <w:adjustRightInd/>
                                      <w:snapToGrid/>
                                      <w:spacing w:before="0"/>
                                      <w:textAlignment w:val="auto"/>
                                      <w:rPr>
                                        <w:rFonts w:hint="default" w:ascii="Times New Roman" w:hAnsi="Times New Roman" w:cs="Times New Roman"/>
                                      </w:rPr>
                                    </w:pPr>
                                    <w:r>
                                      <w:rPr>
                                        <w:rFonts w:hint="default" w:ascii="Times New Roman" w:hAnsi="Times New Roman" w:cs="Times New Roman"/>
                                        <w:lang w:val="en-US" w:eastAsia="zh-CN"/>
                                      </w:rPr>
                                      <w:t>在井场加碱中和后，采用专用废液收集罐，定期运至塔里木油田富源7环保处理站。</w:t>
                                    </w:r>
                                  </w:p>
                                </w:txbxContent>
                              </wps:txbx>
                              <wps:bodyPr upright="1"/>
                            </wps:wsp>
                            <wps:wsp>
                              <wps:cNvPr id="95" name="矩形 95"/>
                              <wps:cNvSpPr/>
                              <wps:spPr>
                                <a:xfrm>
                                  <a:off x="4560" y="980101"/>
                                  <a:ext cx="1378" cy="410"/>
                                </a:xfrm>
                                <a:prstGeom prst="rect">
                                  <a:avLst/>
                                </a:prstGeom>
                                <a:noFill/>
                                <a:ln w="6350" cap="flat" cmpd="sng">
                                  <a:solidFill>
                                    <a:srgbClr val="000000"/>
                                  </a:solidFill>
                                  <a:prstDash val="solid"/>
                                  <a:miter/>
                                  <a:headEnd type="none" w="med" len="med"/>
                                  <a:tailEnd type="none" w="med" len="med"/>
                                </a:ln>
                              </wps:spPr>
                              <wps:txbx>
                                <w:txbxContent>
                                  <w:p>
                                    <w:pPr>
                                      <w:spacing w:line="0" w:lineRule="atLeast"/>
                                      <w:jc w:val="center"/>
                                    </w:pPr>
                                    <w:r>
                                      <w:rPr>
                                        <w:rFonts w:hint="eastAsia" w:hAnsi="宋体" w:cs="宋体"/>
                                        <w:spacing w:val="-20"/>
                                        <w:szCs w:val="21"/>
                                      </w:rPr>
                                      <w:t>酸化压裂用水</w:t>
                                    </w:r>
                                  </w:p>
                                </w:txbxContent>
                              </wps:txbx>
                              <wps:bodyPr upright="1"/>
                            </wps:wsp>
                            <wps:wsp>
                              <wps:cNvPr id="98" name="文本框 98"/>
                              <wps:cNvSpPr txBox="1"/>
                              <wps:spPr>
                                <a:xfrm>
                                  <a:off x="3864" y="979946"/>
                                  <a:ext cx="765" cy="389"/>
                                </a:xfrm>
                                <a:prstGeom prst="rect">
                                  <a:avLst/>
                                </a:prstGeom>
                                <a:noFill/>
                                <a:ln w="6350">
                                  <a:noFill/>
                                </a:ln>
                              </wps:spPr>
                              <wps:txbx>
                                <w:txbxContent>
                                  <w:p>
                                    <w:pPr>
                                      <w:widowControl/>
                                      <w:rPr>
                                        <w:rFonts w:hint="eastAsia" w:ascii="Times New Roman" w:hAnsi="Times New Roman" w:eastAsia="宋体" w:cs="Times New Roman"/>
                                        <w:szCs w:val="21"/>
                                        <w:lang w:val="en-US" w:eastAsia="zh-CN"/>
                                      </w:rPr>
                                    </w:pPr>
                                    <w:r>
                                      <w:rPr>
                                        <w:rFonts w:hint="eastAsia" w:ascii="Times New Roman" w:cs="Times New Roman"/>
                                        <w:szCs w:val="21"/>
                                        <w:lang w:val="en-US" w:eastAsia="zh-CN"/>
                                      </w:rPr>
                                      <w:t>1200</w:t>
                                    </w:r>
                                  </w:p>
                                </w:txbxContent>
                              </wps:txbx>
                              <wps:bodyPr upright="1"/>
                            </wps:wsp>
                            <wps:wsp>
                              <wps:cNvPr id="118" name="直接箭头连接符 118"/>
                              <wps:cNvCnPr/>
                              <wps:spPr>
                                <a:xfrm flipV="1">
                                  <a:off x="5519" y="979929"/>
                                  <a:ext cx="309" cy="184"/>
                                </a:xfrm>
                                <a:prstGeom prst="straightConnector1">
                                  <a:avLst/>
                                </a:prstGeom>
                                <a:ln w="6350" cap="flat" cmpd="sng">
                                  <a:solidFill>
                                    <a:srgbClr val="000000"/>
                                  </a:solidFill>
                                  <a:prstDash val="dashDot"/>
                                  <a:round/>
                                  <a:headEnd type="none" w="med" len="med"/>
                                  <a:tailEnd type="stealth" w="sm" len="sm"/>
                                </a:ln>
                              </wps:spPr>
                              <wps:bodyPr/>
                            </wps:wsp>
                            <wps:wsp>
                              <wps:cNvPr id="28" name="文本框 28"/>
                              <wps:cNvSpPr txBox="1"/>
                              <wps:spPr>
                                <a:xfrm>
                                  <a:off x="5703" y="979706"/>
                                  <a:ext cx="671" cy="420"/>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200</w:t>
                                    </w:r>
                                  </w:p>
                                </w:txbxContent>
                              </wps:txbx>
                              <wps:bodyPr upright="1"/>
                            </wps:wsp>
                            <wps:wsp>
                              <wps:cNvPr id="29" name="文本框 29"/>
                              <wps:cNvSpPr txBox="1"/>
                              <wps:spPr>
                                <a:xfrm>
                                  <a:off x="5930" y="979986"/>
                                  <a:ext cx="780" cy="434"/>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1000</w:t>
                                    </w:r>
                                  </w:p>
                                </w:txbxContent>
                              </wps:txbx>
                              <wps:bodyPr upright="1"/>
                            </wps:wsp>
                          </wpg:wgp>
                        </a:graphicData>
                      </a:graphic>
                    </wp:anchor>
                  </w:drawing>
                </mc:Choice>
                <mc:Fallback>
                  <w:pict>
                    <v:group id="_x0000_s1026" o:spid="_x0000_s1026" o:spt="203" style="position:absolute;left:0pt;margin-left:78pt;margin-top:68.75pt;height:44.7pt;width:338.65pt;z-index:251668480;mso-width-relative:page;mso-height-relative:page;" coordorigin="3864,979706" coordsize="6773,894" o:gfxdata="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">
                      <o:lock v:ext="edit" aspectratio="f"/>
                      <v:shape id="_x0000_s1026" o:spid="_x0000_s1026" o:spt="202" type="#_x0000_t202" style="position:absolute;left:6547;top:979906;height:694;width:4090;"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before="0"/>
                                <w:textAlignment w:val="auto"/>
                                <w:rPr>
                                  <w:rFonts w:hint="default" w:ascii="Times New Roman" w:hAnsi="Times New Roman" w:cs="Times New Roman"/>
                                </w:rPr>
                              </w:pPr>
                              <w:r>
                                <w:rPr>
                                  <w:rFonts w:hint="default" w:ascii="Times New Roman" w:hAnsi="Times New Roman" w:cs="Times New Roman"/>
                                  <w:lang w:val="en-US" w:eastAsia="zh-CN"/>
                                </w:rPr>
                                <w:t>在井场加碱中和后，采用专用废液收集罐，定期运至塔里木油田富源7环保处理站。</w:t>
                              </w:r>
                            </w:p>
                          </w:txbxContent>
                        </v:textbox>
                      </v:shape>
                      <v:rect id="_x0000_s1026" o:spid="_x0000_s1026" o:spt="1" style="position:absolute;left:4560;top:980101;height:410;width:1378;" filled="f" stroked="t" coordsize="21600,21600" o:gfxdata="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AgC+8AAAA&#10;2w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textbox>
                          <w:txbxContent>
                            <w:p>
                              <w:pPr>
                                <w:spacing w:line="0" w:lineRule="atLeast"/>
                                <w:jc w:val="center"/>
                              </w:pPr>
                              <w:r>
                                <w:rPr>
                                  <w:rFonts w:hint="eastAsia" w:hAnsi="宋体" w:cs="宋体"/>
                                  <w:spacing w:val="-20"/>
                                  <w:szCs w:val="21"/>
                                </w:rPr>
                                <w:t>酸化压裂用水</w:t>
                              </w:r>
                            </w:p>
                          </w:txbxContent>
                        </v:textbox>
                      </v:rect>
                      <v:shape id="_x0000_s1026" o:spid="_x0000_s1026" o:spt="202" type="#_x0000_t202" style="position:absolute;left:3864;top:979946;height:389;width:765;" filled="f" stroked="f" coordsize="21600,21600" o:gfxdata="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Ubc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widowControl/>
                                <w:rPr>
                                  <w:rFonts w:hint="eastAsia" w:ascii="Times New Roman" w:hAnsi="Times New Roman" w:eastAsia="宋体" w:cs="Times New Roman"/>
                                  <w:szCs w:val="21"/>
                                  <w:lang w:val="en-US" w:eastAsia="zh-CN"/>
                                </w:rPr>
                              </w:pPr>
                              <w:r>
                                <w:rPr>
                                  <w:rFonts w:hint="eastAsia" w:ascii="Times New Roman" w:cs="Times New Roman"/>
                                  <w:szCs w:val="21"/>
                                  <w:lang w:val="en-US" w:eastAsia="zh-CN"/>
                                </w:rPr>
                                <w:t>1200</w:t>
                              </w:r>
                            </w:p>
                          </w:txbxContent>
                        </v:textbox>
                      </v:shape>
                      <v:shape id="_x0000_s1026" o:spid="_x0000_s1026" o:spt="32" type="#_x0000_t32" style="position:absolute;left:5519;top:979929;flip:y;height:184;width:309;" filled="f" stroked="t" coordsize="21600,21600" o:gfxdata="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Rb6U74A&#10;AADcAAAADwAAAAAAAAABACAAAAAiAAAAZHJzL2Rvd25yZXYueG1sUEsBAhQAFAAAAAgAh07iQDMv&#10;BZ47AAAAOQAAABAAAAAAAAAAAQAgAAAADQEAAGRycy9zaGFwZXhtbC54bWxQSwUGAAAAAAYABgBb&#10;AQAAtwMAAAAA&#10;">
                        <v:fill on="f" focussize="0,0"/>
                        <v:stroke weight="0.5pt" color="#000000" joinstyle="round" dashstyle="dashDot" endarrow="classic" endarrowwidth="narrow" endarrowlength="short"/>
                        <v:imagedata o:title=""/>
                        <o:lock v:ext="edit" aspectratio="f"/>
                      </v:shape>
                      <v:shape id="_x0000_s1026" o:spid="_x0000_s1026" o:spt="202" type="#_x0000_t202" style="position:absolute;left:5703;top:979706;height:420;width:671;" filled="f" stroked="f" coordsize="21600,21600" o:gfxdata="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Po87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200</w:t>
                              </w:r>
                            </w:p>
                          </w:txbxContent>
                        </v:textbox>
                      </v:shape>
                      <v:shape id="_x0000_s1026" o:spid="_x0000_s1026" o:spt="202" type="#_x0000_t202" style="position:absolute;left:5930;top:979986;height:434;width:780;" filled="f" stroked="f" coordsize="21600,21600" o:gfxdata="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yKq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1000</w:t>
                              </w:r>
                            </w:p>
                          </w:txbxContent>
                        </v:textbox>
                      </v:shape>
                    </v:group>
                  </w:pict>
                </mc:Fallback>
              </mc:AlternateContent>
            </w:r>
            <w:r>
              <w:rPr>
                <w:rFonts w:hint="default" w:ascii="Times New Roman" w:hAnsi="Times New Roman" w:eastAsia="宋体" w:cs="Times New Roman"/>
                <w:b/>
                <w:bCs/>
                <w:color w:val="auto"/>
                <w:spacing w:val="0"/>
                <w:kern w:val="2"/>
                <w:sz w:val="24"/>
                <w:szCs w:val="24"/>
              </w:rPr>
              <w:t>图2-</w:t>
            </w:r>
            <w:r>
              <w:rPr>
                <w:rFonts w:hint="default" w:ascii="Times New Roman" w:hAnsi="Times New Roman" w:eastAsia="宋体" w:cs="Times New Roman"/>
                <w:b/>
                <w:bCs/>
                <w:color w:val="auto"/>
                <w:spacing w:val="0"/>
                <w:kern w:val="2"/>
                <w:sz w:val="24"/>
                <w:szCs w:val="24"/>
                <w:lang w:val="en-US" w:eastAsia="zh-CN"/>
              </w:rPr>
              <w:t>2</w:t>
            </w:r>
            <w:r>
              <w:rPr>
                <w:rFonts w:hint="default" w:ascii="Times New Roman" w:hAnsi="Times New Roman" w:eastAsia="宋体" w:cs="Times New Roman"/>
                <w:b/>
                <w:bCs/>
                <w:color w:val="auto"/>
                <w:spacing w:val="0"/>
                <w:kern w:val="2"/>
                <w:sz w:val="24"/>
                <w:szCs w:val="24"/>
              </w:rPr>
              <w:t xml:space="preserve">   项目水平衡（m</w:t>
            </w:r>
            <w:r>
              <w:rPr>
                <w:rFonts w:hint="default" w:ascii="Times New Roman" w:hAnsi="Times New Roman" w:eastAsia="宋体" w:cs="Times New Roman"/>
                <w:b/>
                <w:bCs/>
                <w:color w:val="auto"/>
                <w:spacing w:val="0"/>
                <w:kern w:val="2"/>
                <w:sz w:val="24"/>
                <w:szCs w:val="24"/>
                <w:vertAlign w:val="superscript"/>
              </w:rPr>
              <w:t>3</w:t>
            </w:r>
            <w:r>
              <w:rPr>
                <w:rFonts w:hint="default" w:ascii="Times New Roman" w:hAnsi="Times New Roman" w:eastAsia="宋体" w:cs="Times New Roman"/>
                <w:b/>
                <w:bCs/>
                <w:color w:val="auto"/>
                <w:spacing w:val="0"/>
                <w:kern w:val="2"/>
                <w:sz w:val="24"/>
                <w:szCs w:val="24"/>
              </w:rPr>
              <w:t>/钻井期）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（2）供电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z w:val="24"/>
                <w:szCs w:val="24"/>
                <w:highlight w:val="none"/>
                <w:lang w:eastAsia="zh-CN"/>
              </w:rPr>
              <w:t>项目</w:t>
            </w:r>
            <w:r>
              <w:rPr>
                <w:rFonts w:hint="eastAsia" w:ascii="Times New Roman" w:cs="Times New Roman"/>
                <w:color w:val="auto"/>
                <w:sz w:val="24"/>
                <w:szCs w:val="24"/>
                <w:highlight w:val="none"/>
                <w:lang w:val="en-US" w:eastAsia="zh-CN"/>
              </w:rPr>
              <w:t>用电由</w:t>
            </w:r>
            <w:r>
              <w:rPr>
                <w:rFonts w:hint="default" w:ascii="Times New Roman" w:hAnsi="Times New Roman" w:eastAsia="宋体" w:cs="Times New Roman"/>
                <w:color w:val="auto"/>
                <w:sz w:val="24"/>
                <w:szCs w:val="24"/>
                <w:highlight w:val="none"/>
                <w:lang w:eastAsia="zh-CN"/>
              </w:rPr>
              <w:t>柴油</w:t>
            </w:r>
            <w:r>
              <w:rPr>
                <w:rFonts w:hint="eastAsia" w:ascii="Times New Roman" w:cs="Times New Roman"/>
                <w:color w:val="auto"/>
                <w:sz w:val="24"/>
                <w:szCs w:val="24"/>
                <w:highlight w:val="none"/>
                <w:lang w:val="en-US" w:eastAsia="zh-CN"/>
              </w:rPr>
              <w:t>发电机提供</w:t>
            </w:r>
            <w:r>
              <w:rPr>
                <w:rFonts w:hint="default" w:ascii="Times New Roman" w:hAnsi="Times New Roman" w:eastAsia="宋体" w:cs="Times New Roman"/>
                <w:color w:val="auto"/>
                <w:spacing w:val="0"/>
                <w:sz w:val="24"/>
                <w:szCs w:val="24"/>
                <w:highlight w:val="none"/>
                <w:lang w:val="en-US" w:eastAsia="zh-CN"/>
              </w:rPr>
              <w:t>。</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（3）供热</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项目钻井期泥浆伴热采取生物质锅炉加热，项目设置</w:t>
            </w:r>
            <w:r>
              <w:rPr>
                <w:rFonts w:hint="eastAsia" w:ascii="Times New Roman" w:cs="Times New Roman"/>
                <w:color w:val="auto"/>
                <w:spacing w:val="0"/>
                <w:position w:val="0"/>
                <w:sz w:val="24"/>
                <w:szCs w:val="24"/>
                <w:highlight w:val="none"/>
                <w:lang w:val="en-US" w:eastAsia="zh-CN"/>
              </w:rPr>
              <w:t>1台</w:t>
            </w:r>
            <w:r>
              <w:rPr>
                <w:rFonts w:hint="default" w:ascii="Times New Roman" w:hAnsi="Times New Roman" w:eastAsia="宋体" w:cs="Times New Roman"/>
                <w:color w:val="auto"/>
                <w:spacing w:val="0"/>
                <w:position w:val="0"/>
                <w:sz w:val="24"/>
                <w:szCs w:val="24"/>
                <w:highlight w:val="none"/>
                <w:lang w:val="en-US" w:eastAsia="zh-CN"/>
              </w:rPr>
              <w:t>2.5t/h的生物质锅炉</w:t>
            </w:r>
            <w:r>
              <w:rPr>
                <w:rFonts w:hint="eastAsia" w:ascii="Times New Roman" w:cs="Times New Roman"/>
                <w:color w:val="auto"/>
                <w:spacing w:val="0"/>
                <w:position w:val="0"/>
                <w:sz w:val="24"/>
                <w:szCs w:val="24"/>
                <w:highlight w:val="none"/>
                <w:lang w:val="en-US" w:eastAsia="zh-CN"/>
              </w:rPr>
              <w:t>（常用）、1</w:t>
            </w:r>
            <w:r>
              <w:rPr>
                <w:rFonts w:hint="default" w:ascii="Times New Roman" w:hAnsi="Times New Roman" w:eastAsia="宋体" w:cs="Times New Roman"/>
                <w:color w:val="auto"/>
                <w:spacing w:val="0"/>
                <w:position w:val="0"/>
                <w:sz w:val="24"/>
                <w:szCs w:val="24"/>
                <w:highlight w:val="none"/>
                <w:lang w:val="en-US" w:eastAsia="zh-CN"/>
              </w:rPr>
              <w:t>台2.5t/h的</w:t>
            </w:r>
            <w:r>
              <w:rPr>
                <w:rFonts w:hint="eastAsia" w:ascii="Times New Roman" w:cs="Times New Roman"/>
                <w:color w:val="auto"/>
                <w:spacing w:val="0"/>
                <w:position w:val="0"/>
                <w:sz w:val="24"/>
                <w:szCs w:val="24"/>
                <w:highlight w:val="none"/>
                <w:lang w:val="en-US" w:eastAsia="zh-CN"/>
              </w:rPr>
              <w:t>燃油</w:t>
            </w:r>
            <w:r>
              <w:rPr>
                <w:rFonts w:hint="default" w:ascii="Times New Roman" w:hAnsi="Times New Roman" w:eastAsia="宋体" w:cs="Times New Roman"/>
                <w:color w:val="auto"/>
                <w:spacing w:val="0"/>
                <w:position w:val="0"/>
                <w:sz w:val="24"/>
                <w:szCs w:val="24"/>
                <w:highlight w:val="none"/>
                <w:lang w:val="en-US" w:eastAsia="zh-CN"/>
              </w:rPr>
              <w:t>锅炉（</w:t>
            </w:r>
            <w:r>
              <w:rPr>
                <w:rFonts w:hint="eastAsia" w:ascii="Times New Roman" w:cs="Times New Roman"/>
                <w:color w:val="auto"/>
                <w:spacing w:val="0"/>
                <w:position w:val="0"/>
                <w:sz w:val="24"/>
                <w:szCs w:val="24"/>
                <w:highlight w:val="none"/>
                <w:lang w:val="en-US" w:eastAsia="zh-CN"/>
              </w:rPr>
              <w:t>备用</w:t>
            </w:r>
            <w:r>
              <w:rPr>
                <w:rFonts w:hint="default" w:ascii="Times New Roman" w:hAnsi="Times New Roman" w:eastAsia="宋体" w:cs="Times New Roman"/>
                <w:color w:val="auto"/>
                <w:spacing w:val="0"/>
                <w:position w:val="0"/>
                <w:sz w:val="24"/>
                <w:szCs w:val="24"/>
                <w:highlight w:val="none"/>
                <w:lang w:val="en-US" w:eastAsia="zh-CN"/>
              </w:rPr>
              <w:t>），钻井期锅炉运行时间约</w:t>
            </w:r>
            <w:r>
              <w:rPr>
                <w:rFonts w:hint="eastAsia" w:ascii="Times New Roman" w:cs="Times New Roman"/>
                <w:color w:val="auto"/>
                <w:spacing w:val="0"/>
                <w:position w:val="0"/>
                <w:sz w:val="24"/>
                <w:szCs w:val="24"/>
                <w:highlight w:val="none"/>
                <w:lang w:val="en-US" w:eastAsia="zh-CN"/>
              </w:rPr>
              <w:t>160</w:t>
            </w:r>
            <w:r>
              <w:rPr>
                <w:rFonts w:hint="default" w:ascii="Times New Roman" w:hAnsi="Times New Roman" w:eastAsia="宋体" w:cs="Times New Roman"/>
                <w:color w:val="auto"/>
                <w:spacing w:val="0"/>
                <w:position w:val="0"/>
                <w:sz w:val="24"/>
                <w:szCs w:val="24"/>
                <w:highlight w:val="none"/>
                <w:lang w:val="en-US" w:eastAsia="zh-CN"/>
              </w:rPr>
              <w:t>天（</w:t>
            </w:r>
            <w:r>
              <w:rPr>
                <w:rFonts w:hint="eastAsia" w:ascii="Times New Roman" w:cs="Times New Roman"/>
                <w:color w:val="auto"/>
                <w:spacing w:val="0"/>
                <w:position w:val="0"/>
                <w:sz w:val="24"/>
                <w:szCs w:val="24"/>
                <w:highlight w:val="none"/>
                <w:lang w:val="en-US" w:eastAsia="zh-CN"/>
              </w:rPr>
              <w:t>3840</w:t>
            </w:r>
            <w:r>
              <w:rPr>
                <w:rFonts w:hint="default" w:ascii="Times New Roman" w:hAnsi="Times New Roman" w:eastAsia="宋体" w:cs="Times New Roman"/>
                <w:color w:val="auto"/>
                <w:spacing w:val="0"/>
                <w:position w:val="0"/>
                <w:sz w:val="24"/>
                <w:szCs w:val="24"/>
                <w:highlight w:val="none"/>
                <w:lang w:val="en-US" w:eastAsia="zh-CN"/>
              </w:rPr>
              <w:t>h）。</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11、</w:t>
            </w:r>
            <w:r>
              <w:rPr>
                <w:rFonts w:hint="default" w:ascii="Times New Roman" w:hAnsi="Times New Roman" w:eastAsia="宋体" w:cs="Times New Roman"/>
                <w:b/>
                <w:bCs/>
                <w:color w:val="auto"/>
                <w:sz w:val="24"/>
                <w:highlight w:val="none"/>
              </w:rPr>
              <w:t>土</w:t>
            </w:r>
            <w:r>
              <w:rPr>
                <w:rFonts w:hint="default" w:ascii="Times New Roman" w:hAnsi="Times New Roman" w:eastAsia="宋体" w:cs="Times New Roman"/>
                <w:b/>
                <w:color w:val="auto"/>
                <w:sz w:val="24"/>
                <w:highlight w:val="none"/>
              </w:rPr>
              <w:t>石方平衡</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highlight w:val="none"/>
              </w:rPr>
              <w:t>项目施工期间将动用一定量的土方。项目土方工程主要由清废、挖方、弃</w:t>
            </w:r>
            <w:r>
              <w:rPr>
                <w:rFonts w:hint="default" w:ascii="Times New Roman" w:hAnsi="Times New Roman" w:eastAsia="宋体" w:cs="Times New Roman"/>
                <w:color w:val="auto"/>
                <w:sz w:val="24"/>
                <w:highlight w:val="none"/>
                <w:lang w:eastAsia="zh-CN"/>
              </w:rPr>
              <w:t>方</w:t>
            </w:r>
            <w:r>
              <w:rPr>
                <w:rFonts w:hint="default" w:ascii="Times New Roman" w:hAnsi="Times New Roman" w:eastAsia="宋体" w:cs="Times New Roman"/>
                <w:color w:val="auto"/>
                <w:sz w:val="24"/>
                <w:highlight w:val="none"/>
              </w:rPr>
              <w:t>组成。工程施工过</w:t>
            </w:r>
            <w:r>
              <w:rPr>
                <w:rFonts w:hint="default" w:ascii="Times New Roman" w:hAnsi="Times New Roman" w:eastAsia="宋体" w:cs="Times New Roman"/>
                <w:color w:val="auto"/>
                <w:sz w:val="24"/>
                <w:highlight w:val="none"/>
                <w:lang w:eastAsia="zh-CN"/>
              </w:rPr>
              <w:t>程中</w:t>
            </w:r>
            <w:r>
              <w:rPr>
                <w:rFonts w:hint="default" w:ascii="Times New Roman" w:hAnsi="Times New Roman" w:eastAsia="宋体" w:cs="Times New Roman"/>
                <w:color w:val="auto"/>
                <w:sz w:val="24"/>
                <w:highlight w:val="none"/>
              </w:rPr>
              <w:t>由清废及挖方所造成的弃方，</w:t>
            </w:r>
            <w:r>
              <w:rPr>
                <w:rFonts w:hint="default" w:ascii="Times New Roman" w:hAnsi="Times New Roman" w:eastAsia="宋体" w:cs="Times New Roman"/>
                <w:bCs/>
                <w:color w:val="auto"/>
                <w:sz w:val="24"/>
                <w:highlight w:val="none"/>
              </w:rPr>
              <w:t>用于施工场地</w:t>
            </w:r>
            <w:r>
              <w:rPr>
                <w:rFonts w:hint="default" w:ascii="Times New Roman" w:hAnsi="Times New Roman" w:eastAsia="宋体" w:cs="Times New Roman"/>
                <w:bCs/>
                <w:color w:val="auto"/>
                <w:sz w:val="24"/>
                <w:highlight w:val="none"/>
                <w:lang w:val="en-US" w:eastAsia="zh-CN"/>
              </w:rPr>
              <w:t>及道路</w:t>
            </w:r>
            <w:r>
              <w:rPr>
                <w:rFonts w:hint="default" w:ascii="Times New Roman" w:hAnsi="Times New Roman" w:eastAsia="宋体" w:cs="Times New Roman"/>
                <w:bCs/>
                <w:color w:val="auto"/>
                <w:sz w:val="24"/>
                <w:highlight w:val="none"/>
              </w:rPr>
              <w:t>平整</w:t>
            </w:r>
            <w:r>
              <w:rPr>
                <w:rFonts w:hint="default" w:ascii="Times New Roman" w:hAnsi="Times New Roman" w:eastAsia="宋体" w:cs="Times New Roman"/>
                <w:color w:val="auto"/>
                <w:sz w:val="24"/>
                <w:highlight w:val="none"/>
              </w:rPr>
              <w:t>。按照经济优化的原则，</w:t>
            </w:r>
            <w:r>
              <w:rPr>
                <w:rFonts w:hint="default" w:ascii="Times New Roman" w:hAnsi="Times New Roman" w:eastAsia="宋体" w:cs="Times New Roman"/>
                <w:color w:val="auto"/>
                <w:sz w:val="24"/>
                <w:highlight w:val="none"/>
                <w:lang w:eastAsia="zh-CN"/>
              </w:rPr>
              <w:t>项目</w:t>
            </w:r>
            <w:r>
              <w:rPr>
                <w:rFonts w:hint="default" w:ascii="Times New Roman" w:hAnsi="Times New Roman" w:eastAsia="宋体" w:cs="Times New Roman"/>
                <w:color w:val="auto"/>
                <w:sz w:val="24"/>
                <w:highlight w:val="none"/>
              </w:rPr>
              <w:t>所需土方利用</w:t>
            </w:r>
            <w:r>
              <w:rPr>
                <w:rFonts w:hint="default" w:ascii="Times New Roman" w:hAnsi="Times New Roman" w:eastAsia="宋体" w:cs="Times New Roman"/>
                <w:color w:val="auto"/>
                <w:sz w:val="24"/>
                <w:highlight w:val="none"/>
                <w:lang w:eastAsia="zh-CN"/>
              </w:rPr>
              <w:t>项目</w:t>
            </w:r>
            <w:r>
              <w:rPr>
                <w:rFonts w:hint="default" w:ascii="Times New Roman" w:hAnsi="Times New Roman" w:eastAsia="宋体" w:cs="Times New Roman"/>
                <w:color w:val="auto"/>
                <w:sz w:val="24"/>
                <w:highlight w:val="none"/>
              </w:rPr>
              <w:t>挖方</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尽量达到开挖土料利用量和建筑工程量的平衡，减少弃土方量。项目清废量</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，挖方量</w:t>
            </w:r>
            <w:r>
              <w:rPr>
                <w:rFonts w:hint="eastAsia" w:ascii="Times New Roman" w:cs="Times New Roman"/>
                <w:color w:val="auto"/>
                <w:sz w:val="24"/>
                <w:highlight w:val="none"/>
                <w:lang w:val="en-US" w:eastAsia="zh-CN"/>
              </w:rPr>
              <w:t>9880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，填方量</w:t>
            </w:r>
            <w:r>
              <w:rPr>
                <w:rFonts w:hint="eastAsia" w:ascii="Times New Roman" w:cs="Times New Roman"/>
                <w:color w:val="auto"/>
                <w:sz w:val="24"/>
                <w:highlight w:val="none"/>
                <w:lang w:val="en-US" w:eastAsia="zh-CN"/>
              </w:rPr>
              <w:t>5556</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w:t>
            </w:r>
            <w:r>
              <w:rPr>
                <w:rFonts w:hint="eastAsia" w:ascii="Times New Roman" w:cs="Times New Roman"/>
                <w:color w:val="auto"/>
                <w:sz w:val="24"/>
                <w:highlight w:val="none"/>
                <w:lang w:val="en-US" w:eastAsia="zh-CN"/>
              </w:rPr>
              <w:t>借方量2534</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，弃方量</w:t>
            </w:r>
            <w:r>
              <w:rPr>
                <w:rFonts w:hint="default" w:ascii="Times New Roman" w:hAnsi="Times New Roman" w:eastAsia="宋体" w:cs="Times New Roman"/>
                <w:color w:val="auto"/>
                <w:sz w:val="24"/>
                <w:highlight w:val="none"/>
                <w:lang w:val="en-US" w:eastAsia="zh-CN"/>
              </w:rPr>
              <w:t>均用于施工场地及道路平整，不设置弃渣场</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bCs/>
                <w:color w:val="auto"/>
                <w:sz w:val="24"/>
                <w:szCs w:val="21"/>
                <w:highlight w:val="none"/>
                <w:lang w:val="en-US" w:eastAsia="zh-CN"/>
              </w:rPr>
              <w:t xml:space="preserve">2-9 </w:t>
            </w:r>
            <w:r>
              <w:rPr>
                <w:rFonts w:hint="default" w:ascii="Times New Roman" w:hAnsi="Times New Roman" w:eastAsia="宋体" w:cs="Times New Roman"/>
                <w:b/>
                <w:color w:val="auto"/>
                <w:sz w:val="24"/>
              </w:rPr>
              <w:t xml:space="preserve">   土石方平衡表         </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 xml:space="preserve">         </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 xml:space="preserve">  单位：m</w:t>
            </w:r>
            <w:r>
              <w:rPr>
                <w:rFonts w:hint="default" w:ascii="Times New Roman" w:hAnsi="Times New Roman" w:eastAsia="宋体" w:cs="Times New Roman"/>
                <w:b/>
                <w:color w:val="auto"/>
                <w:sz w:val="24"/>
                <w:vertAlign w:val="superscript"/>
              </w:rPr>
              <w:t>3</w:t>
            </w:r>
          </w:p>
          <w:tbl>
            <w:tblPr>
              <w:tblStyle w:val="32"/>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5"/>
              <w:gridCol w:w="1180"/>
              <w:gridCol w:w="1227"/>
              <w:gridCol w:w="1316"/>
              <w:gridCol w:w="1346"/>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工程名称</w:t>
                  </w:r>
                </w:p>
              </w:tc>
              <w:tc>
                <w:tcPr>
                  <w:tcW w:w="70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挖方量</w:t>
                  </w:r>
                </w:p>
              </w:tc>
              <w:tc>
                <w:tcPr>
                  <w:tcW w:w="728"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填方量</w:t>
                  </w:r>
                </w:p>
              </w:tc>
              <w:tc>
                <w:tcPr>
                  <w:tcW w:w="78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z w:val="21"/>
                      <w:szCs w:val="21"/>
                      <w:lang w:eastAsia="zh-CN"/>
                    </w:rPr>
                  </w:pPr>
                  <w:r>
                    <w:rPr>
                      <w:rFonts w:hint="eastAsia" w:ascii="Times New Roman" w:cs="Times New Roman"/>
                      <w:color w:val="auto"/>
                      <w:sz w:val="21"/>
                      <w:szCs w:val="21"/>
                      <w:highlight w:val="none"/>
                      <w:lang w:val="en-US" w:eastAsia="zh-CN"/>
                    </w:rPr>
                    <w:t>借方量</w:t>
                  </w:r>
                </w:p>
              </w:tc>
              <w:tc>
                <w:tcPr>
                  <w:tcW w:w="79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弃方量</w:t>
                  </w:r>
                </w:p>
              </w:tc>
              <w:tc>
                <w:tcPr>
                  <w:tcW w:w="122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场地平整</w:t>
                  </w:r>
                </w:p>
              </w:tc>
              <w:tc>
                <w:tcPr>
                  <w:tcW w:w="118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8950</w:t>
                  </w:r>
                </w:p>
              </w:tc>
              <w:tc>
                <w:tcPr>
                  <w:tcW w:w="122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5370</w:t>
                  </w:r>
                </w:p>
              </w:tc>
              <w:tc>
                <w:tcPr>
                  <w:tcW w:w="1316"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1790</w:t>
                  </w:r>
                </w:p>
              </w:tc>
              <w:tc>
                <w:tcPr>
                  <w:tcW w:w="13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5370</w:t>
                  </w:r>
                </w:p>
              </w:tc>
              <w:tc>
                <w:tcPr>
                  <w:tcW w:w="1225"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用于施工场地</w:t>
                  </w:r>
                  <w:r>
                    <w:rPr>
                      <w:rFonts w:hint="default" w:ascii="Times New Roman" w:hAnsi="Times New Roman" w:eastAsia="宋体" w:cs="Times New Roman"/>
                      <w:color w:val="auto"/>
                      <w:sz w:val="21"/>
                      <w:szCs w:val="21"/>
                      <w:highlight w:val="none"/>
                      <w:lang w:val="en-US" w:eastAsia="zh-CN"/>
                    </w:rPr>
                    <w:t>及道路</w:t>
                  </w:r>
                  <w:r>
                    <w:rPr>
                      <w:rFonts w:hint="default" w:ascii="Times New Roman" w:hAnsi="Times New Roman" w:eastAsia="宋体" w:cs="Times New Roman"/>
                      <w:color w:val="auto"/>
                      <w:sz w:val="21"/>
                      <w:szCs w:val="21"/>
                      <w:highlight w:val="none"/>
                    </w:rPr>
                    <w:t>平整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辅助工程</w:t>
                  </w:r>
                </w:p>
              </w:tc>
              <w:tc>
                <w:tcPr>
                  <w:tcW w:w="118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930</w:t>
                  </w:r>
                </w:p>
              </w:tc>
              <w:tc>
                <w:tcPr>
                  <w:tcW w:w="122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186</w:t>
                  </w:r>
                </w:p>
              </w:tc>
              <w:tc>
                <w:tcPr>
                  <w:tcW w:w="1316"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744</w:t>
                  </w:r>
                </w:p>
              </w:tc>
              <w:tc>
                <w:tcPr>
                  <w:tcW w:w="13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1488</w:t>
                  </w:r>
                </w:p>
              </w:tc>
              <w:tc>
                <w:tcPr>
                  <w:tcW w:w="1225"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1180"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9880</w:t>
                  </w:r>
                </w:p>
              </w:tc>
              <w:tc>
                <w:tcPr>
                  <w:tcW w:w="1227"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5556</w:t>
                  </w:r>
                </w:p>
              </w:tc>
              <w:tc>
                <w:tcPr>
                  <w:tcW w:w="1316" w:type="dxa"/>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2534</w:t>
                  </w:r>
                </w:p>
              </w:tc>
              <w:tc>
                <w:tcPr>
                  <w:tcW w:w="13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6858</w:t>
                  </w:r>
                </w:p>
              </w:tc>
              <w:tc>
                <w:tcPr>
                  <w:tcW w:w="122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1</w:t>
            </w:r>
            <w:r>
              <w:rPr>
                <w:rFonts w:hint="default"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rPr>
              <w:t>、劳动定员及工作制度</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钻井队编制</w:t>
            </w:r>
            <w:r>
              <w:rPr>
                <w:rFonts w:hint="default" w:ascii="Times New Roman" w:hAnsi="Times New Roman" w:eastAsia="宋体" w:cs="Times New Roman"/>
                <w:color w:val="auto"/>
                <w:sz w:val="24"/>
                <w:highlight w:val="none"/>
                <w:lang w:val="en-US" w:eastAsia="zh-CN"/>
              </w:rPr>
              <w:t>60人</w:t>
            </w:r>
            <w:r>
              <w:rPr>
                <w:rFonts w:hint="default" w:ascii="Times New Roman" w:hAnsi="Times New Roman" w:eastAsia="宋体" w:cs="Times New Roman"/>
                <w:color w:val="auto"/>
                <w:sz w:val="24"/>
                <w:highlight w:val="none"/>
              </w:rPr>
              <w:t>，</w:t>
            </w:r>
            <w:r>
              <w:rPr>
                <w:rFonts w:hint="eastAsia" w:ascii="Times New Roman" w:cs="Times New Roman"/>
                <w:color w:val="auto"/>
                <w:sz w:val="24"/>
                <w:highlight w:val="none"/>
                <w:lang w:val="en-US" w:eastAsia="zh-CN"/>
              </w:rPr>
              <w:t>施工</w:t>
            </w:r>
            <w:r>
              <w:rPr>
                <w:rFonts w:hint="default" w:ascii="Times New Roman" w:hAnsi="Times New Roman" w:eastAsia="宋体" w:cs="Times New Roman"/>
                <w:color w:val="auto"/>
                <w:sz w:val="24"/>
                <w:highlight w:val="none"/>
                <w:lang w:val="en-US" w:eastAsia="zh-CN"/>
              </w:rPr>
              <w:t>天数</w:t>
            </w:r>
            <w:r>
              <w:rPr>
                <w:rFonts w:hint="eastAsia" w:ascii="Times New Roman" w:cs="Times New Roman"/>
                <w:color w:val="auto"/>
                <w:sz w:val="24"/>
                <w:highlight w:val="none"/>
                <w:lang w:val="en-US" w:eastAsia="zh-CN"/>
              </w:rPr>
              <w:t>180</w:t>
            </w:r>
            <w:r>
              <w:rPr>
                <w:rFonts w:hint="default" w:ascii="Times New Roman" w:hAnsi="Times New Roman" w:eastAsia="宋体" w:cs="Times New Roman"/>
                <w:color w:val="auto"/>
                <w:sz w:val="24"/>
                <w:highlight w:val="none"/>
                <w:lang w:val="en-US" w:eastAsia="zh-CN"/>
              </w:rPr>
              <w:t>d，</w:t>
            </w:r>
            <w:r>
              <w:rPr>
                <w:rFonts w:hint="default" w:ascii="Times New Roman" w:hAnsi="Times New Roman" w:eastAsia="宋体" w:cs="Times New Roman"/>
                <w:color w:val="auto"/>
                <w:sz w:val="24"/>
                <w:highlight w:val="none"/>
              </w:rPr>
              <w:t>实行</w:t>
            </w:r>
            <w:r>
              <w:rPr>
                <w:rFonts w:hint="eastAsia" w:ascii="Times New Roman" w:cs="Times New Roman"/>
                <w:color w:val="auto"/>
                <w:sz w:val="24"/>
                <w:highlight w:val="none"/>
                <w:lang w:val="en-US" w:eastAsia="zh-CN"/>
              </w:rPr>
              <w:t>三班两</w:t>
            </w:r>
            <w:r>
              <w:rPr>
                <w:rFonts w:hint="default" w:ascii="Times New Roman" w:hAnsi="Times New Roman" w:eastAsia="宋体" w:cs="Times New Roman"/>
                <w:color w:val="auto"/>
                <w:sz w:val="24"/>
                <w:highlight w:val="none"/>
              </w:rPr>
              <w:t>运转24小时工作制。</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13</w:t>
            </w:r>
            <w:r>
              <w:rPr>
                <w:rFonts w:hint="default" w:ascii="Times New Roman" w:hAnsi="Times New Roman" w:eastAsia="宋体" w:cs="Times New Roman"/>
                <w:b/>
                <w:bCs/>
                <w:color w:val="auto"/>
                <w:sz w:val="24"/>
                <w:highlight w:val="none"/>
              </w:rPr>
              <w:t>、经济技术指标</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项目主要经济技术指标见</w:t>
            </w:r>
            <w:r>
              <w:rPr>
                <w:rFonts w:hint="default" w:ascii="Times New Roman" w:hAnsi="Times New Roman" w:eastAsia="宋体" w:cs="Times New Roman"/>
                <w:color w:val="auto"/>
                <w:sz w:val="24"/>
                <w:highlight w:val="none"/>
                <w:lang w:val="en-US" w:eastAsia="zh-CN"/>
              </w:rPr>
              <w:t>下表</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表2-</w:t>
            </w:r>
            <w:r>
              <w:rPr>
                <w:rFonts w:hint="default" w:ascii="Times New Roman" w:hAnsi="Times New Roman" w:eastAsia="宋体" w:cs="Times New Roman"/>
                <w:b/>
                <w:bCs/>
                <w:color w:val="auto"/>
                <w:sz w:val="24"/>
                <w:highlight w:val="none"/>
                <w:lang w:val="en-US" w:eastAsia="zh-CN"/>
              </w:rPr>
              <w:t>10</w:t>
            </w:r>
            <w:r>
              <w:rPr>
                <w:rFonts w:hint="default" w:ascii="Times New Roman" w:hAnsi="Times New Roman" w:eastAsia="宋体" w:cs="Times New Roman"/>
                <w:b/>
                <w:bCs/>
                <w:color w:val="auto"/>
                <w:sz w:val="24"/>
                <w:highlight w:val="none"/>
              </w:rPr>
              <w:t xml:space="preserve">    项目主要技术经济指标</w:t>
            </w:r>
          </w:p>
          <w:tbl>
            <w:tblPr>
              <w:tblStyle w:val="32"/>
              <w:tblW w:w="8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2539"/>
              <w:gridCol w:w="1692"/>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指标名称</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单位</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钻井深度</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m</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cs="Times New Roman"/>
                      <w:i w:val="0"/>
                      <w:iCs w:val="0"/>
                      <w:color w:val="auto"/>
                      <w:kern w:val="0"/>
                      <w:sz w:val="21"/>
                      <w:szCs w:val="21"/>
                      <w:highlight w:val="none"/>
                      <w:u w:val="none"/>
                      <w:lang w:val="en-US" w:eastAsia="zh-CN" w:bidi="ar"/>
                    </w:rPr>
                    <w:t>8650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占地面积（临时）</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2</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cs="Times New Roman"/>
                      <w:i w:val="0"/>
                      <w:iCs w:val="0"/>
                      <w:color w:val="auto"/>
                      <w:kern w:val="0"/>
                      <w:sz w:val="21"/>
                      <w:szCs w:val="21"/>
                      <w:highlight w:val="none"/>
                      <w:u w:val="none"/>
                      <w:lang w:val="en-US" w:eastAsia="zh-CN" w:bidi="ar"/>
                    </w:rPr>
                    <w:t>19760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工作天数</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天</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劳动定员</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人</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atLeast"/>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总投资</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万元</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6" w:hRule="atLeast"/>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环保投资</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万元</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r>
          </w:tbl>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14、依托工程可行性分析</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（1）富源7井环保处理站</w:t>
            </w:r>
          </w:p>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基本情况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富源7井于2022年10月27日以勘探井名义获得巴州生态环境局批复，井型为</w:t>
            </w:r>
            <w:r>
              <w:rPr>
                <w:rFonts w:hint="default" w:ascii="Times New Roman" w:hAnsi="Times New Roman" w:cs="Times New Roman"/>
                <w:color w:val="auto"/>
                <w:sz w:val="24"/>
                <w:szCs w:val="24"/>
                <w:highlight w:val="none"/>
                <w:lang w:val="en-US" w:eastAsia="zh-CN"/>
              </w:rPr>
              <w:t>水平井</w:t>
            </w:r>
            <w:r>
              <w:rPr>
                <w:rFonts w:hint="default" w:ascii="Times New Roman" w:hAnsi="Times New Roman" w:eastAsia="宋体" w:cs="Times New Roman"/>
                <w:color w:val="auto"/>
                <w:sz w:val="24"/>
                <w:szCs w:val="24"/>
                <w:highlight w:val="none"/>
                <w:lang w:val="en-US" w:eastAsia="zh-CN"/>
              </w:rPr>
              <w:t>，于2022年12月31日开钻，于2023年5月24日钻井完井，原设计井深8000m，实际完钻井深7741m，目的层为奥陶系一间房组。2023年10月，塔里木油田分公司对该井进行了自主验收。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塔里木油田富源区块钻试修废液处理项目建设在富源7注水井西侧，与富源7注水</w:t>
            </w:r>
            <w:r>
              <w:rPr>
                <w:rFonts w:hint="eastAsia" w:ascii="Times New Roman" w:cs="Times New Roman"/>
                <w:color w:val="auto"/>
                <w:sz w:val="24"/>
                <w:szCs w:val="24"/>
                <w:highlight w:val="none"/>
                <w:lang w:val="en-US" w:eastAsia="zh-CN"/>
              </w:rPr>
              <w:t>井</w:t>
            </w:r>
            <w:r>
              <w:rPr>
                <w:rFonts w:hint="default" w:ascii="Times New Roman" w:hAnsi="Times New Roman" w:eastAsia="宋体" w:cs="Times New Roman"/>
                <w:color w:val="auto"/>
                <w:sz w:val="24"/>
                <w:szCs w:val="24"/>
                <w:highlight w:val="none"/>
                <w:lang w:val="en-US" w:eastAsia="zh-CN"/>
              </w:rPr>
              <w:t>间隔10米，通过地面管道实现废水的输送，废液处理站占地面积0.196hm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，各设备设施以撬装化为主。主要处理工艺为“氧化脱胶→混凝→气浮分离→多级过滤”。设计处理规模30m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lang w:val="en-US" w:eastAsia="zh-CN"/>
              </w:rPr>
              <w:t>主要设备设施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废液处理站主要设备设施如下表。</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表2-1</w:t>
            </w:r>
            <w:r>
              <w:rPr>
                <w:rFonts w:hint="eastAsia"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val="en-US" w:eastAsia="zh-CN"/>
              </w:rPr>
              <w:t xml:space="preserve">    主要设备设施基本情况一览表</w:t>
            </w:r>
          </w:p>
          <w:tbl>
            <w:tblPr>
              <w:tblStyle w:val="82"/>
              <w:tblW w:w="8397"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576"/>
              <w:gridCol w:w="1550"/>
              <w:gridCol w:w="3349"/>
              <w:gridCol w:w="501"/>
              <w:gridCol w:w="568"/>
              <w:gridCol w:w="185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序号</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设备名称</w:t>
                  </w:r>
                </w:p>
              </w:tc>
              <w:tc>
                <w:tcPr>
                  <w:tcW w:w="3349"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规格型号</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单位</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数量</w:t>
                  </w:r>
                </w:p>
              </w:tc>
              <w:tc>
                <w:tcPr>
                  <w:tcW w:w="1853"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卸液泵组</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2000mm×2000mm×1500mm，自吸泵2台，Q=50m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r>
                    <w:rPr>
                      <w:rFonts w:hint="default" w:ascii="Times New Roman" w:hAnsi="Times New Roman" w:eastAsia="宋体" w:cs="Times New Roman"/>
                      <w:color w:val="auto"/>
                      <w:spacing w:val="0"/>
                      <w:kern w:val="2"/>
                      <w:sz w:val="21"/>
                      <w:szCs w:val="21"/>
                      <w:highlight w:val="none"/>
                      <w:lang w:val="en-US" w:eastAsia="en-US" w:bidi="ar-SA"/>
                    </w:rPr>
                    <w:t>/h，H=30m，N=5.5kW</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来液装卸</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40"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2</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废液存储罐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单座废液存储罐由上罐和下罐组成，</w:t>
                  </w:r>
                </w:p>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上罐：8300mm×2400mm×2430mm，</w:t>
                  </w:r>
                </w:p>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下罐：10600mm×2800mm×2750mm；</w:t>
                  </w:r>
                </w:p>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单座废液存储罐总容积120m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5</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来液暂存</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3</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破胶装置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12000mm×3000mm×3200mm，撬装化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4</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混凝装置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10000mm×3000mm×3000mm，撬装化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5</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气浮装置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10000mm×3000mm×3000mm，撬装化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6</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多介质过滤装置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10000mm×3000mm×3500mm，撬装化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7</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加药装置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配置10个加药罐和加药泵等设施</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药剂配备</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017"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8</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污泥浓缩装置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包括污泥浓缩罐等，10000mm×3000mm×3000mm，处理能力480m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r>
                    <w:rPr>
                      <w:rFonts w:hint="default" w:ascii="Times New Roman" w:hAnsi="Times New Roman" w:eastAsia="宋体" w:cs="Times New Roman"/>
                      <w:color w:val="auto"/>
                      <w:spacing w:val="0"/>
                      <w:kern w:val="2"/>
                      <w:sz w:val="21"/>
                      <w:szCs w:val="21"/>
                      <w:highlight w:val="none"/>
                      <w:lang w:val="en-US" w:eastAsia="en-US" w:bidi="ar-SA"/>
                    </w:rPr>
                    <w:t>/d</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9</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污泥减量化装置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12000mm×3000mm×3000mm，撬装化，处理能力2m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r>
                    <w:rPr>
                      <w:rFonts w:hint="default" w:ascii="Times New Roman" w:hAnsi="Times New Roman" w:eastAsia="宋体" w:cs="Times New Roman"/>
                      <w:color w:val="auto"/>
                      <w:spacing w:val="0"/>
                      <w:kern w:val="2"/>
                      <w:sz w:val="21"/>
                      <w:szCs w:val="21"/>
                      <w:highlight w:val="none"/>
                      <w:lang w:val="en-US" w:eastAsia="en-US" w:bidi="ar-SA"/>
                    </w:rPr>
                    <w:t>/h</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污泥脱水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40"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10</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净化水存储罐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单座净化水存储罐由上罐和下罐组成，上罐：8300mm×2400mm×2430mm，下罐：10600mm×2800mm×2750mm；单座净化水存储罐总容积120m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5</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暂存净化水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11</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浮油收集罐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收集废液存储罐和气浮装置产生的浮油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12</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清水罐撬</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8000mm×3000mm×3000mm，配泄水泵、输水泵</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生活及药剂配置用水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61"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13</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事故应急罐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储罐容积120m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紧急情况下废液收集</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进出水水质要求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处理钻试修废液主要来源于油田钻井、修井过程中，包括压裂返排液、酸化压裂废水、修井废水、洗井废水等，水质中既有从地层带出的粘土颗粒和岩屑，也含有油及压裂液中的有机和无机添加剂。其中有机物多以环状结构为主，包含酮、酯、羧酸、醛等多种官能团。</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根据现阶段调研的数据，平均每井井口压裂返排液量在1000m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左右，单次洗井废水产生量在70m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左右，单次修井废水产生量在25m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左右，各废水污染物浓度情况如下表所示。</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表2-1</w:t>
            </w:r>
            <w:r>
              <w:rPr>
                <w:rFonts w:hint="eastAsia"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 xml:space="preserve">    本项目不同来液废水浓度情况一览表</w:t>
            </w:r>
          </w:p>
          <w:p>
            <w:pPr>
              <w:keepNext w:val="0"/>
              <w:keepLines w:val="0"/>
              <w:suppressLineNumbers w:val="0"/>
              <w:spacing w:before="0" w:beforeAutospacing="0" w:after="0" w:afterAutospacing="0" w:line="29" w:lineRule="exact"/>
              <w:ind w:left="0" w:right="0"/>
              <w:rPr>
                <w:rFonts w:hint="default" w:ascii="Times New Roman" w:hAnsi="Times New Roman" w:eastAsia="宋体" w:cs="Times New Roman"/>
                <w:color w:val="auto"/>
                <w:highlight w:val="none"/>
              </w:rPr>
            </w:pPr>
          </w:p>
          <w:tbl>
            <w:tblPr>
              <w:tblStyle w:val="8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66"/>
              <w:gridCol w:w="1890"/>
              <w:gridCol w:w="1615"/>
              <w:gridCol w:w="1339"/>
              <w:gridCol w:w="1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污染因子</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酸化压裂废水</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压裂返排液</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洗井废水</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修井废水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pH</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3～7</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6～9</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6～9</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6～9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含油量（mg/L）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400～800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500～1000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50～400</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30～300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悬浮物（mg/L）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200～1000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200～1000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300-1200</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50-1000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COD（mg/L）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2000～3000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300～800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200～500</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总铁量（mg/L）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50～200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10～20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1～12</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1～15</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为避免装置出现故障，废液处理站对处理来液中的石油类和SS浓度进行了限制，要求浓度尽量不超过1000mg/L。由于各来液的差异性，可以在进站后先进入废液存储罐中先暂存，在进入装置处理之前，可根据来水的差异性进行调配水质。经过废液处理站处理后，出水水质满足《碎屑岩油藏注水水质指标技术要求及分析方法》（SY/T5329-2022）标准，即石油类、SS浓度分别不超过100mg/L和35mg/L，满足富源7注水井注水水质要求；相关进水水质指标如下表所示。</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表2-1</w:t>
            </w:r>
            <w:r>
              <w:rPr>
                <w:rFonts w:hint="eastAsia"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本项目废液处理站进出水水质指标情况一览表</w:t>
            </w:r>
          </w:p>
          <w:p>
            <w:pPr>
              <w:keepNext w:val="0"/>
              <w:keepLines w:val="0"/>
              <w:suppressLineNumbers w:val="0"/>
              <w:spacing w:before="0" w:beforeAutospacing="0" w:after="0" w:afterAutospacing="0" w:line="28" w:lineRule="exact"/>
              <w:ind w:left="0" w:right="0"/>
              <w:rPr>
                <w:rFonts w:hint="default" w:ascii="Times New Roman" w:hAnsi="Times New Roman" w:eastAsia="宋体" w:cs="Times New Roman"/>
                <w:color w:val="auto"/>
                <w:highlight w:val="none"/>
              </w:rPr>
            </w:pPr>
          </w:p>
          <w:tbl>
            <w:tblPr>
              <w:tblStyle w:val="82"/>
              <w:tblW w:w="498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6"/>
              <w:gridCol w:w="1662"/>
              <w:gridCol w:w="1179"/>
              <w:gridCol w:w="1570"/>
              <w:gridCol w:w="12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646" w:type="dxa"/>
                  <w:vMerge w:val="restart"/>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污水来源</w:t>
                  </w:r>
                </w:p>
              </w:tc>
              <w:tc>
                <w:tcPr>
                  <w:tcW w:w="2798"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进水指标</w:t>
                  </w:r>
                </w:p>
              </w:tc>
              <w:tc>
                <w:tcPr>
                  <w:tcW w:w="276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出水指标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64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p>
              </w:tc>
              <w:tc>
                <w:tcPr>
                  <w:tcW w:w="16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石油类（mg/L）</w:t>
                  </w:r>
                </w:p>
              </w:tc>
              <w:tc>
                <w:tcPr>
                  <w:tcW w:w="1161"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SS（mg/L）</w:t>
                  </w:r>
                </w:p>
              </w:tc>
              <w:tc>
                <w:tcPr>
                  <w:tcW w:w="154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石油类（mg/L）</w:t>
                  </w:r>
                </w:p>
              </w:tc>
              <w:tc>
                <w:tcPr>
                  <w:tcW w:w="122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SS（mg/L）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646"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压裂返排液、酸化压裂废水、修井废水、洗井废水</w:t>
                  </w:r>
                </w:p>
              </w:tc>
              <w:tc>
                <w:tcPr>
                  <w:tcW w:w="16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&lt;1000</w:t>
                  </w:r>
                </w:p>
              </w:tc>
              <w:tc>
                <w:tcPr>
                  <w:tcW w:w="1161"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&lt;1000</w:t>
                  </w:r>
                </w:p>
              </w:tc>
              <w:tc>
                <w:tcPr>
                  <w:tcW w:w="154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&lt;100</w:t>
                  </w:r>
                </w:p>
              </w:tc>
              <w:tc>
                <w:tcPr>
                  <w:tcW w:w="122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&lt;35</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2025年3月塔里木油田分公司委托河北省众联能源环保科技有限公司编制完成《塔里木油田富源区块钻试修废液处理项目环境影响报告书》，并于2025年4月取得了巴州生态环境局的批复（巴环评价函〔2025〕82号）。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③依托可行性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富源区块钻试修废液处理站钻试修废水处理规模720m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/d，本项目酸化压裂返排液产生量为日最大产生量为300m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/d（1000m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/钻井期），且项目出水水质满足富源7注水井注水水质要求，可依托富源区块钻试修环保站处理</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firstLine="482" w:firstLineChars="200"/>
              <w:textAlignment w:val="auto"/>
              <w:rPr>
                <w:rFonts w:hint="default" w:ascii="Times New Roman" w:hAnsi="Times New Roman" w:cs="Times New Roman"/>
                <w:b/>
                <w:bCs/>
                <w:color w:val="auto"/>
                <w:sz w:val="24"/>
                <w:szCs w:val="21"/>
                <w:highlight w:val="none"/>
                <w:lang w:val="en-US" w:eastAsia="zh-CN"/>
              </w:rPr>
            </w:pPr>
            <w:r>
              <w:rPr>
                <w:rFonts w:hint="default" w:ascii="Times New Roman" w:hAnsi="Times New Roman" w:eastAsia="宋体" w:cs="Times New Roman"/>
                <w:b/>
                <w:bCs/>
                <w:color w:val="auto"/>
                <w:kern w:val="2"/>
                <w:sz w:val="24"/>
                <w:szCs w:val="21"/>
                <w:lang w:val="en-US" w:eastAsia="zh-CN" w:bidi="ar-SA"/>
              </w:rPr>
              <w:t>（2）</w:t>
            </w:r>
            <w:r>
              <w:rPr>
                <w:rFonts w:hint="default" w:ascii="Times New Roman" w:hAnsi="Times New Roman" w:cs="Times New Roman"/>
                <w:b/>
                <w:bCs/>
                <w:color w:val="auto"/>
                <w:sz w:val="24"/>
                <w:szCs w:val="21"/>
                <w:highlight w:val="none"/>
                <w:lang w:val="en-US" w:eastAsia="zh-CN"/>
              </w:rPr>
              <w:t>塔中油田钻试修废弃物环保处理站</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cs="Times New Roman"/>
                <w:color w:val="auto"/>
                <w:spacing w:val="0"/>
                <w:kern w:val="2"/>
                <w:sz w:val="24"/>
                <w:szCs w:val="24"/>
                <w:lang w:val="en-US" w:eastAsia="zh-CN" w:bidi="ar"/>
              </w:rPr>
              <w:t>①</w:t>
            </w:r>
            <w:r>
              <w:rPr>
                <w:rFonts w:hint="default" w:ascii="Times New Roman" w:hAnsi="Times New Roman" w:eastAsia="宋体" w:cs="Times New Roman"/>
                <w:color w:val="auto"/>
                <w:spacing w:val="0"/>
                <w:kern w:val="2"/>
                <w:sz w:val="24"/>
                <w:szCs w:val="24"/>
                <w:lang w:val="en-US" w:eastAsia="zh-CN" w:bidi="ar"/>
              </w:rPr>
              <w:t>基本情况</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eastAsia="宋体" w:cs="Times New Roman"/>
                <w:color w:val="auto"/>
                <w:spacing w:val="0"/>
                <w:kern w:val="2"/>
                <w:sz w:val="24"/>
                <w:szCs w:val="24"/>
                <w:lang w:val="en-US" w:eastAsia="zh-CN" w:bidi="ar"/>
              </w:rPr>
              <w:t>塔中钻试修废弃物环保处理站位于民丰县北部，塔里木盆地内，是为周边区域油田钻试修过程中产生的固废及废液而建设的，设施的中心坐标为北纬39°21′53.44"，东经82°57′33.17"，本项目位于处理站东南方向约</w:t>
            </w:r>
            <w:r>
              <w:rPr>
                <w:rFonts w:hint="eastAsia" w:ascii="Times New Roman" w:hAnsi="Times New Roman" w:eastAsia="宋体" w:cs="Times New Roman"/>
                <w:color w:val="auto"/>
                <w:spacing w:val="0"/>
                <w:kern w:val="2"/>
                <w:sz w:val="24"/>
                <w:szCs w:val="24"/>
                <w:lang w:val="en-US" w:eastAsia="zh-CN" w:bidi="ar"/>
              </w:rPr>
              <w:t>50</w:t>
            </w:r>
            <w:r>
              <w:rPr>
                <w:rFonts w:hint="default" w:ascii="Times New Roman" w:hAnsi="Times New Roman" w:eastAsia="宋体" w:cs="Times New Roman"/>
                <w:color w:val="auto"/>
                <w:spacing w:val="0"/>
                <w:kern w:val="2"/>
                <w:sz w:val="24"/>
                <w:szCs w:val="24"/>
                <w:lang w:val="en-US" w:eastAsia="zh-CN" w:bidi="ar"/>
              </w:rPr>
              <w:t>m</w:t>
            </w:r>
            <w:r>
              <w:rPr>
                <w:rFonts w:hint="default" w:ascii="Times New Roman" w:hAns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于2016年11月7日取得新疆维吾尔自治区环境保护厅批复（新环函〔2016〕1626号），于2017年6月建成，并于2019年4月通过了企业自主竣工环境保护验收。塔中钻试修废弃物环保处理站（简称“环保站”）钻试修废水处理规模300m3/d，本项目产生的磺化</w:t>
            </w:r>
            <w:r>
              <w:rPr>
                <w:rFonts w:hint="eastAsia" w:ascii="Times New Roman" w:cs="Times New Roman"/>
                <w:color w:val="auto"/>
                <w:spacing w:val="0"/>
                <w:kern w:val="2"/>
                <w:sz w:val="24"/>
                <w:szCs w:val="24"/>
                <w:lang w:val="en-US" w:eastAsia="zh-CN" w:bidi="ar"/>
              </w:rPr>
              <w:t>岩屑</w:t>
            </w:r>
            <w:r>
              <w:rPr>
                <w:rFonts w:hint="default" w:ascii="Times New Roman" w:hAnsi="Times New Roman" w:eastAsia="宋体" w:cs="Times New Roman"/>
                <w:color w:val="auto"/>
                <w:spacing w:val="0"/>
                <w:kern w:val="2"/>
                <w:sz w:val="24"/>
                <w:szCs w:val="24"/>
                <w:lang w:val="en-US" w:eastAsia="zh-CN" w:bidi="ar"/>
              </w:rPr>
              <w:t>依托塔中钻试修废弃物环保处理站处理。排污许可证编号：916528013331280536003V。</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cs="Times New Roman"/>
                <w:color w:val="auto"/>
                <w:spacing w:val="0"/>
                <w:kern w:val="2"/>
                <w:sz w:val="24"/>
                <w:szCs w:val="24"/>
                <w:lang w:val="en-US" w:eastAsia="zh-CN" w:bidi="ar"/>
              </w:rPr>
              <w:t>②</w:t>
            </w:r>
            <w:r>
              <w:rPr>
                <w:rFonts w:hint="default" w:ascii="Times New Roman" w:hAnsi="Times New Roman" w:eastAsia="宋体" w:cs="Times New Roman"/>
                <w:color w:val="auto"/>
                <w:spacing w:val="0"/>
                <w:kern w:val="2"/>
                <w:sz w:val="24"/>
                <w:szCs w:val="24"/>
                <w:lang w:val="en-US" w:eastAsia="zh-CN" w:bidi="ar"/>
              </w:rPr>
              <w:t>处理</w:t>
            </w:r>
            <w:r>
              <w:rPr>
                <w:rFonts w:hint="default" w:ascii="Times New Roman" w:hAnsi="Times New Roman" w:cs="Times New Roman"/>
                <w:color w:val="auto"/>
                <w:spacing w:val="0"/>
                <w:kern w:val="2"/>
                <w:sz w:val="24"/>
                <w:szCs w:val="24"/>
                <w:lang w:val="en-US" w:eastAsia="zh-CN" w:bidi="ar"/>
              </w:rPr>
              <w:t>工艺</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eastAsia="宋体" w:cs="Times New Roman"/>
                <w:color w:val="auto"/>
                <w:spacing w:val="0"/>
                <w:kern w:val="2"/>
                <w:sz w:val="24"/>
                <w:szCs w:val="24"/>
                <w:lang w:val="en-US" w:eastAsia="zh-CN" w:bidi="ar"/>
              </w:rPr>
              <w:t>环保站设计固废处理能力120m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/d，采用高温氧化处理技术对钻井</w:t>
            </w:r>
            <w:r>
              <w:rPr>
                <w:rFonts w:hint="eastAsia" w:ascii="Times New Roman" w:cs="Times New Roman"/>
                <w:color w:val="auto"/>
                <w:spacing w:val="0"/>
                <w:kern w:val="2"/>
                <w:sz w:val="24"/>
                <w:szCs w:val="24"/>
                <w:lang w:val="en-US" w:eastAsia="zh-CN" w:bidi="ar"/>
              </w:rPr>
              <w:t>磺化岩屑</w:t>
            </w:r>
            <w:r>
              <w:rPr>
                <w:rFonts w:hint="default" w:ascii="Times New Roman" w:hAnsi="Times New Roman" w:eastAsia="宋体" w:cs="Times New Roman"/>
                <w:color w:val="auto"/>
                <w:spacing w:val="0"/>
                <w:kern w:val="2"/>
                <w:sz w:val="24"/>
                <w:szCs w:val="24"/>
                <w:lang w:val="en-US" w:eastAsia="zh-CN" w:bidi="ar"/>
              </w:rPr>
              <w:t>进行无害化处置，即通过高温氧化窑内的高温环境</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850℃以上</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使钻井固废中的有机质等有毒有害物质氧化、分解，彻底破坏其毒害性，从而达到无害化处理的目的，处理后的固体废物可满足新疆维吾尔自治区地方标准：《油气田钻井固体废弃物综合利用污染控制要求》</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DB65/T3997-2017</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表1综合利用污染限值，用于铺设服务油田生产的各种内部道路、铺垫井场、固废封场覆土及自然坑洼填充材料等。主要工艺流程包括备料、物料预烘、高温氧化、烟气净化及飞灰固化等工序。具体流程见图2-4。</w:t>
            </w: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keepNext w:val="0"/>
              <w:keepLines w:val="0"/>
              <w:pageBreakBefore w:val="0"/>
              <w:widowControl w:val="0"/>
              <w:suppressLineNumbers w:val="0"/>
              <w:tabs>
                <w:tab w:val="left" w:pos="990"/>
              </w:tabs>
              <w:kinsoku/>
              <w:wordWrap/>
              <w:overflowPunct/>
              <w:topLinePunct w:val="0"/>
              <w:autoSpaceDE w:val="0"/>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cs="Times New Roman"/>
                <w:color w:val="auto"/>
                <w:highlight w:val="none"/>
              </w:rPr>
              <w:drawing>
                <wp:inline distT="0" distB="0" distL="114300" distR="114300">
                  <wp:extent cx="4728210" cy="1958975"/>
                  <wp:effectExtent l="0" t="0" r="15240"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4728210" cy="1958975"/>
                          </a:xfrm>
                          <a:prstGeom prst="rect">
                            <a:avLst/>
                          </a:prstGeom>
                          <a:noFill/>
                          <a:ln>
                            <a:noFill/>
                          </a:ln>
                        </pic:spPr>
                      </pic:pic>
                    </a:graphicData>
                  </a:graphic>
                </wp:inline>
              </w:drawing>
            </w:r>
          </w:p>
          <w:p>
            <w:pPr>
              <w:keepNext w:val="0"/>
              <w:keepLines w:val="0"/>
              <w:pageBreakBefore w:val="0"/>
              <w:widowControl w:val="0"/>
              <w:suppressLineNumbers w:val="0"/>
              <w:tabs>
                <w:tab w:val="left" w:pos="990"/>
              </w:tabs>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color w:val="auto"/>
                <w:spacing w:val="0"/>
                <w:kern w:val="2"/>
                <w:sz w:val="24"/>
                <w:szCs w:val="24"/>
                <w:lang w:val="en-US" w:eastAsia="zh-CN" w:bidi="ar"/>
              </w:rPr>
            </w:pPr>
            <w:r>
              <w:rPr>
                <w:rFonts w:hint="eastAsia" w:ascii="Times New Roman" w:hAnsi="Times New Roman" w:eastAsia="宋体" w:cs="Times New Roman"/>
                <w:b/>
                <w:bCs/>
                <w:color w:val="auto"/>
                <w:spacing w:val="0"/>
                <w:kern w:val="2"/>
                <w:sz w:val="24"/>
                <w:szCs w:val="24"/>
                <w:lang w:val="en-US" w:eastAsia="zh-CN" w:bidi="ar"/>
              </w:rPr>
              <w:t>图2-4    塔中钻试修废弃物环保站钻试修</w:t>
            </w:r>
            <w:r>
              <w:rPr>
                <w:rFonts w:hint="eastAsia" w:ascii="Times New Roman" w:cs="Times New Roman"/>
                <w:b/>
                <w:bCs/>
                <w:color w:val="auto"/>
                <w:spacing w:val="0"/>
                <w:kern w:val="2"/>
                <w:sz w:val="24"/>
                <w:szCs w:val="24"/>
                <w:lang w:val="en-US" w:eastAsia="zh-CN" w:bidi="ar"/>
              </w:rPr>
              <w:t>磺化岩屑</w:t>
            </w:r>
            <w:r>
              <w:rPr>
                <w:rFonts w:hint="eastAsia" w:ascii="Times New Roman" w:hAnsi="Times New Roman" w:eastAsia="宋体" w:cs="Times New Roman"/>
                <w:b/>
                <w:bCs/>
                <w:color w:val="auto"/>
                <w:spacing w:val="0"/>
                <w:kern w:val="2"/>
                <w:sz w:val="24"/>
                <w:szCs w:val="24"/>
                <w:lang w:val="en-US" w:eastAsia="zh-CN" w:bidi="ar"/>
              </w:rPr>
              <w:t>处理工艺流程图</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eastAsia" w:ascii="Times New Roman" w:cs="Times New Roman"/>
                <w:b w:val="0"/>
                <w:bCs w:val="0"/>
                <w:color w:val="auto"/>
                <w:sz w:val="24"/>
                <w:szCs w:val="21"/>
                <w:highlight w:val="none"/>
                <w:lang w:val="en-US" w:eastAsia="zh-CN"/>
              </w:rPr>
            </w:pPr>
            <w:r>
              <w:rPr>
                <w:rFonts w:hint="eastAsia" w:ascii="Times New Roman" w:cs="Times New Roman"/>
                <w:b w:val="0"/>
                <w:bCs w:val="0"/>
                <w:color w:val="auto"/>
                <w:sz w:val="24"/>
                <w:szCs w:val="21"/>
                <w:highlight w:val="none"/>
                <w:lang w:val="en-US" w:eastAsia="zh-CN"/>
              </w:rPr>
              <w:t>（3）依托可行性</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eastAsia" w:ascii="Times New Roman" w:cs="Times New Roman"/>
                <w:b w:val="0"/>
                <w:bCs w:val="0"/>
                <w:color w:val="auto"/>
                <w:sz w:val="24"/>
                <w:szCs w:val="21"/>
                <w:highlight w:val="none"/>
                <w:lang w:val="en-US" w:eastAsia="zh-CN"/>
              </w:rPr>
            </w:pPr>
            <w:r>
              <w:rPr>
                <w:rFonts w:hint="eastAsia" w:ascii="Times New Roman" w:cs="Times New Roman"/>
                <w:b w:val="0"/>
                <w:bCs w:val="0"/>
                <w:color w:val="auto"/>
                <w:sz w:val="24"/>
                <w:szCs w:val="21"/>
                <w:highlight w:val="none"/>
                <w:lang w:val="en-US" w:eastAsia="zh-CN"/>
              </w:rPr>
              <w:t>环保站设计钻井聚磺泥浆体系固废处理规模400m</w:t>
            </w:r>
            <w:r>
              <w:rPr>
                <w:rFonts w:hint="eastAsia" w:ascii="Times New Roman" w:cs="Times New Roman"/>
                <w:b w:val="0"/>
                <w:bCs w:val="0"/>
                <w:color w:val="auto"/>
                <w:sz w:val="24"/>
                <w:szCs w:val="21"/>
                <w:highlight w:val="none"/>
                <w:vertAlign w:val="superscript"/>
                <w:lang w:val="en-US" w:eastAsia="zh-CN"/>
              </w:rPr>
              <w:t>3</w:t>
            </w:r>
            <w:r>
              <w:rPr>
                <w:rFonts w:hint="eastAsia" w:ascii="Times New Roman" w:cs="Times New Roman"/>
                <w:b w:val="0"/>
                <w:bCs w:val="0"/>
                <w:color w:val="auto"/>
                <w:sz w:val="24"/>
                <w:szCs w:val="21"/>
                <w:highlight w:val="none"/>
                <w:lang w:val="en-US" w:eastAsia="zh-CN"/>
              </w:rPr>
              <w:t>/d，目前处理量180m</w:t>
            </w:r>
            <w:r>
              <w:rPr>
                <w:rFonts w:hint="eastAsia" w:ascii="Times New Roman" w:cs="Times New Roman"/>
                <w:b w:val="0"/>
                <w:bCs w:val="0"/>
                <w:color w:val="auto"/>
                <w:sz w:val="24"/>
                <w:szCs w:val="21"/>
                <w:highlight w:val="none"/>
                <w:vertAlign w:val="superscript"/>
                <w:lang w:val="en-US" w:eastAsia="zh-CN"/>
              </w:rPr>
              <w:t>3</w:t>
            </w:r>
            <w:r>
              <w:rPr>
                <w:rFonts w:hint="eastAsia" w:ascii="Times New Roman" w:cs="Times New Roman"/>
                <w:b w:val="0"/>
                <w:bCs w:val="0"/>
                <w:color w:val="auto"/>
                <w:sz w:val="24"/>
                <w:szCs w:val="21"/>
                <w:highlight w:val="none"/>
                <w:lang w:val="en-US" w:eastAsia="zh-CN"/>
              </w:rPr>
              <w:t>/d，剩余处理量220m</w:t>
            </w:r>
            <w:r>
              <w:rPr>
                <w:rFonts w:hint="eastAsia" w:ascii="Times New Roman" w:cs="Times New Roman"/>
                <w:b w:val="0"/>
                <w:bCs w:val="0"/>
                <w:color w:val="auto"/>
                <w:sz w:val="24"/>
                <w:szCs w:val="21"/>
                <w:highlight w:val="none"/>
                <w:vertAlign w:val="superscript"/>
                <w:lang w:val="en-US" w:eastAsia="zh-CN"/>
              </w:rPr>
              <w:t>3</w:t>
            </w:r>
            <w:r>
              <w:rPr>
                <w:rFonts w:hint="eastAsia" w:ascii="Times New Roman" w:cs="Times New Roman"/>
                <w:b w:val="0"/>
                <w:bCs w:val="0"/>
                <w:color w:val="auto"/>
                <w:sz w:val="24"/>
                <w:szCs w:val="21"/>
                <w:highlight w:val="none"/>
                <w:lang w:val="en-US" w:eastAsia="zh-CN"/>
              </w:rPr>
              <w:t>/d，本项目聚磺泥浆体系固废可依托塔中钻试修废弃物环保处理站。塔中钻试修废弃物环保处理站运行负荷见下表。</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2" w:firstLineChars="200"/>
              <w:textAlignment w:val="auto"/>
              <w:rPr>
                <w:rFonts w:hint="eastAsia" w:ascii="Times New Roman" w:cs="Times New Roman"/>
                <w:b w:val="0"/>
                <w:bCs w:val="0"/>
                <w:color w:val="auto"/>
                <w:sz w:val="24"/>
                <w:szCs w:val="21"/>
                <w:highlight w:val="none"/>
                <w:lang w:val="en-US" w:eastAsia="zh-CN"/>
              </w:rPr>
            </w:pPr>
            <w:r>
              <w:rPr>
                <w:rFonts w:hint="eastAsia" w:ascii="Times New Roman" w:cs="Times New Roman"/>
                <w:b/>
                <w:bCs/>
                <w:color w:val="auto"/>
                <w:sz w:val="24"/>
                <w:szCs w:val="21"/>
                <w:highlight w:val="none"/>
                <w:lang w:val="en-US" w:eastAsia="zh-CN"/>
              </w:rPr>
              <w:t>表2-11    塔中钻试修废弃物环保处理站依托可行性分析表</w:t>
            </w:r>
          </w:p>
          <w:tbl>
            <w:tblPr>
              <w:tblStyle w:val="32"/>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57"/>
              <w:gridCol w:w="1608"/>
              <w:gridCol w:w="1078"/>
              <w:gridCol w:w="1058"/>
              <w:gridCol w:w="1179"/>
              <w:gridCol w:w="1426"/>
              <w:gridCol w:w="143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3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序号</w:t>
                  </w:r>
                </w:p>
              </w:tc>
              <w:tc>
                <w:tcPr>
                  <w:tcW w:w="96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项目内容</w:t>
                  </w:r>
                </w:p>
              </w:tc>
              <w:tc>
                <w:tcPr>
                  <w:tcW w:w="6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设计能力（m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63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现状处理量（m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70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富裕能力（m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85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本项目需处理量（m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85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依托可行性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3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964"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钻井聚磺泥浆体系固废</w:t>
                  </w:r>
                </w:p>
              </w:tc>
              <w:tc>
                <w:tcPr>
                  <w:tcW w:w="646"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400</w:t>
                  </w:r>
                </w:p>
              </w:tc>
              <w:tc>
                <w:tcPr>
                  <w:tcW w:w="634"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180</w:t>
                  </w:r>
                </w:p>
              </w:tc>
              <w:tc>
                <w:tcPr>
                  <w:tcW w:w="707"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220</w:t>
                  </w:r>
                </w:p>
              </w:tc>
              <w:tc>
                <w:tcPr>
                  <w:tcW w:w="855"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5.23</w:t>
                  </w:r>
                </w:p>
              </w:tc>
              <w:tc>
                <w:tcPr>
                  <w:tcW w:w="85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可行</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val="0"/>
                <w:color w:val="auto"/>
                <w:sz w:val="24"/>
                <w:szCs w:val="21"/>
                <w:highlight w:val="none"/>
              </w:rPr>
            </w:pPr>
            <w:r>
              <w:rPr>
                <w:rFonts w:hint="default" w:ascii="Times New Roman" w:hAnsi="Times New Roman" w:eastAsia="宋体" w:cs="Times New Roman"/>
                <w:b/>
                <w:bCs/>
                <w:color w:val="auto"/>
                <w:sz w:val="24"/>
                <w:szCs w:val="21"/>
                <w:highlight w:val="none"/>
                <w:lang w:val="en-US" w:eastAsia="zh-CN"/>
              </w:rPr>
              <w:t>15、施工周期及时序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 w:val="0"/>
                <w:color w:val="0000FF"/>
                <w:sz w:val="24"/>
                <w:szCs w:val="21"/>
                <w:highlight w:val="none"/>
                <w:lang w:val="en-US" w:eastAsia="zh-CN"/>
              </w:rPr>
            </w:pPr>
            <w:r>
              <w:rPr>
                <w:rFonts w:hint="default" w:ascii="Times New Roman" w:hAnsi="Times New Roman" w:eastAsia="宋体" w:cs="Times New Roman"/>
                <w:b w:val="0"/>
                <w:color w:val="auto"/>
                <w:sz w:val="24"/>
                <w:szCs w:val="21"/>
                <w:highlight w:val="none"/>
                <w:lang w:val="en-US" w:eastAsia="zh-CN"/>
              </w:rPr>
              <w:t>施工天数约</w:t>
            </w:r>
            <w:r>
              <w:rPr>
                <w:rFonts w:hint="eastAsia" w:ascii="Times New Roman" w:cs="Times New Roman"/>
                <w:b w:val="0"/>
                <w:color w:val="auto"/>
                <w:sz w:val="24"/>
                <w:szCs w:val="21"/>
                <w:highlight w:val="none"/>
                <w:lang w:val="en-US" w:eastAsia="zh-CN"/>
              </w:rPr>
              <w:t>180</w:t>
            </w:r>
            <w:r>
              <w:rPr>
                <w:rFonts w:hint="default" w:ascii="Times New Roman" w:hAnsi="Times New Roman" w:eastAsia="宋体" w:cs="Times New Roman"/>
                <w:b w:val="0"/>
                <w:color w:val="auto"/>
                <w:sz w:val="24"/>
                <w:szCs w:val="21"/>
                <w:highlight w:val="none"/>
                <w:lang w:val="en-US" w:eastAsia="zh-CN"/>
              </w:rPr>
              <w:t>d，其中钻前工程约10d，钻井期预计</w:t>
            </w:r>
            <w:r>
              <w:rPr>
                <w:rFonts w:hint="eastAsia" w:ascii="Times New Roman" w:cs="Times New Roman"/>
                <w:b w:val="0"/>
                <w:color w:val="auto"/>
                <w:sz w:val="24"/>
                <w:szCs w:val="21"/>
                <w:highlight w:val="none"/>
                <w:lang w:val="en-US" w:eastAsia="zh-CN"/>
              </w:rPr>
              <w:t>160</w:t>
            </w:r>
            <w:r>
              <w:rPr>
                <w:rFonts w:hint="default" w:ascii="Times New Roman" w:hAnsi="Times New Roman" w:eastAsia="宋体" w:cs="Times New Roman"/>
                <w:b w:val="0"/>
                <w:color w:val="auto"/>
                <w:sz w:val="24"/>
                <w:szCs w:val="21"/>
                <w:highlight w:val="none"/>
                <w:lang w:val="en-US" w:eastAsia="zh-CN"/>
              </w:rPr>
              <w:t>d（其中测试放喷15d～20d），钻后工程约10d，</w:t>
            </w:r>
            <w:r>
              <w:rPr>
                <w:rFonts w:hint="default" w:ascii="Times New Roman" w:hAnsi="Times New Roman" w:eastAsia="宋体" w:cs="Times New Roman"/>
                <w:b w:val="0"/>
                <w:color w:val="auto"/>
                <w:sz w:val="24"/>
                <w:szCs w:val="21"/>
                <w:highlight w:val="none"/>
              </w:rPr>
              <w:t>钻井队编制约60人</w:t>
            </w:r>
            <w:r>
              <w:rPr>
                <w:rFonts w:hint="default" w:ascii="Times New Roman" w:hAnsi="Times New Roman" w:eastAsia="宋体" w:cs="Times New Roman"/>
                <w:b w:val="0"/>
                <w:color w:val="auto"/>
                <w:sz w:val="24"/>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49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总平面及现场布置</w:t>
            </w:r>
          </w:p>
        </w:tc>
        <w:tc>
          <w:tcPr>
            <w:tcW w:w="8576"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sz w:val="24"/>
                <w:highlight w:val="none"/>
              </w:rPr>
            </w:pPr>
            <w:r>
              <w:rPr>
                <w:rFonts w:hint="default"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highlight w:val="none"/>
              </w:rPr>
              <w:t>总平面布置包括</w:t>
            </w:r>
            <w:r>
              <w:rPr>
                <w:rFonts w:hint="default" w:ascii="Times New Roman" w:hAnsi="Times New Roman" w:eastAsia="宋体" w:cs="Times New Roman"/>
                <w:color w:val="auto"/>
                <w:sz w:val="24"/>
                <w:highlight w:val="none"/>
                <w:lang w:eastAsia="zh-CN"/>
              </w:rPr>
              <w:t>停车场、进场道路、生活区</w:t>
            </w:r>
            <w:r>
              <w:rPr>
                <w:rFonts w:hint="default" w:ascii="Times New Roman" w:hAnsi="Times New Roman" w:eastAsia="宋体" w:cs="Times New Roman"/>
                <w:color w:val="auto"/>
                <w:sz w:val="24"/>
                <w:highlight w:val="none"/>
              </w:rPr>
              <w:t>和井场，</w:t>
            </w:r>
            <w:r>
              <w:rPr>
                <w:rFonts w:hint="default" w:ascii="Times New Roman" w:hAnsi="Times New Roman" w:eastAsia="宋体" w:cs="Times New Roman"/>
                <w:color w:val="auto"/>
                <w:sz w:val="24"/>
                <w:highlight w:val="none"/>
                <w:lang w:eastAsia="zh-CN"/>
              </w:rPr>
              <w:t>停车场</w:t>
            </w:r>
            <w:r>
              <w:rPr>
                <w:rFonts w:hint="default" w:ascii="Times New Roman" w:hAnsi="Times New Roman" w:eastAsia="宋体" w:cs="Times New Roman"/>
                <w:color w:val="auto"/>
                <w:sz w:val="24"/>
                <w:highlight w:val="none"/>
              </w:rPr>
              <w:t>位于井场</w:t>
            </w:r>
            <w:r>
              <w:rPr>
                <w:rFonts w:hint="default" w:ascii="Times New Roman" w:hAnsi="Times New Roman" w:eastAsia="宋体" w:cs="Times New Roman"/>
                <w:color w:val="auto"/>
                <w:sz w:val="24"/>
                <w:highlight w:val="none"/>
                <w:lang w:val="en-US" w:eastAsia="zh-CN"/>
              </w:rPr>
              <w:t>外南侧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临近</w:t>
            </w:r>
            <w:r>
              <w:rPr>
                <w:rFonts w:hint="default" w:ascii="Times New Roman" w:hAnsi="Times New Roman" w:eastAsia="宋体" w:cs="Times New Roman"/>
                <w:color w:val="auto"/>
                <w:sz w:val="24"/>
                <w:highlight w:val="none"/>
                <w:lang w:val="zh-CN"/>
              </w:rPr>
              <w:t>井场道路</w:t>
            </w:r>
            <w:r>
              <w:rPr>
                <w:rFonts w:hint="default" w:ascii="Times New Roman" w:hAnsi="Times New Roman" w:eastAsia="宋体" w:cs="Times New Roman"/>
                <w:color w:val="auto"/>
                <w:sz w:val="24"/>
                <w:highlight w:val="none"/>
              </w:rPr>
              <w:t>位置。井场根据《钻前工程及井场布置技术要求》（SY/T5466-2013）标准进行场区布置。出入口位于场区</w:t>
            </w:r>
            <w:r>
              <w:rPr>
                <w:rFonts w:hint="default" w:ascii="Times New Roman" w:hAnsi="Times New Roman" w:eastAsia="宋体" w:cs="Times New Roman"/>
                <w:color w:val="auto"/>
                <w:sz w:val="24"/>
                <w:highlight w:val="none"/>
                <w:lang w:val="en-US" w:eastAsia="zh-CN"/>
              </w:rPr>
              <w:t>南部</w:t>
            </w:r>
            <w:r>
              <w:rPr>
                <w:rFonts w:hint="default" w:ascii="Times New Roman" w:hAnsi="Times New Roman" w:eastAsia="宋体" w:cs="Times New Roman"/>
                <w:color w:val="auto"/>
                <w:sz w:val="24"/>
                <w:highlight w:val="none"/>
              </w:rPr>
              <w:t>，钻井平台位于场区中部。井场布置以井口中心且平行或垂直于井架底座边线的两条垂线为准线，划分井场的前、后、左、右四部分（以大门口处为前部），</w:t>
            </w:r>
            <w:r>
              <w:rPr>
                <w:rFonts w:hint="default" w:ascii="Times New Roman" w:hAnsi="Times New Roman" w:eastAsia="宋体" w:cs="Times New Roman"/>
                <w:color w:val="auto"/>
                <w:sz w:val="24"/>
                <w:highlight w:val="none"/>
                <w:lang w:val="en-US" w:eastAsia="zh-CN"/>
              </w:rPr>
              <w:t>泥浆罐</w:t>
            </w:r>
            <w:r>
              <w:rPr>
                <w:rFonts w:hint="default" w:ascii="Times New Roman" w:hAnsi="Times New Roman" w:eastAsia="宋体" w:cs="Times New Roman"/>
                <w:color w:val="auto"/>
                <w:sz w:val="24"/>
                <w:highlight w:val="none"/>
              </w:rPr>
              <w:t>收集装置</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泥浆</w:t>
            </w:r>
            <w:r>
              <w:rPr>
                <w:rFonts w:hint="default" w:ascii="Times New Roman" w:hAnsi="Times New Roman" w:eastAsia="宋体" w:cs="Times New Roman"/>
                <w:color w:val="auto"/>
                <w:sz w:val="24"/>
                <w:highlight w:val="none"/>
                <w:lang w:val="en-US" w:eastAsia="zh-CN"/>
              </w:rPr>
              <w:t>泵</w:t>
            </w:r>
            <w:r>
              <w:rPr>
                <w:rFonts w:hint="default" w:ascii="Times New Roman" w:hAnsi="Times New Roman" w:eastAsia="宋体" w:cs="Times New Roman"/>
                <w:color w:val="auto"/>
                <w:sz w:val="24"/>
                <w:highlight w:val="none"/>
              </w:rPr>
              <w:t>位于后场</w:t>
            </w:r>
            <w:r>
              <w:rPr>
                <w:rFonts w:hint="default" w:ascii="Times New Roman" w:hAnsi="Times New Roman" w:eastAsia="宋体" w:cs="Times New Roman"/>
                <w:color w:val="auto"/>
                <w:sz w:val="24"/>
                <w:highlight w:val="none"/>
                <w:lang w:val="en-US" w:eastAsia="zh-CN"/>
              </w:rPr>
              <w:t>右</w:t>
            </w:r>
            <w:r>
              <w:rPr>
                <w:rFonts w:hint="default" w:ascii="Times New Roman" w:hAnsi="Times New Roman" w:eastAsia="宋体" w:cs="Times New Roman"/>
                <w:color w:val="auto"/>
                <w:sz w:val="24"/>
                <w:highlight w:val="none"/>
              </w:rPr>
              <w:t>侧，柴油发电机组</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VFD房、远控房位于后场中部；柴油罐区、爬犁、固井水泥罐区、消防水罐位于后场右侧；膨润土岩屑池、录井房位于前场右侧；危废暂存间等</w:t>
            </w:r>
            <w:r>
              <w:rPr>
                <w:rFonts w:hint="default" w:ascii="Times New Roman" w:hAnsi="Times New Roman" w:eastAsia="宋体" w:cs="Times New Roman"/>
                <w:color w:val="auto"/>
                <w:sz w:val="24"/>
                <w:highlight w:val="none"/>
              </w:rPr>
              <w:t>位于后场</w:t>
            </w:r>
            <w:r>
              <w:rPr>
                <w:rFonts w:hint="default" w:ascii="Times New Roman" w:hAnsi="Times New Roman" w:eastAsia="宋体" w:cs="Times New Roman"/>
                <w:color w:val="auto"/>
                <w:sz w:val="24"/>
                <w:highlight w:val="none"/>
                <w:lang w:val="en-US" w:eastAsia="zh-CN"/>
              </w:rPr>
              <w:t>左</w:t>
            </w:r>
            <w:r>
              <w:rPr>
                <w:rFonts w:hint="default" w:ascii="Times New Roman" w:hAnsi="Times New Roman" w:eastAsia="宋体" w:cs="Times New Roman"/>
                <w:color w:val="auto"/>
                <w:sz w:val="24"/>
                <w:highlight w:val="none"/>
              </w:rPr>
              <w:t>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场区北侧</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消防房、修理房、材料库等位于前场左侧；</w:t>
            </w:r>
            <w:r>
              <w:rPr>
                <w:rFonts w:hint="default" w:ascii="Times New Roman" w:hAnsi="Times New Roman" w:eastAsia="宋体" w:cs="Times New Roman"/>
                <w:color w:val="auto"/>
                <w:sz w:val="24"/>
                <w:highlight w:val="none"/>
              </w:rPr>
              <w:t>值班房、工程</w:t>
            </w:r>
            <w:r>
              <w:rPr>
                <w:rFonts w:hint="default" w:ascii="Times New Roman" w:hAnsi="Times New Roman" w:eastAsia="宋体" w:cs="Times New Roman"/>
                <w:color w:val="auto"/>
                <w:sz w:val="24"/>
                <w:highlight w:val="none"/>
                <w:lang w:val="en-US" w:eastAsia="zh-CN"/>
              </w:rPr>
              <w:t>师房</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钻井监察房、泥浆工程师房等</w:t>
            </w:r>
            <w:r>
              <w:rPr>
                <w:rFonts w:hint="default" w:ascii="Times New Roman" w:hAnsi="Times New Roman" w:eastAsia="宋体" w:cs="Times New Roman"/>
                <w:color w:val="auto"/>
                <w:sz w:val="24"/>
                <w:highlight w:val="none"/>
              </w:rPr>
              <w:t>位于前场</w:t>
            </w:r>
            <w:r>
              <w:rPr>
                <w:rFonts w:hint="default" w:ascii="Times New Roman" w:hAnsi="Times New Roman" w:eastAsia="宋体" w:cs="Times New Roman"/>
                <w:color w:val="auto"/>
                <w:sz w:val="24"/>
                <w:highlight w:val="none"/>
                <w:lang w:val="en-US" w:eastAsia="zh-CN"/>
              </w:rPr>
              <w:t>南侧，分布于大门两侧</w:t>
            </w:r>
            <w:r>
              <w:rPr>
                <w:rFonts w:hint="default" w:ascii="Times New Roman" w:hAnsi="Times New Roman" w:eastAsia="宋体" w:cs="Times New Roman"/>
                <w:color w:val="auto"/>
                <w:sz w:val="24"/>
                <w:highlight w:val="none"/>
              </w:rPr>
              <w:t>；井场道路围绕钻井平台及辅助设备设置。实际施工过程中根据工程需要和地形特征进行适当优化调整。</w:t>
            </w: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0000FF"/>
                <w:szCs w:val="21"/>
                <w:highlight w:val="none"/>
              </w:rPr>
            </w:pPr>
            <w:r>
              <w:rPr>
                <w:rFonts w:hint="default" w:ascii="Times New Roman" w:hAnsi="Times New Roman" w:eastAsia="宋体" w:cs="Times New Roman"/>
                <w:color w:val="0000FF"/>
                <w:sz w:val="21"/>
              </w:rPr>
              <mc:AlternateContent>
                <mc:Choice Requires="wps">
                  <w:drawing>
                    <wp:anchor distT="0" distB="0" distL="114300" distR="114300" simplePos="0" relativeHeight="251661312" behindDoc="0" locked="0" layoutInCell="1" allowOverlap="1">
                      <wp:simplePos x="0" y="0"/>
                      <wp:positionH relativeFrom="column">
                        <wp:posOffset>913130</wp:posOffset>
                      </wp:positionH>
                      <wp:positionV relativeFrom="paragraph">
                        <wp:posOffset>5615940</wp:posOffset>
                      </wp:positionV>
                      <wp:extent cx="1626870" cy="666750"/>
                      <wp:effectExtent l="4445" t="5080" r="6985" b="13970"/>
                      <wp:wrapNone/>
                      <wp:docPr id="2" name="文本框 2"/>
                      <wp:cNvGraphicFramePr/>
                      <a:graphic xmlns:a="http://schemas.openxmlformats.org/drawingml/2006/main">
                        <a:graphicData uri="http://schemas.microsoft.com/office/word/2010/wordprocessingShape">
                          <wps:wsp>
                            <wps:cNvSpPr txBox="1"/>
                            <wps:spPr>
                              <a:xfrm>
                                <a:off x="2276475" y="7540625"/>
                                <a:ext cx="1626870"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15"/>
                                      <w:szCs w:val="18"/>
                                      <w:lang w:val="en-US" w:eastAsia="zh-CN"/>
                                    </w:rPr>
                                  </w:pPr>
                                </w:p>
                                <w:p>
                                  <w:pPr>
                                    <w:jc w:val="center"/>
                                    <w:rPr>
                                      <w:rFonts w:hint="eastAsia"/>
                                      <w:lang w:val="en-US" w:eastAsia="zh-CN"/>
                                    </w:rPr>
                                  </w:pPr>
                                  <w:r>
                                    <w:rPr>
                                      <w:rFonts w:hint="eastAsia"/>
                                      <w:lang w:val="en-US" w:eastAsia="zh-CN"/>
                                    </w:rPr>
                                    <w:t>生活区</w:t>
                                  </w:r>
                                </w:p>
                                <w:p>
                                  <w:pPr>
                                    <w:jc w:val="center"/>
                                    <w:rPr>
                                      <w:rFonts w:hint="eastAsia" w:eastAsia="宋体"/>
                                      <w:lang w:val="en-US" w:eastAsia="zh-CN"/>
                                    </w:rPr>
                                  </w:pPr>
                                  <w:r>
                                    <w:rPr>
                                      <w:rFonts w:hint="eastAsia"/>
                                      <w:lang w:val="en-US" w:eastAsia="zh-CN"/>
                                    </w:rPr>
                                    <w:t>（根据实际情况调整）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9pt;margin-top:442.2pt;height:52.5pt;width:128.1pt;z-index:251661312;mso-width-relative:page;mso-height-relative:page;" fillcolor="#FFFFFF [3201]" filled="t" stroked="t" coordsize="21600,21600" o:gfxdata="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Bk1sN1wAAAAsBAAAPAAAAAAAAAAEAIAAAACIAAABkcnMvZG93bnJldi54bWxQSwECFAAU&#10;AAAACACHTuJAEKwd4mQCAADDBAAADgAAAAAAAAABACAAAAAmAQAAZHJzL2Uyb0RvYy54bWxQSwUG&#10;AAAAAAYABgBZAQAA/AUAAAAA&#10;">
                      <v:fill on="t" focussize="0,0"/>
                      <v:stroke weight="0.5pt" color="#000000 [3204]" joinstyle="round"/>
                      <v:imagedata o:title=""/>
                      <o:lock v:ext="edit" aspectratio="f"/>
                      <v:textbox>
                        <w:txbxContent>
                          <w:p>
                            <w:pPr>
                              <w:jc w:val="center"/>
                              <w:rPr>
                                <w:rFonts w:hint="eastAsia"/>
                                <w:sz w:val="15"/>
                                <w:szCs w:val="18"/>
                                <w:lang w:val="en-US" w:eastAsia="zh-CN"/>
                              </w:rPr>
                            </w:pPr>
                          </w:p>
                          <w:p>
                            <w:pPr>
                              <w:jc w:val="center"/>
                              <w:rPr>
                                <w:rFonts w:hint="eastAsia"/>
                                <w:lang w:val="en-US" w:eastAsia="zh-CN"/>
                              </w:rPr>
                            </w:pPr>
                            <w:r>
                              <w:rPr>
                                <w:rFonts w:hint="eastAsia"/>
                                <w:lang w:val="en-US" w:eastAsia="zh-CN"/>
                              </w:rPr>
                              <w:t>生活区</w:t>
                            </w:r>
                          </w:p>
                          <w:p>
                            <w:pPr>
                              <w:jc w:val="center"/>
                              <w:rPr>
                                <w:rFonts w:hint="eastAsia" w:eastAsia="宋体"/>
                                <w:lang w:val="en-US" w:eastAsia="zh-CN"/>
                              </w:rPr>
                            </w:pPr>
                            <w:r>
                              <w:rPr>
                                <w:rFonts w:hint="eastAsia"/>
                                <w:lang w:val="en-US" w:eastAsia="zh-CN"/>
                              </w:rPr>
                              <w:t>（根据实际情况调整）</w:t>
                            </w:r>
                          </w:p>
                        </w:txbxContent>
                      </v:textbox>
                    </v:shape>
                  </w:pict>
                </mc:Fallback>
              </mc:AlternateContent>
            </w:r>
            <w:r>
              <w:rPr>
                <w:rFonts w:hint="default" w:ascii="Times New Roman" w:hAnsi="Times New Roman" w:eastAsia="宋体" w:cs="Times New Roman"/>
                <w:color w:val="0000FF"/>
                <w:highlight w:val="none"/>
              </w:rPr>
              <w:pict>
                <v:group id="组合 147" o:spid="_x0000_s2236" o:spt="203" style="height:497.8pt;width:407.25pt;" coordorigin="6673,893660" coordsize="8352,9144">
                  <o:lock v:ext="edit" aspectratio="f"/>
                  <v:group id="组合 148" o:spid="_x0000_s2237" o:spt="203" style="position:absolute;left:6673;top:893660;height:9144;width:8353;" coordorigin="5343,431393" coordsize="8353,9144">
                    <o:lock v:ext="edit" aspectratio="f"/>
                    <v:shape id="Object 101" o:spid="_x0000_s2238" o:spt="75" type="#_x0000_t75" style="position:absolute;left:5596;top:431393;height:9144;width:8100;" o:ole="t" filled="f" o:preferrelative="t" stroked="f" coordsize="21600,21600">
                      <v:path/>
                      <v:fill on="f" focussize="0,0"/>
                      <v:stroke on="f"/>
                      <v:imagedata r:id="rId18" o:title=""/>
                      <o:lock v:ext="edit" aspectratio="f"/>
                    </v:shape>
                    <v:shape id="图片 28" o:spid="_x0000_s2239" o:spt="75" type="#_x0000_t75" style="position:absolute;left:5343;top:431405;height:1406;width:1417;" filled="f" o:preferrelative="t" stroked="t" coordsize="21600,21600">
                      <v:path/>
                      <v:fill on="f" focussize="0,0"/>
                      <v:stroke weight="0.5pt" color="#000000" joinstyle="round"/>
                      <v:imagedata r:id="rId19" cropbottom="1190f" o:title=""/>
                      <o:lock v:ext="edit" aspectratio="t"/>
                    </v:shape>
                  </v:group>
                  <v:rect id="矩形 151" o:spid="_x0000_s2240" o:spt="1" style="position:absolute;left:13050;top:896747;height:915;width:585;" fillcolor="#FFFFFF" filled="t" stroked="f" coordsize="21600,21600">
                    <v:path/>
                    <v:fill on="t" color2="#FFFFFF" focussize="0,0"/>
                    <v:stroke on="f"/>
                    <v:imagedata o:title=""/>
                    <o:lock v:ext="edit" aspectratio="f"/>
                  </v:rect>
                  <w10:wrap type="none"/>
                  <w10:anchorlock/>
                </v:group>
                <o:OLEObject Type="Embed" ProgID="" ShapeID="Object 101" DrawAspect="Content" ObjectID="_1468075725" r:id="rId17">
                  <o:LockedField>false</o:LockedField>
                </o:OLEObject>
              </w:pic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lang w:val="en-US" w:eastAsia="zh-CN"/>
              </w:rPr>
              <w:t xml:space="preserve">    井场平面及现场布置示意图</w:t>
            </w: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5"/>
                <w:highlight w:val="none"/>
              </w:rPr>
              <mc:AlternateContent>
                <mc:Choice Requires="wpg">
                  <w:drawing>
                    <wp:inline distT="0" distB="0" distL="114300" distR="114300">
                      <wp:extent cx="5295265" cy="6346825"/>
                      <wp:effectExtent l="0" t="0" r="635" b="15875"/>
                      <wp:docPr id="35" name="组合 171"/>
                      <wp:cNvGraphicFramePr/>
                      <a:graphic xmlns:a="http://schemas.openxmlformats.org/drawingml/2006/main">
                        <a:graphicData uri="http://schemas.microsoft.com/office/word/2010/wordprocessingGroup">
                          <wpg:wgp>
                            <wpg:cNvGrpSpPr/>
                            <wpg:grpSpPr>
                              <a:xfrm>
                                <a:off x="0" y="0"/>
                                <a:ext cx="5295291" cy="6346825"/>
                                <a:chOff x="6858" y="910421"/>
                                <a:chExt cx="8005" cy="9638"/>
                              </a:xfrm>
                            </wpg:grpSpPr>
                            <pic:pic xmlns:pic="http://schemas.openxmlformats.org/drawingml/2006/picture">
                              <pic:nvPicPr>
                                <pic:cNvPr id="31" name="图片 3" descr="试油平面1"/>
                                <pic:cNvPicPr>
                                  <a:picLocks noChangeAspect="1"/>
                                </pic:cNvPicPr>
                              </pic:nvPicPr>
                              <pic:blipFill>
                                <a:blip r:embed="rId20"/>
                                <a:stretch>
                                  <a:fillRect/>
                                </a:stretch>
                              </pic:blipFill>
                              <pic:spPr>
                                <a:xfrm>
                                  <a:off x="6858" y="910421"/>
                                  <a:ext cx="8005" cy="9638"/>
                                </a:xfrm>
                                <a:prstGeom prst="rect">
                                  <a:avLst/>
                                </a:prstGeom>
                                <a:noFill/>
                                <a:ln>
                                  <a:noFill/>
                                </a:ln>
                              </pic:spPr>
                            </pic:pic>
                            <wps:wsp>
                              <wps:cNvPr id="32" name="文本框 2"/>
                              <wps:cNvSpPr txBox="1"/>
                              <wps:spPr>
                                <a:xfrm>
                                  <a:off x="7845" y="918640"/>
                                  <a:ext cx="2207" cy="79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jc w:val="center"/>
                                    </w:pPr>
                                    <w:r>
                                      <w:rPr>
                                        <w:rFonts w:hint="eastAsia"/>
                                      </w:rPr>
                                      <w:t>膨润土岩屑池</w:t>
                                    </w:r>
                                  </w:p>
                                </w:txbxContent>
                              </wps:txbx>
                              <wps:bodyPr vert="horz" wrap="square" lIns="91440" tIns="154800" rIns="91440" bIns="82800" anchor="t" anchorCtr="0" upright="1"/>
                            </wps:wsp>
                            <wps:wsp>
                              <wps:cNvPr id="33" name="文本框 1086"/>
                              <wps:cNvSpPr txBox="1"/>
                              <wps:spPr>
                                <a:xfrm>
                                  <a:off x="7361" y="913821"/>
                                  <a:ext cx="1019" cy="434"/>
                                </a:xfrm>
                                <a:prstGeom prst="rect">
                                  <a:avLst/>
                                </a:prstGeom>
                                <a:solidFill>
                                  <a:srgbClr val="FFFFFF"/>
                                </a:solidFill>
                                <a:ln>
                                  <a:noFill/>
                                </a:ln>
                              </wps:spPr>
                              <wps:txbx>
                                <w:txbxContent>
                                  <w:p>
                                    <w:pPr>
                                      <w:rPr>
                                        <w:rFonts w:hint="eastAsia"/>
                                        <w:sz w:val="16"/>
                                        <w:szCs w:val="16"/>
                                      </w:rPr>
                                    </w:pPr>
                                    <w:r>
                                      <w:rPr>
                                        <w:rFonts w:hint="eastAsia" w:hAnsi="宋体"/>
                                        <w:spacing w:val="-10"/>
                                        <w:sz w:val="16"/>
                                        <w:szCs w:val="16"/>
                                      </w:rPr>
                                      <w:t>油水储罐</w:t>
                                    </w:r>
                                  </w:p>
                                </w:txbxContent>
                              </wps:txbx>
                              <wps:bodyPr vert="horz" wrap="square" anchor="t" anchorCtr="0" upright="1"/>
                            </wps:wsp>
                          </wpg:wgp>
                        </a:graphicData>
                      </a:graphic>
                    </wp:inline>
                  </w:drawing>
                </mc:Choice>
                <mc:Fallback>
                  <w:pict>
                    <v:group id="组合 171" o:spid="_x0000_s1026" o:spt="203" style="height:499.75pt;width:416.95pt;" coordorigin="6858,910421" coordsize="8005,9638" o:gfxdata="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Fhgsxu0AAAAIgEAABkAAABkcnMvX3JlbHMvZTJvRG9jLnhtbC5yZWxzhY/LCsIwEEX3&#10;gv8QZm/TuhCRpm5EcCv1A4ZkmkabB0kU+/cG3CgILude7jlMu3/aiT0oJuOdgKaqgZGTXhmnBVz6&#10;42oLLGV0CifvSMBMCfbdctGeacJcRmk0IbFCcUnAmHPYcZ7kSBZT5QO50gw+WszljJoHlDfUxNd1&#10;veHxkwHdF5OdlIB4Ug2wfg7F/J/th8FIOnh5t+TyDwU3trgLEKOmLMCSMvgOm+oaSAPvWv71WfcC&#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">
                      <o:lock v:ext="edit" aspectratio="f"/>
                      <v:shape id="图片 3" o:spid="_x0000_s1026" o:spt="75" alt="试油平面1" type="#_x0000_t75" style="position:absolute;left:6858;top:910421;height:9638;width:8005;" filled="f" o:preferrelative="t" stroked="f" coordsize="21600,21600" o:gfxdata="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f7luq8AAAA&#10;2wAAAA8AAAAAAAAAAQAgAAAAIgAAAGRycy9kb3ducmV2LnhtbFBLAQIUABQAAAAIAIdO4kAzLwWe&#10;OwAAADkAAAAQAAAAAAAAAAEAIAAAAAsBAABkcnMvc2hhcGV4bWwueG1sUEsFBgAAAAAGAAYAWwEA&#10;ALUDAAAAAA==&#10;">
                        <v:fill on="f" focussize="0,0"/>
                        <v:stroke on="f"/>
                        <v:imagedata r:id="rId20" o:title=""/>
                        <o:lock v:ext="edit" aspectratio="t"/>
                      </v:shape>
                      <v:shape id="文本框 2" o:spid="_x0000_s1026" o:spt="202" type="#_x0000_t202" style="position:absolute;left:7845;top:918640;height:799;width:2207;" fillcolor="#FFFFFF" filled="t" stroked="t" coordsize="21600,21600" o:gfxdata="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wbNe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2.54mm,4.3mm,2.54mm,2.3mm">
                          <w:txbxContent>
                            <w:p>
                              <w:pPr>
                                <w:adjustRightInd w:val="0"/>
                                <w:snapToGrid w:val="0"/>
                                <w:jc w:val="center"/>
                              </w:pPr>
                              <w:r>
                                <w:rPr>
                                  <w:rFonts w:hint="eastAsia"/>
                                </w:rPr>
                                <w:t>膨润土岩屑池</w:t>
                              </w:r>
                            </w:p>
                          </w:txbxContent>
                        </v:textbox>
                      </v:shape>
                      <v:shape id="文本框 1086" o:spid="_x0000_s1026" o:spt="202" type="#_x0000_t202" style="position:absolute;left:7361;top:913821;height:434;width:1019;" fillcolor="#FFFFFF" filled="t" stroked="f" coordsize="21600,21600" o:gfxdata="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TVqZ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sz w:val="16"/>
                                  <w:szCs w:val="16"/>
                                </w:rPr>
                              </w:pPr>
                              <w:r>
                                <w:rPr>
                                  <w:rFonts w:hint="eastAsia" w:hAnsi="宋体"/>
                                  <w:spacing w:val="-10"/>
                                  <w:sz w:val="16"/>
                                  <w:szCs w:val="16"/>
                                </w:rPr>
                                <w:t>油水储罐</w:t>
                              </w:r>
                            </w:p>
                          </w:txbxContent>
                        </v:textbox>
                      </v:shape>
                      <w10:wrap type="none"/>
                      <w10:anchorlock/>
                    </v:group>
                  </w:pict>
                </mc:Fallback>
              </mc:AlternateConten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val="zh-CN" w:eastAsia="zh-CN"/>
              </w:rPr>
              <w:t xml:space="preserve"> </w:t>
            </w:r>
            <w:r>
              <w:rPr>
                <w:rFonts w:hint="default" w:ascii="Times New Roman" w:hAnsi="Times New Roman" w:eastAsia="宋体" w:cs="Times New Roman"/>
                <w:b/>
                <w:bCs/>
                <w:color w:val="auto"/>
                <w:sz w:val="24"/>
                <w:szCs w:val="24"/>
                <w:highlight w:val="none"/>
                <w:lang w:val="en-US" w:eastAsia="zh-CN"/>
              </w:rPr>
              <w:t>测试放喷井场平面布置示意图</w:t>
            </w: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auto"/>
                <w:sz w:val="24"/>
                <w:szCs w:val="24"/>
                <w:highlight w:val="none"/>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0000FF"/>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3" w:hRule="atLeast"/>
          <w:jc w:val="center"/>
        </w:trPr>
        <w:tc>
          <w:tcPr>
            <w:tcW w:w="49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4"/>
                <w:szCs w:val="24"/>
                <w:highlight w:val="none"/>
                <w:lang w:val="en-US" w:eastAsia="zh-CN"/>
              </w:rPr>
              <w:t>施工方案</w:t>
            </w:r>
          </w:p>
        </w:tc>
        <w:tc>
          <w:tcPr>
            <w:tcW w:w="8576" w:type="dxa"/>
            <w:noWrap w:val="0"/>
            <w:tcMar>
              <w:left w:w="108" w:type="dxa"/>
              <w:right w:w="108" w:type="dxa"/>
            </w:tcMar>
            <w:vAlign w:val="top"/>
          </w:tcPr>
          <w:p>
            <w:pPr>
              <w:keepNext w:val="0"/>
              <w:keepLines w:val="0"/>
              <w:pageBreakBefore w:val="0"/>
              <w:suppressLineNumbers w:val="0"/>
              <w:tabs>
                <w:tab w:val="left" w:pos="2310"/>
              </w:tabs>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一、施工工艺流程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钻井过程主要包括钻前工程（井场平整、进场道路建设、放喷池、钻井平台等建设）、设备搬运及安装、钻井（固井、录井）、完井、测井、试井、封井等，本项目设计完钻深度为</w:t>
            </w:r>
            <w:r>
              <w:rPr>
                <w:rFonts w:hint="eastAsia" w:ascii="Times New Roman" w:cs="Times New Roman"/>
                <w:bCs/>
                <w:color w:val="auto"/>
                <w:sz w:val="24"/>
                <w:szCs w:val="24"/>
                <w:highlight w:val="none"/>
                <w:lang w:val="en-US" w:eastAsia="zh-CN"/>
              </w:rPr>
              <w:t>8650</w:t>
            </w:r>
            <w:r>
              <w:rPr>
                <w:rFonts w:hint="default" w:ascii="Times New Roman" w:hAnsi="Times New Roman" w:eastAsia="宋体" w:cs="Times New Roman"/>
                <w:bCs/>
                <w:color w:val="auto"/>
                <w:sz w:val="24"/>
                <w:szCs w:val="24"/>
                <w:highlight w:val="none"/>
                <w:lang w:val="en-US" w:eastAsia="zh-CN"/>
              </w:rPr>
              <w:t>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本项目施工工艺主要包括钻前工程（井场建设、设备搬运及安装）、钻井工程（含储层改造及测试放喷）、钻后工程等。施工工艺流程示意图见下图。</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auto"/>
                <w:sz w:val="24"/>
                <w:szCs w:val="24"/>
                <w:highlight w:val="none"/>
              </w:rPr>
              <w:pict>
                <v:group id="组合 167" o:spid="_x0000_s2244" o:spt="203" style="position:absolute;left:0pt;margin-left:28.45pt;margin-top:0pt;height:195.3pt;width:361.1pt;mso-wrap-distance-bottom:0pt;mso-wrap-distance-top:0pt;z-index:251660288;mso-width-relative:page;mso-height-relative:page;" coordorigin="5388,978207" coordsize="7222,3906">
                  <o:lock v:ext="edit" aspectratio="f"/>
                  <v:shape id="对象 444" o:spid="_x0000_s2245" o:spt="75" type="#_x0000_t75" style="position:absolute;left:5388;top:978207;height:3906;width:7222;" o:ole="t" filled="f" o:preferrelative="t" stroked="f" coordsize="21600,21600">
                    <v:path/>
                    <v:fill on="f" focussize="0,0"/>
                    <v:stroke on="f"/>
                    <v:imagedata r:id="rId22" o:title=""/>
                    <o:lock v:ext="edit" aspectratio="t"/>
                  </v:shape>
                  <v:shape id="文本框 354" o:spid="_x0000_s2246" o:spt="202" type="#_x0000_t202" style="position:absolute;left:6298;top:980621;height:472;width:6037;" fillcolor="#FFFFFF" filled="t" stroked="t" coordsize="21600,21600">
                    <v:path/>
                    <v:fill on="t" color2="#FFFFFF" focussize="0,0"/>
                    <v:stroke joinstyle="miter"/>
                    <v:imagedata o:title=""/>
                    <o:lock v:ext="edit" aspectratio="f"/>
                    <v:textbox>
                      <w:txbxContent>
                        <w:p>
                          <w:pPr>
                            <w:rPr>
                              <w:rFonts w:hint="eastAsia"/>
                              <w:sz w:val="18"/>
                              <w:szCs w:val="20"/>
                            </w:rPr>
                          </w:pPr>
                          <w:r>
                            <w:rPr>
                              <w:rFonts w:hint="eastAsia"/>
                              <w:sz w:val="18"/>
                              <w:szCs w:val="20"/>
                            </w:rPr>
                            <w:t>储层改造、测试放喷、设备拆迁（若无油气或无工业开采价值直接封井）</w:t>
                          </w:r>
                        </w:p>
                      </w:txbxContent>
                    </v:textbox>
                  </v:shape>
                  <w10:wrap type="topAndBottom"/>
                </v:group>
                <o:OLEObject Type="Embed" ProgID="" ShapeID="对象 444" DrawAspect="Content" ObjectID="_1468075726" r:id="rId21">
                  <o:LockedField>false</o:LockedField>
                </o:OLEObject>
              </w:pict>
            </w: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 xml:space="preserve">    工程施工工艺过程示意图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1、钻前工程概况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项目钻前工程主要为临时井场道路、井场建设。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（1）道路建设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本项目运输尽量依托现有道路，结合地形等条件估算，本项目需修建临时井场道路</w:t>
            </w:r>
            <w:r>
              <w:rPr>
                <w:rFonts w:hint="eastAsia" w:ascii="Times New Roman" w:cs="Times New Roman"/>
                <w:color w:val="auto"/>
                <w:sz w:val="24"/>
                <w:szCs w:val="24"/>
                <w:highlight w:val="none"/>
                <w:lang w:val="en-US" w:eastAsia="zh-CN"/>
              </w:rPr>
              <w:t>310</w:t>
            </w:r>
            <w:r>
              <w:rPr>
                <w:rFonts w:hint="default" w:ascii="Times New Roman" w:hAnsi="Times New Roman" w:eastAsia="宋体" w:cs="Times New Roman"/>
                <w:color w:val="auto"/>
                <w:sz w:val="24"/>
                <w:szCs w:val="24"/>
                <w:highlight w:val="none"/>
                <w:lang w:val="en-US" w:eastAsia="zh-CN"/>
              </w:rPr>
              <w:t>m，井场道路路面结构层为：20cm厚级配砾石路面+20cm厚天然砂砾垫层，为砂石路面。根据选定路线由推土机推平、压实。</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（2）井场建设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井场平面布置图，首先对井场进行初步平整，然后采用挖掘机进行岩屑池、放喷池等池体开挖作业，并利用岩屑池、放喷池的挖方进行填方作业，对场地进行平整。场地平整作业结束后，进行设备基础及池体防渗工程的建设。本工程井场</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池体共开挖土方为8950m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，开挖土方全部回填。</w:t>
            </w:r>
            <w:bookmarkStart w:id="19" w:name="_Toc197413055"/>
            <w:bookmarkStart w:id="20" w:name="_Toc197412921"/>
            <w:bookmarkStart w:id="21" w:name="_Toc32191"/>
            <w:bookmarkStart w:id="22" w:name="_Toc534"/>
            <w:bookmarkStart w:id="23" w:name="_Toc14713"/>
            <w:bookmarkStart w:id="24" w:name="_Toc4259"/>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2、钻井工程（含测试放喷）施工工艺简述</w:t>
            </w:r>
            <w:bookmarkEnd w:id="19"/>
            <w:bookmarkEnd w:id="20"/>
            <w:bookmarkEnd w:id="21"/>
            <w:bookmarkEnd w:id="22"/>
            <w:bookmarkEnd w:id="23"/>
            <w:bookmarkEnd w:id="24"/>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工程设计井深</w:t>
            </w:r>
            <w:r>
              <w:rPr>
                <w:rFonts w:hint="eastAsia" w:ascii="Times New Roman" w:cs="Times New Roman"/>
                <w:color w:val="auto"/>
                <w:sz w:val="24"/>
                <w:szCs w:val="24"/>
                <w:highlight w:val="none"/>
                <w:lang w:val="en-US" w:eastAsia="zh-CN"/>
              </w:rPr>
              <w:t>8650</w:t>
            </w:r>
            <w:r>
              <w:rPr>
                <w:rFonts w:hint="default" w:ascii="Times New Roman" w:hAnsi="Times New Roman" w:eastAsia="宋体" w:cs="Times New Roman"/>
                <w:color w:val="auto"/>
                <w:sz w:val="24"/>
                <w:szCs w:val="24"/>
                <w:highlight w:val="none"/>
                <w:lang w:val="en-US" w:eastAsia="zh-CN"/>
              </w:rPr>
              <w:t>m，采用</w:t>
            </w:r>
            <w:r>
              <w:rPr>
                <w:rFonts w:hint="eastAsia" w:ascii="Times New Roman" w:cs="Times New Roman"/>
                <w:color w:val="auto"/>
                <w:sz w:val="24"/>
                <w:szCs w:val="24"/>
                <w:highlight w:val="none"/>
                <w:lang w:val="en-US" w:eastAsia="zh-CN"/>
              </w:rPr>
              <w:t>90D</w:t>
            </w:r>
            <w:r>
              <w:rPr>
                <w:rFonts w:hint="default" w:ascii="Times New Roman" w:hAnsi="Times New Roman" w:eastAsia="宋体" w:cs="Times New Roman"/>
                <w:color w:val="auto"/>
                <w:sz w:val="24"/>
                <w:szCs w:val="24"/>
                <w:highlight w:val="none"/>
                <w:lang w:val="en-US" w:eastAsia="zh-CN"/>
              </w:rPr>
              <w:t>及以上钻机，目的层为</w:t>
            </w:r>
            <w:r>
              <w:rPr>
                <w:rFonts w:hint="eastAsia" w:ascii="Times New Roman" w:cs="Times New Roman"/>
                <w:color w:val="auto"/>
                <w:sz w:val="24"/>
                <w:szCs w:val="24"/>
                <w:highlight w:val="none"/>
                <w:lang w:val="en-US" w:eastAsia="zh-CN"/>
              </w:rPr>
              <w:t>寒武系吾松格尔、肖尔布拉克组</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（1）钻井作业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工程预计钻井施工天数约</w:t>
            </w:r>
            <w:r>
              <w:rPr>
                <w:rFonts w:hint="eastAsia" w:ascii="Times New Roman" w:cs="Times New Roman"/>
                <w:color w:val="auto"/>
                <w:sz w:val="24"/>
                <w:szCs w:val="24"/>
                <w:highlight w:val="none"/>
                <w:lang w:val="en-US" w:eastAsia="zh-CN"/>
              </w:rPr>
              <w:t>180</w:t>
            </w:r>
            <w:r>
              <w:rPr>
                <w:rFonts w:hint="default" w:ascii="Times New Roman" w:hAnsi="Times New Roman" w:eastAsia="宋体" w:cs="Times New Roman"/>
                <w:color w:val="auto"/>
                <w:sz w:val="24"/>
                <w:szCs w:val="24"/>
                <w:highlight w:val="none"/>
                <w:lang w:val="en-US" w:eastAsia="zh-CN"/>
              </w:rPr>
              <w:t>d，其中钻前工程约10d，钻井期预计</w:t>
            </w:r>
            <w:r>
              <w:rPr>
                <w:rFonts w:hint="eastAsia" w:ascii="Times New Roman" w:cs="Times New Roman"/>
                <w:color w:val="auto"/>
                <w:sz w:val="24"/>
                <w:szCs w:val="24"/>
                <w:highlight w:val="none"/>
                <w:lang w:val="en-US" w:eastAsia="zh-CN"/>
              </w:rPr>
              <w:t>160</w:t>
            </w:r>
            <w:r>
              <w:rPr>
                <w:rFonts w:hint="default" w:ascii="Times New Roman" w:hAnsi="Times New Roman" w:eastAsia="宋体" w:cs="Times New Roman"/>
                <w:color w:val="auto"/>
                <w:sz w:val="24"/>
                <w:szCs w:val="24"/>
                <w:highlight w:val="none"/>
                <w:lang w:val="en-US" w:eastAsia="zh-CN"/>
              </w:rPr>
              <w:t>d（其中测试放喷15d～20d），钻后工程约10d。钻前工程和井队转场每天工作12h，钻井期每天工作24h，三班两运转。</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钻井使用的钻机为电钻机，主要由柴油发电机供电，通过钻机、转盘、钻杆、带动钻头切削地层，同时泥浆由泥浆泵经钻杆向井内注入井筒冲刷井底，利用其粘性将切削下的岩屑不断地带至地面，整个过程循环进行，使井不断加深至目的层。泥浆采用“泥浆不落地”工艺收集，泥浆排入泥浆罐循环使用，完井后拉运至下一口井再利用，膨润土体系废弃钻井岩屑排入防渗岩屑池干化，干化达到《油气田钻井固体废物综合利用污染控制要求》（DB65/T 3997-2017）</w:t>
            </w:r>
            <w:r>
              <w:rPr>
                <w:rFonts w:hint="default" w:ascii="Times New Roman" w:hAnsi="Times New Roman" w:eastAsia="宋体" w:cs="Times New Roman"/>
                <w:color w:val="auto"/>
                <w:spacing w:val="0"/>
                <w:sz w:val="24"/>
                <w:szCs w:val="24"/>
                <w:highlight w:val="none"/>
                <w:lang w:val="en-US" w:eastAsia="zh-CN"/>
              </w:rPr>
              <w:t>及《石油天然气开采业固体废物污染控制技术规范（试行）》（HJ1461-2026）标准</w:t>
            </w:r>
            <w:r>
              <w:rPr>
                <w:rFonts w:hint="default" w:ascii="Times New Roman" w:hAnsi="Times New Roman" w:eastAsia="宋体" w:cs="Times New Roman"/>
                <w:color w:val="auto"/>
                <w:sz w:val="24"/>
                <w:szCs w:val="24"/>
                <w:highlight w:val="none"/>
                <w:lang w:val="en-US" w:eastAsia="zh-CN"/>
              </w:rPr>
              <w:t>后，用于井场平整，严格执行钻井作业规程和安全规程。加强随钻监测，配备安全有效的防喷设备、</w:t>
            </w:r>
            <w:r>
              <w:rPr>
                <w:rFonts w:hint="default" w:ascii="Times New Roman" w:hAnsi="Times New Roman" w:eastAsia="宋体" w:cs="Times New Roman"/>
                <w:color w:val="auto"/>
                <w:sz w:val="24"/>
                <w:szCs w:val="24"/>
                <w:highlight w:val="none"/>
                <w:shd w:val="clear"/>
                <w:lang w:val="en-US" w:eastAsia="zh-CN"/>
              </w:rPr>
              <w:t>压井材料及井控设备，建立健全井控管理系统；</w:t>
            </w:r>
            <w:r>
              <w:rPr>
                <w:rFonts w:hint="eastAsia" w:ascii="Times New Roman" w:cs="Times New Roman"/>
                <w:color w:val="auto"/>
                <w:sz w:val="24"/>
                <w:szCs w:val="24"/>
                <w:highlight w:val="none"/>
                <w:shd w:val="clear"/>
                <w:lang w:val="en-US" w:eastAsia="zh-CN"/>
              </w:rPr>
              <w:t>聚磺体系废弃钻井岩屑收集后拉运至塔中油田钻试修废弃物环保处理站处理</w:t>
            </w:r>
            <w:r>
              <w:rPr>
                <w:rFonts w:hint="default" w:ascii="Times New Roman" w:hAnsi="Times New Roman" w:eastAsia="宋体" w:cs="Times New Roman"/>
                <w:color w:val="auto"/>
                <w:sz w:val="24"/>
                <w:szCs w:val="24"/>
                <w:highlight w:val="none"/>
                <w:shd w:val="clear"/>
                <w:lang w:val="en-US" w:eastAsia="zh-CN"/>
              </w:rPr>
              <w:t>，处理达标后还原土用于铺垫油区内的井场、道路；钻井中途需要停钻，以便起下钻具更换钻头、下套管、固井、替换钻井液和检修</w:t>
            </w:r>
            <w:r>
              <w:rPr>
                <w:rFonts w:hint="default" w:ascii="Times New Roman" w:hAnsi="Times New Roman" w:eastAsia="宋体" w:cs="Times New Roman"/>
                <w:color w:val="auto"/>
                <w:sz w:val="24"/>
                <w:szCs w:val="24"/>
                <w:highlight w:val="none"/>
                <w:lang w:val="en-US" w:eastAsia="zh-CN"/>
              </w:rPr>
              <w:t>设备。钻井用泥浆在泥浆罐内配制，在钻井过程中根据地层对泥浆性能的要求不同在循环泥浆中添加不同量原料，配制泥浆用原料暂存于井场泥浆罐区旁材料区内，配制时由人工破袋加入泥浆罐中。生物质锅炉主要用作泥浆保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钻井泥浆不落地工艺：采用“泥浆不落地”工艺收集，项目在钻井期间产生的废弃钻井液、岩屑及钻井废水经振动筛、除砂器、除泥器、离心机四级分离后，实现初步分离，分离出的液相进入废水收集罐，再到废水处理罐，在罐内处理后重复利用。岩屑随钻井泥浆带出，泥浆排入泥浆罐循环使用，完井后拉运至下一口井再利用</w:t>
            </w:r>
            <w:r>
              <w:rPr>
                <w:rFonts w:hint="default" w:ascii="Times New Roman" w:hAnsi="Times New Roman" w:eastAsia="宋体" w:cs="Times New Roman"/>
                <w:color w:val="auto"/>
                <w:spacing w:val="0"/>
                <w:sz w:val="21"/>
                <w:szCs w:val="21"/>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膨润土体系废弃钻井岩屑排入防渗岩屑池干化，达到《油气田钻井固体废物综合利用污染控制要求》（DB65/T 3997-2017）及《石油天然气开采业固体废物污染控制技术规范（试行）》（HJ1461-2026）标准后，用于井场平整；</w:t>
            </w:r>
            <w:r>
              <w:rPr>
                <w:rFonts w:hint="eastAsia" w:ascii="Times New Roman" w:cs="Times New Roman"/>
                <w:color w:val="auto"/>
                <w:spacing w:val="0"/>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pacing w:val="0"/>
                <w:sz w:val="24"/>
                <w:szCs w:val="24"/>
                <w:highlight w:val="none"/>
                <w:lang w:val="en-US" w:eastAsia="zh-CN"/>
              </w:rPr>
              <w:t>，处理达标后还原土用于铺垫油区内的井场、道路。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至设计井深中段开始进行录井（主要工作是记录钻井过程中的所有地质参数），主要包括钻时录井、气测录井、钻井液录井、岩屑录井、岩心录井和压力录井，其中岩屑录井是获取井下地层岩石样品的重要手段。录井时，要随钻井进尺每隔1米左右从返出的钻井液中捞一包砂样，洗净晒干，进行岩性观察描述，并挑选出相对应地层的岩样。由于砂样中混有上部地层的岩屑，工作人员通常会根据砂样中不同岩样的百分含量和最新出现的岩屑成分来确定岩性，并用钻时快慢区分砂岩、泥岩等。若是发现钻时快，砂岩岩屑多而且呈棕褐色，有油味，可能显示钻遇油气层，而钻遇非含油气砂岩层时则多是白色、灰白色砂岩岩屑。</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井是利用专用仪器设备测量岩层的电化学特性、导电特性、声学特性、放射性等地球物理特性，以获取岩层的孔隙度、渗透率以及含油气情况等地层信息。根据地质需要，选用适合的测井项目对钻开地层进行电测，最终根据电测曲线了解地层的特征及地层含气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本项目如若使用放射源测井，提供服务的主要为塔里木油田服务的乙方单位，均已编制了测井用密封型放射源项目环境影响报告表，取得环评批复及新疆维吾尔自治区生态环境厅《辐射安全许可证》的单位。</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rPr>
            </w:pPr>
            <w:bookmarkStart w:id="25" w:name="_Toc197413057"/>
            <w:bookmarkStart w:id="26" w:name="_Toc197412923"/>
            <w:r>
              <w:rPr>
                <w:rFonts w:hint="default" w:ascii="Times New Roman" w:hAnsi="Times New Roman" w:eastAsia="宋体" w:cs="Times New Roman"/>
                <w:color w:val="auto"/>
                <w:spacing w:val="0"/>
                <w:kern w:val="2"/>
                <w:sz w:val="24"/>
                <w:szCs w:val="24"/>
                <w:lang w:val="en-US" w:eastAsia="zh-CN" w:bidi="ar"/>
              </w:rPr>
              <w:t>固井是在已钻成的井筒内下入套管，然后在套管与井壁之间</w:t>
            </w:r>
            <w:r>
              <w:rPr>
                <w:rFonts w:hint="eastAsia" w:ascii="Times New Roman" w:cs="Times New Roman"/>
                <w:color w:val="auto"/>
                <w:spacing w:val="0"/>
                <w:kern w:val="2"/>
                <w:sz w:val="24"/>
                <w:szCs w:val="24"/>
                <w:lang w:val="en-US" w:eastAsia="zh-CN" w:bidi="ar"/>
              </w:rPr>
              <w:t>环孔</w:t>
            </w:r>
            <w:r>
              <w:rPr>
                <w:rFonts w:hint="default" w:ascii="Times New Roman" w:hAnsi="Times New Roman" w:eastAsia="宋体" w:cs="Times New Roman"/>
                <w:color w:val="auto"/>
                <w:spacing w:val="0"/>
                <w:kern w:val="2"/>
                <w:sz w:val="24"/>
                <w:szCs w:val="24"/>
                <w:lang w:val="en-US" w:eastAsia="zh-CN" w:bidi="ar"/>
              </w:rPr>
              <w:t>内注入</w:t>
            </w:r>
            <w:r>
              <w:rPr>
                <w:rFonts w:hint="eastAsia" w:ascii="Times New Roman" w:cs="Times New Roman"/>
                <w:color w:val="auto"/>
                <w:spacing w:val="0"/>
                <w:kern w:val="2"/>
                <w:sz w:val="24"/>
                <w:szCs w:val="24"/>
                <w:lang w:val="en-US" w:eastAsia="zh-CN" w:bidi="ar"/>
              </w:rPr>
              <w:t>水</w:t>
            </w:r>
            <w:r>
              <w:rPr>
                <w:rFonts w:hint="default" w:ascii="Times New Roman" w:hAnsi="Times New Roman" w:eastAsia="宋体" w:cs="Times New Roman"/>
                <w:color w:val="auto"/>
                <w:spacing w:val="0"/>
                <w:kern w:val="2"/>
                <w:sz w:val="24"/>
                <w:szCs w:val="24"/>
                <w:lang w:val="en-US" w:eastAsia="zh-CN" w:bidi="ar"/>
              </w:rPr>
              <w:t>泥浆，将套管和地层固结在一起的工艺过程，以保证安全继续钻进下一段井筒或保证顺利开采生产层中的油气资源。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lang w:val="en-US" w:eastAsia="zh-CN"/>
              </w:rPr>
            </w:pPr>
            <w:bookmarkStart w:id="27" w:name="_Toc197412922"/>
            <w:bookmarkStart w:id="28" w:name="_Toc197413056"/>
            <w:r>
              <w:rPr>
                <w:rFonts w:hint="default" w:ascii="Times New Roman" w:hAnsi="Times New Roman" w:eastAsia="宋体" w:cs="Times New Roman"/>
                <w:b/>
                <w:bCs/>
                <w:color w:val="auto"/>
                <w:sz w:val="24"/>
                <w:lang w:val="en-US" w:eastAsia="zh-CN"/>
              </w:rPr>
              <w:t>（</w:t>
            </w:r>
            <w:r>
              <w:rPr>
                <w:rFonts w:hint="eastAsia" w:ascii="Times New Roman" w:cs="Times New Roman"/>
                <w:b/>
                <w:bCs/>
                <w:color w:val="auto"/>
                <w:sz w:val="24"/>
                <w:lang w:val="en-US" w:eastAsia="zh-CN"/>
              </w:rPr>
              <w:t>2</w:t>
            </w:r>
            <w:r>
              <w:rPr>
                <w:rFonts w:hint="default" w:ascii="Times New Roman" w:hAnsi="Times New Roman" w:eastAsia="宋体" w:cs="Times New Roman"/>
                <w:b/>
                <w:bCs/>
                <w:color w:val="auto"/>
                <w:sz w:val="24"/>
                <w:lang w:val="en-US" w:eastAsia="zh-CN"/>
              </w:rPr>
              <w:t>）储层改造</w:t>
            </w:r>
            <w:bookmarkEnd w:id="27"/>
            <w:bookmarkEnd w:id="28"/>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sz w:val="24"/>
                <w:lang w:val="en-US" w:eastAsia="zh-CN"/>
              </w:rPr>
              <w:t>当钻至目的层后，对油气进行测试，需进行射孔，用射孔枪打开产层，用酸化压裂液清洗裂隙，改善地层近井地带渗透率，使含油层的油气资源通过裂隙采出</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w:t>
            </w:r>
            <w:r>
              <w:rPr>
                <w:rFonts w:hint="eastAsia" w:ascii="Times New Roman" w:cs="Times New Roman"/>
                <w:b/>
                <w:color w:val="auto"/>
                <w:sz w:val="24"/>
                <w:szCs w:val="20"/>
                <w:highlight w:val="none"/>
                <w:lang w:val="en-US" w:eastAsia="zh-CN"/>
              </w:rPr>
              <w:t>3</w:t>
            </w:r>
            <w:r>
              <w:rPr>
                <w:rFonts w:hint="default" w:ascii="Times New Roman" w:hAnsi="Times New Roman" w:eastAsia="宋体" w:cs="Times New Roman"/>
                <w:b/>
                <w:color w:val="auto"/>
                <w:sz w:val="24"/>
                <w:szCs w:val="20"/>
                <w:highlight w:val="none"/>
                <w:lang w:val="en-US" w:eastAsia="zh-CN"/>
              </w:rPr>
              <w:t>）测试放喷</w:t>
            </w:r>
            <w:bookmarkEnd w:id="25"/>
            <w:bookmarkEnd w:id="26"/>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测试放喷前安装井口放喷专用管线、各种计量设备、油气两相分离设备</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凝析油罐等。如有油气资源，则采出液经油气分离器分离后，原油进入</w:t>
            </w:r>
            <w:r>
              <w:rPr>
                <w:rFonts w:hint="eastAsia" w:ascii="Times New Roman" w:cs="Times New Roman"/>
                <w:color w:val="auto"/>
                <w:sz w:val="24"/>
                <w:szCs w:val="24"/>
                <w:highlight w:val="none"/>
                <w:lang w:val="en-US" w:eastAsia="zh-CN"/>
              </w:rPr>
              <w:t>凝析油罐</w:t>
            </w:r>
            <w:r>
              <w:rPr>
                <w:rFonts w:hint="default" w:ascii="Times New Roman" w:hAnsi="Times New Roman" w:eastAsia="宋体" w:cs="Times New Roman"/>
                <w:color w:val="auto"/>
                <w:sz w:val="24"/>
                <w:szCs w:val="24"/>
                <w:highlight w:val="none"/>
                <w:lang w:val="en-US" w:eastAsia="zh-CN"/>
              </w:rPr>
              <w:t>，天然气经管线引至放喷池点燃，依据具体情况设定放喷时间，一般为1</w:t>
            </w:r>
            <w:r>
              <w:rPr>
                <w:rFonts w:hint="eastAsia" w:asci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w:t>
            </w:r>
            <w:r>
              <w:rPr>
                <w:rFonts w:hint="eastAsia" w:ascii="Times New Roman"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天时间。油气经井口装置节流、降压，进入油气计量分离器，分离后的液相（包括油和水）通过管线输送至凝析油罐，再由油罐车拉走，天然气通过管线输送至放空管。</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试放喷期间若油气产量较大且产量稳定，则测试放喷结束后立即关井，按照环保法律法规等相关要求再对区块开发、地面工程建设开展相应环境影响评价工作后，结合区块开发规划，再适时进行滚动开发；若测试放喷期间油气产量较小或产量衰减较快，则由勘察单位分析相关数据，判断是否需侧钻或对其进行关井。</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钻井工程施工过程中①废气污染源主要为柴油发电机废气、测试放喷废气、井场储罐产生的无组织废气、施工扬尘、生物质锅炉烟气、机械设备和车辆尾气；钻井作业时科学设置钻井流程；有效使用柴油发电机；测试放喷科学测算放喷时间；井场储罐均密闭；生物质蒸汽锅炉采用生物质成型燃料，废气经低氮燃烧技术+布袋除尘器处理后经</w:t>
            </w:r>
            <w:r>
              <w:rPr>
                <w:rFonts w:hint="eastAsia" w:ascii="Times New Roman" w:cs="Times New Roman"/>
                <w:b/>
                <w:bCs/>
                <w:color w:val="auto"/>
                <w:sz w:val="24"/>
                <w:szCs w:val="24"/>
                <w:highlight w:val="none"/>
                <w:lang w:val="en-US" w:eastAsia="zh-CN"/>
              </w:rPr>
              <w:t>30</w:t>
            </w:r>
            <w:r>
              <w:rPr>
                <w:rFonts w:hint="default" w:ascii="Times New Roman" w:hAnsi="Times New Roman" w:eastAsia="宋体" w:cs="Times New Roman"/>
                <w:b/>
                <w:bCs/>
                <w:color w:val="auto"/>
                <w:sz w:val="24"/>
                <w:szCs w:val="24"/>
                <w:highlight w:val="none"/>
                <w:lang w:val="en-US" w:eastAsia="zh-CN"/>
              </w:rPr>
              <w:t>m排气筒（可拆卸）排放；设备和车辆燃用合格的燃料，设备和车辆不超负荷运行；②废水污染源主要为钻井废水、酸化压裂返排液、锅炉排污水和生活污水；钻井废水与钻井泥浆、岩屑一同进入不落地系统处理，处理后的液相全部回用于钻井液配制，不外排；酸化压裂返排液在井场加碱中和后，暂存于废液收集罐，运至富源7环保处理站处置；锅炉排污水用作周边洒水抑尘；生活污水经井场撬装式污水处理装置处理后，水质达到《农村生活污水处理排放标准》（DB65 4275-2019）表2的B级标准，用于荒漠生态恢复；③噪声污染源主要为柴油发电机、泥浆泵、钻机、压裂车、锅炉风机等噪声，采取为柴油发电机、泥浆泵、钻机、压裂车、锅炉安装减振基础；④固体废物主要为泥浆、岩屑、</w:t>
            </w:r>
            <w:bookmarkStart w:id="29" w:name="_Toc18363"/>
            <w:bookmarkStart w:id="30" w:name="_Toc10701"/>
            <w:bookmarkStart w:id="31" w:name="_Toc10250"/>
            <w:r>
              <w:rPr>
                <w:rFonts w:hint="default" w:ascii="Times New Roman" w:hAnsi="Times New Roman" w:eastAsia="宋体" w:cs="Times New Roman"/>
                <w:b/>
                <w:bCs/>
                <w:color w:val="auto"/>
                <w:sz w:val="24"/>
                <w:szCs w:val="24"/>
                <w:highlight w:val="none"/>
                <w:lang w:val="en-US" w:eastAsia="zh-CN"/>
              </w:rPr>
              <w:t>沾油废物（危险废物，HW08 900-249-08）、废烧碱包装袋（危险废物，HW49 900-041-49）、废矿物油及其包装物（危险废物，HW08 900-249-08）、锅炉灰渣、除尘灰、废布袋、撬装化污水处理装置污泥及生活垃圾；钻井泥浆带排入泥浆罐循环使用，完井后拉运至下一口井再利用；膨润土体系废弃钻井岩屑排入防渗岩屑池干化，达到《油气田钻井固体废物综合利用污染控制要求》（DB65/T 3997-2017）及《石油天然气开采业固体废物污染控制技术规范（试行）》（HJ1461-2026）标准后，用于井场平整；</w:t>
            </w:r>
            <w:r>
              <w:rPr>
                <w:rFonts w:hint="eastAsia" w:ascii="Times New Roman" w:cs="Times New Roman"/>
                <w:b/>
                <w:bCs/>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b/>
                <w:bCs/>
                <w:color w:val="auto"/>
                <w:sz w:val="24"/>
                <w:szCs w:val="24"/>
                <w:highlight w:val="none"/>
                <w:lang w:val="en-US" w:eastAsia="zh-CN"/>
              </w:rPr>
              <w:t>，处理达标后还原土用于铺垫油区内的井场、道路；沾油废物（危险废物，HW08 900-249-08）、废烧碱包装袋（危险废物，HW49 900-041-49）、废矿物油及其包装物（危险废物，HW08 900-249-08）在危废贮存点（8m</w:t>
            </w:r>
            <w:r>
              <w:rPr>
                <w:rFonts w:hint="default" w:ascii="Times New Roman" w:hAnsi="Times New Roman" w:eastAsia="宋体" w:cs="Times New Roman"/>
                <w:b/>
                <w:bCs/>
                <w:color w:val="auto"/>
                <w:sz w:val="24"/>
                <w:szCs w:val="24"/>
                <w:highlight w:val="none"/>
                <w:vertAlign w:val="superscript"/>
                <w:lang w:val="en-US" w:eastAsia="zh-CN"/>
              </w:rPr>
              <w:t>2</w:t>
            </w:r>
            <w:r>
              <w:rPr>
                <w:rFonts w:hint="default" w:ascii="Times New Roman" w:hAnsi="Times New Roman" w:eastAsia="宋体" w:cs="Times New Roman"/>
                <w:b/>
                <w:bCs/>
                <w:color w:val="auto"/>
                <w:sz w:val="24"/>
                <w:szCs w:val="24"/>
                <w:highlight w:val="none"/>
                <w:lang w:val="en-US" w:eastAsia="zh-CN"/>
              </w:rPr>
              <w:t>）暂存，定期由有处理资质的单位接收妥善处置；锅炉灰渣、除尘灰送至周边固废填埋场填埋；废布袋由厂家回收处理；生活垃圾及污水处理站污泥规范收集后统一清运至</w:t>
            </w:r>
            <w:r>
              <w:rPr>
                <w:rFonts w:hint="eastAsia" w:ascii="Times New Roman" w:cs="Times New Roman"/>
                <w:b/>
                <w:bCs/>
                <w:color w:val="auto"/>
                <w:sz w:val="24"/>
                <w:szCs w:val="24"/>
                <w:highlight w:val="none"/>
                <w:lang w:val="en-US" w:eastAsia="zh-CN"/>
              </w:rPr>
              <w:t>塔中镇生活垃圾填埋场处理</w:t>
            </w:r>
            <w:r>
              <w:rPr>
                <w:rFonts w:hint="default" w:ascii="Times New Roman" w:hAnsi="Times New Roman" w:eastAsia="宋体" w:cs="Times New Roman"/>
                <w:b/>
                <w:bCs/>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3、钻后工程施工工艺简述</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（1）完井后换装井口装置及设备搬迁</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试完井后，当有油气开采价值时，需要换装井口装置，井口换装采油树生产井另行履行环评手续，不在评价范围内。没有开采价值时，用水泥固封，同时用铁质保护罩保护井口装置，其余设施将拆除、搬迁。钻井液材料将全部进行回收，不得遗弃在井场；钻井过程中产生的废弃物进行清理。施工单位负责做到工完、料净、场地清，</w:t>
            </w:r>
            <w:bookmarkEnd w:id="29"/>
            <w:bookmarkEnd w:id="30"/>
            <w:r>
              <w:rPr>
                <w:rFonts w:hint="default" w:ascii="Times New Roman" w:hAnsi="Times New Roman" w:eastAsia="宋体" w:cs="Times New Roman"/>
                <w:color w:val="auto"/>
                <w:sz w:val="24"/>
                <w:szCs w:val="24"/>
                <w:highlight w:val="none"/>
                <w:lang w:val="en-US" w:eastAsia="zh-CN"/>
              </w:rPr>
              <w:t>施工结束后及时恢复原状，不降低土壤环境质量。</w:t>
            </w:r>
            <w:bookmarkEnd w:id="31"/>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bookmarkStart w:id="32" w:name="_Toc5012"/>
            <w:bookmarkStart w:id="33" w:name="_Toc31452"/>
            <w:bookmarkStart w:id="34" w:name="_Toc20699"/>
            <w:bookmarkStart w:id="35" w:name="_Toc31382"/>
            <w:r>
              <w:rPr>
                <w:rFonts w:hint="default" w:ascii="Times New Roman" w:hAnsi="Times New Roman" w:eastAsia="宋体" w:cs="Times New Roman"/>
                <w:b/>
                <w:color w:val="auto"/>
                <w:sz w:val="24"/>
                <w:szCs w:val="20"/>
                <w:highlight w:val="none"/>
                <w:lang w:val="en-US" w:eastAsia="zh-CN"/>
              </w:rPr>
              <w:t>（2）完井后钻井废物处理</w:t>
            </w:r>
            <w:bookmarkEnd w:id="32"/>
            <w:bookmarkEnd w:id="33"/>
            <w:bookmarkEnd w:id="34"/>
            <w:bookmarkEnd w:id="35"/>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严格执行《油气田钻井固体废物综合利用污染控制要求》（DB65/T3997-2017）规定并结合工程特点，本项目完井后污染物无害化处理方式：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①酸化压裂返排液在井场加碱中和后，采用专用废液收集罐，运至塔里木油田富源7环保处理站处理；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②钻井岩屑随钻井泥浆带出，泥浆排入泥浆罐循环使用，完井后拉运至下一口井再利用；</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bookmarkStart w:id="36" w:name="_Toc15394"/>
            <w:bookmarkStart w:id="37" w:name="_Toc20614"/>
            <w:bookmarkStart w:id="38" w:name="_Toc10281"/>
            <w:bookmarkStart w:id="39" w:name="_Toc24690"/>
            <w:r>
              <w:rPr>
                <w:rFonts w:hint="default" w:ascii="Times New Roman" w:hAnsi="Times New Roman" w:eastAsia="宋体" w:cs="Times New Roman"/>
                <w:color w:val="auto"/>
                <w:sz w:val="24"/>
                <w:szCs w:val="24"/>
                <w:highlight w:val="none"/>
                <w:lang w:val="en-US" w:eastAsia="zh-CN"/>
              </w:rPr>
              <w:t>③膨润土体系废弃钻井岩屑排入防渗岩屑池干化，经检测达到《油气田钻井固体废物综合利用污染控制要求》（DB65/T 3997-2017）及《石油天然气开采业固体废物污染控制技术规范（试行）》（HJ1461-2026）标准后，用于铺垫井场和道路；</w:t>
            </w:r>
            <w:bookmarkEnd w:id="36"/>
            <w:bookmarkEnd w:id="37"/>
            <w:bookmarkEnd w:id="38"/>
            <w:bookmarkEnd w:id="39"/>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w:t>
            </w:r>
            <w:r>
              <w:rPr>
                <w:rFonts w:hint="eastAsia" w:ascii="Times New Roman" w:cs="Times New Roman"/>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z w:val="24"/>
                <w:szCs w:val="24"/>
                <w:highlight w:val="none"/>
                <w:lang w:val="en-US" w:eastAsia="zh-CN"/>
              </w:rPr>
              <w:t>，处理达标后还原土用于铺垫油区内的井场、道路；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⑤生活污水经井场撬装式污水处理装置处理后，水质达到《农村生活污水处理排放标准》（DB654275-2019）表2的B级标准，用于荒漠生态恢复；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⑥废布袋厂家回收处理；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⑦锅炉灰渣与除尘灰集中收集后送至周边固废填埋场填埋。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⑧生活垃圾及污水处理站污泥规范收集后统一清运至</w:t>
            </w:r>
            <w:r>
              <w:rPr>
                <w:rFonts w:hint="eastAsia" w:ascii="Times New Roman" w:cs="Times New Roman"/>
                <w:color w:val="auto"/>
                <w:sz w:val="24"/>
                <w:szCs w:val="24"/>
                <w:highlight w:val="none"/>
                <w:lang w:val="en-US" w:eastAsia="zh-CN"/>
              </w:rPr>
              <w:t>塔中镇生活垃圾填埋场处理</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上述废物清理完毕后，对池体等临时占地设施进行清理，并覆土恢复。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4、污染物产生情况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工程主要产污节点见图2-9，主要污染物种类见表2-15。</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表2-15    工程污染物产生位置及种类汇总一览表</w:t>
            </w:r>
          </w:p>
          <w:tbl>
            <w:tblPr>
              <w:tblStyle w:val="32"/>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79"/>
              <w:gridCol w:w="1247"/>
              <w:gridCol w:w="65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项目组成</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产污位置</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污染物种类及对生态环境影响因素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钻前工程</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修整进场道路井场建设</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施工及运输机械噪声、施工及运输机械废气、扬尘、生活污水、土地性质改变等</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钻井工程</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钻井过程</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废气（</w:t>
                  </w:r>
                  <w:r>
                    <w:rPr>
                      <w:rFonts w:hint="default" w:ascii="Times New Roman" w:hAnsi="Times New Roman" w:eastAsia="宋体" w:cs="Times New Roman"/>
                      <w:color w:val="auto"/>
                      <w:spacing w:val="-10"/>
                      <w:szCs w:val="21"/>
                    </w:rPr>
                    <w:t>废气污染源主要为柴油发电机废气、测试放喷废气、井场储罐产生的无组织废气、施工扬尘、机械设备和车辆尾气、锅炉烟气</w:t>
                  </w:r>
                  <w:r>
                    <w:rPr>
                      <w:rFonts w:hint="default" w:ascii="Times New Roman" w:hAnsi="Times New Roman" w:eastAsia="宋体" w:cs="Times New Roman"/>
                      <w:color w:val="auto"/>
                      <w:spacing w:val="-10"/>
                      <w:sz w:val="21"/>
                      <w:szCs w:val="21"/>
                      <w:highlight w:val="none"/>
                    </w:rPr>
                    <w:t>）、废水（钻井废水、压裂酸化返排液</w:t>
                  </w:r>
                  <w:r>
                    <w:rPr>
                      <w:rFonts w:hint="default" w:ascii="Times New Roman" w:hAnsi="Times New Roman" w:eastAsia="宋体" w:cs="Times New Roman"/>
                      <w:color w:val="auto"/>
                      <w:spacing w:val="-10"/>
                      <w:sz w:val="21"/>
                      <w:szCs w:val="21"/>
                      <w:highlight w:val="none"/>
                      <w:lang w:val="en-US" w:eastAsia="zh-CN"/>
                    </w:rPr>
                    <w:t>、锅炉排污水</w:t>
                  </w:r>
                  <w:r>
                    <w:rPr>
                      <w:rFonts w:hint="default" w:ascii="Times New Roman" w:hAnsi="Times New Roman" w:eastAsia="宋体" w:cs="Times New Roman"/>
                      <w:color w:val="auto"/>
                      <w:spacing w:val="-10"/>
                      <w:sz w:val="21"/>
                      <w:szCs w:val="21"/>
                      <w:highlight w:val="none"/>
                    </w:rPr>
                    <w:t>和施工人员生活污水）、设备噪声（柴油发电机噪声、钻机噪声、泥浆泵噪声、压裂车噪声</w:t>
                  </w:r>
                  <w:r>
                    <w:rPr>
                      <w:rFonts w:hint="default" w:ascii="Times New Roman" w:hAnsi="Times New Roman" w:eastAsia="宋体" w:cs="Times New Roman"/>
                      <w:color w:val="auto"/>
                      <w:spacing w:val="-10"/>
                      <w:sz w:val="21"/>
                      <w:szCs w:val="21"/>
                      <w:highlight w:val="none"/>
                      <w:lang w:val="en-US" w:eastAsia="zh-CN"/>
                    </w:rPr>
                    <w:t>、锅炉风机</w:t>
                  </w:r>
                  <w:r>
                    <w:rPr>
                      <w:rFonts w:hint="default" w:ascii="Times New Roman" w:hAnsi="Times New Roman" w:eastAsia="宋体" w:cs="Times New Roman"/>
                      <w:color w:val="auto"/>
                      <w:spacing w:val="-10"/>
                      <w:sz w:val="21"/>
                      <w:szCs w:val="21"/>
                      <w:highlight w:val="none"/>
                    </w:rPr>
                    <w:t>等）、固体废物（岩屑、废泥浆</w:t>
                  </w:r>
                  <w:r>
                    <w:rPr>
                      <w:rFonts w:hint="default" w:ascii="Times New Roman" w:hAnsi="Times New Roman" w:eastAsia="宋体" w:cs="Times New Roman"/>
                      <w:color w:val="auto"/>
                      <w:spacing w:val="-10"/>
                      <w:szCs w:val="21"/>
                    </w:rPr>
                    <w:t>、锅炉灰渣、除尘灰、废布袋</w:t>
                  </w:r>
                  <w:r>
                    <w:rPr>
                      <w:rFonts w:hint="default" w:ascii="Times New Roman" w:hAnsi="Times New Roman" w:eastAsia="宋体" w:cs="Times New Roman"/>
                      <w:color w:val="auto"/>
                      <w:spacing w:val="-10"/>
                      <w:sz w:val="21"/>
                      <w:szCs w:val="21"/>
                      <w:highlight w:val="none"/>
                    </w:rPr>
                    <w:t>、施工人员生活垃圾</w:t>
                  </w:r>
                  <w:r>
                    <w:rPr>
                      <w:rFonts w:hint="default" w:ascii="Times New Roman" w:hAnsi="Times New Roman" w:eastAsia="宋体" w:cs="Times New Roman"/>
                      <w:color w:val="auto"/>
                      <w:spacing w:val="-10"/>
                      <w:sz w:val="21"/>
                      <w:szCs w:val="21"/>
                      <w:highlight w:val="none"/>
                      <w:lang w:val="en-US" w:eastAsia="zh-CN"/>
                    </w:rPr>
                    <w:t>及污水处理站污泥</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沾油废物</w:t>
                  </w:r>
                  <w:r>
                    <w:rPr>
                      <w:rFonts w:hint="default" w:ascii="Times New Roman" w:hAnsi="Times New Roman" w:eastAsia="宋体" w:cs="Times New Roman"/>
                      <w:color w:val="auto"/>
                      <w:spacing w:val="-10"/>
                      <w:sz w:val="21"/>
                      <w:szCs w:val="21"/>
                      <w:highlight w:val="none"/>
                    </w:rPr>
                    <w:t>（危险废物，HW08 900-249-08）、废烧碱包装袋（危险废物，HW49 900-</w:t>
                  </w:r>
                  <w:r>
                    <w:rPr>
                      <w:rFonts w:hint="default" w:ascii="Times New Roman" w:hAnsi="Times New Roman" w:eastAsia="宋体" w:cs="Times New Roman"/>
                      <w:color w:val="auto"/>
                      <w:spacing w:val="-10"/>
                      <w:sz w:val="21"/>
                      <w:szCs w:val="21"/>
                      <w:highlight w:val="none"/>
                      <w:lang w:val="en-US" w:eastAsia="zh-CN"/>
                    </w:rPr>
                    <w:t>041-49</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废矿物油及其包装物</w:t>
                  </w:r>
                  <w:r>
                    <w:rPr>
                      <w:rFonts w:hint="default" w:ascii="Times New Roman" w:hAnsi="Times New Roman" w:eastAsia="宋体" w:cs="Times New Roman"/>
                      <w:color w:val="auto"/>
                      <w:spacing w:val="-10"/>
                      <w:sz w:val="21"/>
                      <w:szCs w:val="21"/>
                      <w:highlight w:val="none"/>
                    </w:rPr>
                    <w:t>（危险废物，HW08 900-249-08）</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748" w:type="pct"/>
                  <w:noWrap w:val="0"/>
                  <w:tcMar>
                    <w:left w:w="28" w:type="dxa"/>
                    <w:right w:w="28" w:type="dxa"/>
                  </w:tcMar>
                  <w:vAlign w:val="center"/>
                </w:tcPr>
                <w:p>
                  <w:pPr>
                    <w:pStyle w:val="67"/>
                    <w:keepNext w:val="0"/>
                    <w:keepLines w:val="0"/>
                    <w:pageBreakBefore w:val="0"/>
                    <w:suppressLineNumbers w:val="0"/>
                    <w:kinsoku/>
                    <w:wordWrap/>
                    <w:overflowPunct/>
                    <w:topLinePunct w:val="0"/>
                    <w:autoSpaceDE/>
                    <w:autoSpaceDN/>
                    <w:bidi w:val="0"/>
                    <w:adjustRightInd w:val="0"/>
                    <w:snapToGrid/>
                    <w:spacing w:before="0" w:beforeLines="0" w:beforeAutospacing="0" w:after="0" w:afterAutospacing="0" w:line="360"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测试放喷</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测试放喷废气、放喷气流噪声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钻后工程</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设备搬运及临时占地恢复</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油罐车运输噪声、扬尘</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固体废物（岩屑）、机械设备噪声，生活污水、生活垃圾</w:t>
                  </w:r>
                  <w:r>
                    <w:rPr>
                      <w:rFonts w:hint="default" w:ascii="Times New Roman" w:hAnsi="Times New Roman" w:eastAsia="宋体" w:cs="Times New Roman"/>
                      <w:color w:val="auto"/>
                      <w:spacing w:val="-10"/>
                      <w:sz w:val="21"/>
                      <w:szCs w:val="21"/>
                      <w:highlight w:val="none"/>
                      <w:lang w:val="en-US" w:eastAsia="zh-CN"/>
                    </w:rPr>
                    <w:t>、污水处理站污泥</w:t>
                  </w:r>
                  <w:r>
                    <w:rPr>
                      <w:rFonts w:hint="default" w:ascii="Times New Roman" w:hAnsi="Times New Roman" w:eastAsia="宋体" w:cs="Times New Roman"/>
                      <w:color w:val="auto"/>
                      <w:spacing w:val="-10"/>
                      <w:sz w:val="21"/>
                      <w:szCs w:val="21"/>
                      <w:highlight w:val="none"/>
                    </w:rPr>
                    <w:t>等</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rPr>
              <mc:AlternateContent>
                <mc:Choice Requires="wps">
                  <w:drawing>
                    <wp:anchor distT="0" distB="0" distL="114300" distR="114300" simplePos="0" relativeHeight="251667456" behindDoc="0" locked="0" layoutInCell="1" allowOverlap="1">
                      <wp:simplePos x="0" y="0"/>
                      <wp:positionH relativeFrom="column">
                        <wp:posOffset>2766060</wp:posOffset>
                      </wp:positionH>
                      <wp:positionV relativeFrom="paragraph">
                        <wp:posOffset>521970</wp:posOffset>
                      </wp:positionV>
                      <wp:extent cx="731520" cy="209550"/>
                      <wp:effectExtent l="0" t="0" r="11430" b="0"/>
                      <wp:wrapNone/>
                      <wp:docPr id="4" name="文本框 4"/>
                      <wp:cNvGraphicFramePr/>
                      <a:graphic xmlns:a="http://schemas.openxmlformats.org/drawingml/2006/main">
                        <a:graphicData uri="http://schemas.microsoft.com/office/word/2010/wordprocessingShape">
                          <wps:wsp>
                            <wps:cNvSpPr txBox="1"/>
                            <wps:spPr>
                              <a:xfrm>
                                <a:off x="4049395" y="1767840"/>
                                <a:ext cx="731520" cy="209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textAlignment w:val="auto"/>
                                    <w:rPr>
                                      <w:rFonts w:hint="default" w:eastAsia="宋体"/>
                                      <w:b/>
                                      <w:bCs/>
                                      <w:lang w:val="en-US" w:eastAsia="zh-CN"/>
                                    </w:rPr>
                                  </w:pPr>
                                  <w:r>
                                    <w:rPr>
                                      <w:rFonts w:hint="eastAsia"/>
                                      <w:b/>
                                      <w:bCs/>
                                      <w:lang w:val="en-US" w:eastAsia="zh-CN"/>
                                    </w:rPr>
                                    <w:t>钻井工程</w:t>
                                  </w:r>
                                </w:p>
                              </w:txbxContent>
                            </wps:txbx>
                            <wps:bodyPr rot="0" spcFirstLastPara="0" vertOverflow="overflow" horzOverflow="overflow" vert="horz" wrap="square" lIns="91440" tIns="0" rIns="9144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7.8pt;margin-top:41.1pt;height:16.5pt;width:57.6pt;z-index:251667456;mso-width-relative:page;mso-height-relative:page;" fillcolor="#FFFFFF [3201]" filled="t" stroked="f" coordsize="21600,21600" o:gfxdata="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QWaGfYAAAA&#10;CgEAAA8AAAAAAAAAAQAgAAAAIgAAAGRycy9kb3ducmV2LnhtbFBLAQIUABQAAAAIAIdO4kBT0O58&#10;VgIAAJIEAAAOAAAAAAAAAAEAIAAAACcBAABkcnMvZTJvRG9jLnhtbFBLBQYAAAAABgAGAFkBAADv&#10;BQAAAAA=&#10;">
                      <v:fill on="t" focussize="0,0"/>
                      <v:stroke on="f" weight="0.5pt"/>
                      <v:imagedata o:title=""/>
                      <o:lock v:ext="edit" aspectratio="f"/>
                      <v:textbox inset="2.54mm,0mm,2.54mm,0mm">
                        <w:txbxContent>
                          <w:p>
                            <w:pPr>
                              <w:keepNext w:val="0"/>
                              <w:keepLines w:val="0"/>
                              <w:pageBreakBefore w:val="0"/>
                              <w:widowControl w:val="0"/>
                              <w:kinsoku/>
                              <w:wordWrap/>
                              <w:overflowPunct/>
                              <w:topLinePunct w:val="0"/>
                              <w:bidi w:val="0"/>
                              <w:adjustRightInd/>
                              <w:snapToGrid/>
                              <w:textAlignment w:val="auto"/>
                              <w:rPr>
                                <w:rFonts w:hint="default" w:eastAsia="宋体"/>
                                <w:b/>
                                <w:bCs/>
                                <w:lang w:val="en-US" w:eastAsia="zh-CN"/>
                              </w:rPr>
                            </w:pPr>
                            <w:r>
                              <w:rPr>
                                <w:rFonts w:hint="eastAsia"/>
                                <w:b/>
                                <w:bCs/>
                                <w:lang w:val="en-US" w:eastAsia="zh-CN"/>
                              </w:rPr>
                              <w:t>钻井工程</w:t>
                            </w:r>
                          </w:p>
                        </w:txbxContent>
                      </v:textbox>
                    </v:shape>
                  </w:pict>
                </mc:Fallback>
              </mc:AlternateContent>
            </w:r>
            <w:r>
              <w:rPr>
                <w:rFonts w:hint="default" w:ascii="Times New Roman" w:hAnsi="Times New Roman" w:eastAsia="宋体" w:cs="Times New Roman"/>
                <w:color w:val="auto"/>
                <w:highlight w:val="none"/>
              </w:rPr>
              <w:drawing>
                <wp:inline distT="0" distB="0" distL="114300" distR="114300">
                  <wp:extent cx="4599305" cy="4591685"/>
                  <wp:effectExtent l="0" t="0" r="10795" b="1841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23"/>
                          <a:stretch>
                            <a:fillRect/>
                          </a:stretch>
                        </pic:blipFill>
                        <pic:spPr>
                          <a:xfrm>
                            <a:off x="0" y="0"/>
                            <a:ext cx="4599305" cy="4591685"/>
                          </a:xfrm>
                          <a:prstGeom prst="rect">
                            <a:avLst/>
                          </a:prstGeom>
                          <a:noFill/>
                          <a:ln>
                            <a:noFill/>
                          </a:ln>
                        </pic:spPr>
                      </pic:pic>
                    </a:graphicData>
                  </a:graphic>
                </wp:inline>
              </w:drawing>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lang w:val="en-US" w:eastAsia="zh-CN"/>
              </w:rPr>
              <w:t xml:space="preserve">    工程施工过程污染源及污染物产生节点图</w:t>
            </w:r>
          </w:p>
          <w:p>
            <w:pPr>
              <w:keepNext w:val="0"/>
              <w:keepLines w:val="0"/>
              <w:pageBreakBefore w:val="0"/>
              <w:suppressLineNumbers w:val="0"/>
              <w:tabs>
                <w:tab w:val="left" w:pos="2310"/>
              </w:tabs>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二、运营期工艺流程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本项目不涉及运营期。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完钻测试放喷后，如在测试放喷过程中发现油气资源具有开采价值，则安装采油树，结合区块开发规划，在适当时间滚动开发，按照要求再进行区块开发、地面工程建设环境影响评价。如发现该井不具开发价值或目的层不含油气，则进行封井、设备搬迁，井场恢复。</w:t>
            </w:r>
          </w:p>
          <w:p>
            <w:pPr>
              <w:pStyle w:val="12"/>
              <w:keepNext w:val="0"/>
              <w:keepLines w:val="0"/>
              <w:suppressLineNumbers w:val="0"/>
              <w:spacing w:beforeAutospacing="0" w:afterAutospacing="0"/>
              <w:ind w:left="0"/>
              <w:rPr>
                <w:rFonts w:hint="default" w:ascii="Times New Roman" w:hAnsi="Times New Roman" w:eastAsia="宋体" w:cs="Times New Roman"/>
                <w:color w:val="0000FF"/>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40" w:hRule="atLeast"/>
          <w:jc w:val="center"/>
        </w:trPr>
        <w:tc>
          <w:tcPr>
            <w:tcW w:w="49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其他</w:t>
            </w:r>
          </w:p>
        </w:tc>
        <w:tc>
          <w:tcPr>
            <w:tcW w:w="857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无</w:t>
            </w:r>
          </w:p>
        </w:tc>
      </w:tr>
    </w:tbl>
    <w:p>
      <w:pPr>
        <w:pStyle w:val="29"/>
        <w:jc w:val="center"/>
        <w:outlineLvl w:val="0"/>
        <w:rPr>
          <w:rFonts w:hint="default" w:ascii="Times New Roman" w:hAnsi="Times New Roman" w:eastAsia="宋体" w:cs="Times New Roman"/>
          <w:snapToGrid w:val="0"/>
          <w:color w:val="auto"/>
          <w:sz w:val="30"/>
          <w:szCs w:val="30"/>
          <w:highlight w:val="none"/>
        </w:rPr>
      </w:pPr>
      <w:r>
        <w:rPr>
          <w:rFonts w:hint="default" w:ascii="Times New Roman" w:hAnsi="Times New Roman" w:eastAsia="宋体" w:cs="Times New Roman"/>
          <w:snapToGrid w:val="0"/>
          <w:color w:val="0000FF"/>
          <w:sz w:val="30"/>
          <w:szCs w:val="30"/>
          <w:highlight w:val="none"/>
        </w:rPr>
        <w:br w:type="page"/>
      </w:r>
      <w:bookmarkStart w:id="40" w:name="_Toc32276"/>
      <w:r>
        <w:rPr>
          <w:rFonts w:hint="default" w:ascii="Times New Roman" w:hAnsi="Times New Roman" w:eastAsia="宋体" w:cs="Times New Roman"/>
          <w:b/>
          <w:bCs/>
          <w:snapToGrid w:val="0"/>
          <w:color w:val="auto"/>
          <w:sz w:val="30"/>
          <w:szCs w:val="30"/>
          <w:highlight w:val="none"/>
        </w:rPr>
        <w:t>三、生态环境现状、保护目标及评价标准</w:t>
      </w:r>
      <w:bookmarkEnd w:id="40"/>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8"/>
        <w:gridCol w:w="834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生态环境现状</w:t>
            </w:r>
          </w:p>
        </w:tc>
        <w:tc>
          <w:tcPr>
            <w:tcW w:w="8344" w:type="dxa"/>
            <w:noWrap w:val="0"/>
            <w:tcMar>
              <w:left w:w="108" w:type="dxa"/>
              <w:right w:w="108" w:type="dxa"/>
            </w:tcMar>
            <w:vAlign w:val="top"/>
          </w:tcPr>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highlight w:val="none"/>
                <w:lang w:val="en-US" w:eastAsia="zh-CN"/>
              </w:rPr>
            </w:pPr>
            <w:bookmarkStart w:id="41" w:name="_Toc182978297"/>
            <w:bookmarkStart w:id="42" w:name="_Toc181101889"/>
            <w:bookmarkStart w:id="43" w:name="_Toc176318832"/>
            <w:r>
              <w:rPr>
                <w:rFonts w:hint="default" w:ascii="Times New Roman" w:hAnsi="Times New Roman" w:eastAsia="宋体" w:cs="Times New Roman"/>
                <w:b/>
                <w:bCs w:val="0"/>
                <w:color w:val="auto"/>
                <w:kern w:val="24"/>
                <w:sz w:val="24"/>
                <w:szCs w:val="20"/>
              </w:rPr>
              <w:t>1、</w:t>
            </w:r>
            <w:r>
              <w:rPr>
                <w:rFonts w:hint="default" w:ascii="Times New Roman" w:hAnsi="Times New Roman" w:eastAsia="宋体" w:cs="Times New Roman"/>
                <w:b/>
                <w:bCs w:val="0"/>
                <w:color w:val="auto"/>
                <w:sz w:val="24"/>
                <w:highlight w:val="none"/>
                <w:lang w:val="en-US" w:eastAsia="zh-CN"/>
              </w:rPr>
              <w:t>环境空气质量现状评价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sz w:val="24"/>
                <w:highlight w:val="none"/>
                <w:lang w:val="en-US" w:eastAsia="zh-CN"/>
              </w:rPr>
              <w:t>根据《建设项目环境影响报告表编制技术指南（生态影响类）（试行）》相关规定，本次评价收集了202</w:t>
            </w:r>
            <w:r>
              <w:rPr>
                <w:rFonts w:hint="eastAsia" w:asci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年1月1日至202</w:t>
            </w:r>
            <w:r>
              <w:rPr>
                <w:rFonts w:hint="eastAsia" w:asci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年12月31日期间巴音郭楞蒙古自治州例行监测点的监测数据作为基本污染物环境空气质量现状数据，并对各污染物的年评价指标进行环境质量现状评价，</w:t>
            </w:r>
            <w:r>
              <w:rPr>
                <w:rFonts w:hint="default" w:ascii="Times New Roman" w:hAnsi="Times New Roman" w:eastAsia="宋体" w:cs="Times New Roman"/>
                <w:color w:val="auto"/>
                <w:sz w:val="24"/>
                <w:highlight w:val="none"/>
              </w:rPr>
              <w:t>区域环境空气质量现状评价表详见表</w:t>
            </w:r>
            <w:r>
              <w:rPr>
                <w:rFonts w:hint="default" w:ascii="Times New Roman" w:hAnsi="Times New Roman" w:eastAsia="宋体" w:cs="Times New Roman"/>
                <w:color w:val="auto"/>
                <w:sz w:val="24"/>
                <w:highlight w:val="none"/>
                <w:lang w:val="en-US" w:eastAsia="zh-CN"/>
              </w:rPr>
              <w:t>3-1</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b/>
                <w:color w:val="auto"/>
                <w:sz w:val="24"/>
                <w:highlight w:val="none"/>
              </w:rPr>
              <w:t>表</w:t>
            </w:r>
            <w:r>
              <w:rPr>
                <w:rFonts w:hint="default" w:ascii="Times New Roman" w:hAnsi="Times New Roman" w:eastAsia="宋体" w:cs="Times New Roman"/>
                <w:b/>
                <w:color w:val="auto"/>
                <w:sz w:val="24"/>
                <w:highlight w:val="none"/>
                <w:lang w:val="en-US" w:eastAsia="zh-CN"/>
              </w:rPr>
              <w:t>3-1</w:t>
            </w:r>
            <w:r>
              <w:rPr>
                <w:rFonts w:hint="default" w:ascii="Times New Roman" w:hAnsi="Times New Roman" w:eastAsia="宋体" w:cs="Times New Roman"/>
                <w:b/>
                <w:color w:val="auto"/>
                <w:sz w:val="24"/>
                <w:highlight w:val="none"/>
              </w:rPr>
              <w:t xml:space="preserve">    区域环境空气质量现状评价表  </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单位：μg/</w:t>
            </w:r>
            <w:r>
              <w:rPr>
                <w:rFonts w:hint="default" w:ascii="Times New Roman" w:hAnsi="Times New Roman" w:eastAsia="宋体" w:cs="Times New Roman"/>
                <w:b/>
                <w:color w:val="auto"/>
                <w:sz w:val="24"/>
                <w:highlight w:val="none"/>
                <w:lang w:eastAsia="zh-CN"/>
              </w:rPr>
              <w:t>m³</w:t>
            </w:r>
          </w:p>
          <w:tbl>
            <w:tblPr>
              <w:tblStyle w:val="32"/>
              <w:tblW w:w="8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16"/>
              <w:gridCol w:w="2451"/>
              <w:gridCol w:w="1191"/>
              <w:gridCol w:w="1420"/>
              <w:gridCol w:w="1142"/>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jc w:val="center"/>
              </w:trPr>
              <w:tc>
                <w:tcPr>
                  <w:tcW w:w="916" w:type="dxa"/>
                  <w:vMerge w:val="restart"/>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物</w:t>
                  </w:r>
                </w:p>
              </w:tc>
              <w:tc>
                <w:tcPr>
                  <w:tcW w:w="2451" w:type="dxa"/>
                  <w:vMerge w:val="restart"/>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年评价指标</w:t>
                  </w:r>
                </w:p>
              </w:tc>
              <w:tc>
                <w:tcPr>
                  <w:tcW w:w="1191" w:type="dxa"/>
                  <w:vMerge w:val="restart"/>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tc>
              <w:tc>
                <w:tcPr>
                  <w:tcW w:w="3599" w:type="dxa"/>
                  <w:gridSpan w:val="3"/>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《环境空气质量标准》</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GB3095-20</w:t>
                  </w:r>
                  <w:r>
                    <w:rPr>
                      <w:rFonts w:hint="eastAsia" w:ascii="Times New Roman" w:hAnsi="Times New Roman" w:eastAsia="宋体" w:cs="Times New Roman"/>
                      <w:color w:val="auto"/>
                      <w:kern w:val="0"/>
                      <w:sz w:val="21"/>
                      <w:szCs w:val="21"/>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3" w:hRule="atLeast"/>
                <w:jc w:val="center"/>
              </w:trPr>
              <w:tc>
                <w:tcPr>
                  <w:tcW w:w="916" w:type="dxa"/>
                  <w:vMerge w:val="continue"/>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p>
              </w:tc>
              <w:tc>
                <w:tcPr>
                  <w:tcW w:w="2451" w:type="dxa"/>
                  <w:vMerge w:val="continue"/>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p>
              </w:tc>
              <w:tc>
                <w:tcPr>
                  <w:tcW w:w="1191" w:type="dxa"/>
                  <w:vMerge w:val="continue"/>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p>
              </w:tc>
              <w:tc>
                <w:tcPr>
                  <w:tcW w:w="1420" w:type="dxa"/>
                  <w:noWrap w:val="0"/>
                  <w:vAlign w:val="center"/>
                </w:tcPr>
                <w:p>
                  <w:pPr>
                    <w:keepNext w:val="0"/>
                    <w:keepLines w:val="0"/>
                    <w:suppressLineNumbers w:val="0"/>
                    <w:snapToGrid w:val="0"/>
                    <w:spacing w:before="0" w:beforeAutospacing="0" w:after="0" w:afterAutospacing="0" w:line="36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过渡阶段</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标准值</w:t>
                  </w:r>
                </w:p>
              </w:tc>
              <w:tc>
                <w:tcPr>
                  <w:tcW w:w="1142"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r>
                    <w:rPr>
                      <w:rFonts w:hint="eastAsia" w:ascii="Times New Roman" w:hAnsi="Times New Roman" w:eastAsia="宋体" w:cs="Times New Roman"/>
                      <w:color w:val="auto"/>
                      <w:sz w:val="21"/>
                      <w:szCs w:val="21"/>
                      <w:lang w:val="en-US" w:eastAsia="zh-CN"/>
                    </w:rPr>
                    <w:t>%</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jc w:val="center"/>
              </w:trPr>
              <w:tc>
                <w:tcPr>
                  <w:tcW w:w="916"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PM</w:t>
                  </w:r>
                  <w:r>
                    <w:rPr>
                      <w:rFonts w:hint="eastAsia" w:ascii="Times New Roman" w:hAnsi="Times New Roman" w:eastAsia="宋体" w:cs="Times New Roman"/>
                      <w:color w:val="auto"/>
                      <w:sz w:val="21"/>
                      <w:szCs w:val="21"/>
                      <w:vertAlign w:val="subscript"/>
                      <w:lang w:val="en-US" w:eastAsia="zh-CN"/>
                    </w:rPr>
                    <w:t>2.5</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26</w:t>
                  </w:r>
                </w:p>
              </w:tc>
              <w:tc>
                <w:tcPr>
                  <w:tcW w:w="14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30</w:t>
                  </w:r>
                </w:p>
              </w:tc>
              <w:tc>
                <w:tcPr>
                  <w:tcW w:w="11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86.7</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jc w:val="center"/>
              </w:trPr>
              <w:tc>
                <w:tcPr>
                  <w:tcW w:w="916"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PM</w:t>
                  </w:r>
                  <w:r>
                    <w:rPr>
                      <w:rFonts w:hint="eastAsia" w:ascii="Times New Roman" w:hAnsi="Times New Roman" w:eastAsia="宋体" w:cs="Times New Roman"/>
                      <w:color w:val="auto"/>
                      <w:sz w:val="21"/>
                      <w:szCs w:val="21"/>
                      <w:vertAlign w:val="subscript"/>
                      <w:lang w:val="en-US" w:eastAsia="zh-CN"/>
                    </w:rPr>
                    <w:t>10</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74</w:t>
                  </w:r>
                </w:p>
              </w:tc>
              <w:tc>
                <w:tcPr>
                  <w:tcW w:w="14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60</w:t>
                  </w:r>
                </w:p>
              </w:tc>
              <w:tc>
                <w:tcPr>
                  <w:tcW w:w="11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123.3</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jc w:val="center"/>
              </w:trPr>
              <w:tc>
                <w:tcPr>
                  <w:tcW w:w="916"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5</w:t>
                  </w:r>
                </w:p>
              </w:tc>
              <w:tc>
                <w:tcPr>
                  <w:tcW w:w="14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60</w:t>
                  </w:r>
                </w:p>
              </w:tc>
              <w:tc>
                <w:tcPr>
                  <w:tcW w:w="1142" w:type="dxa"/>
                  <w:noWrap w:val="0"/>
                  <w:vAlign w:val="center"/>
                </w:tcPr>
                <w:p>
                  <w:pPr>
                    <w:keepNext w:val="0"/>
                    <w:keepLines w:val="0"/>
                    <w:suppressLineNumbers w:val="0"/>
                    <w:topLinePunct/>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8.3</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jc w:val="center"/>
              </w:trPr>
              <w:tc>
                <w:tcPr>
                  <w:tcW w:w="916"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23</w:t>
                  </w:r>
                </w:p>
              </w:tc>
              <w:tc>
                <w:tcPr>
                  <w:tcW w:w="14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40</w:t>
                  </w:r>
                </w:p>
              </w:tc>
              <w:tc>
                <w:tcPr>
                  <w:tcW w:w="1142" w:type="dxa"/>
                  <w:noWrap w:val="0"/>
                  <w:vAlign w:val="center"/>
                </w:tcPr>
                <w:p>
                  <w:pPr>
                    <w:keepNext w:val="0"/>
                    <w:keepLines w:val="0"/>
                    <w:suppressLineNumbers w:val="0"/>
                    <w:topLinePunct/>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57.5</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jc w:val="center"/>
              </w:trPr>
              <w:tc>
                <w:tcPr>
                  <w:tcW w:w="916"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24小时平均第95百分位数</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900</w:t>
                  </w:r>
                </w:p>
              </w:tc>
              <w:tc>
                <w:tcPr>
                  <w:tcW w:w="14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4000</w:t>
                  </w:r>
                </w:p>
              </w:tc>
              <w:tc>
                <w:tcPr>
                  <w:tcW w:w="1142" w:type="dxa"/>
                  <w:noWrap w:val="0"/>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22.5</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3" w:hRule="atLeast"/>
                <w:jc w:val="center"/>
              </w:trPr>
              <w:tc>
                <w:tcPr>
                  <w:tcW w:w="916"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日最大8小时平均第90百分位数</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121</w:t>
                  </w:r>
                </w:p>
              </w:tc>
              <w:tc>
                <w:tcPr>
                  <w:tcW w:w="14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160</w:t>
                  </w:r>
                </w:p>
              </w:tc>
              <w:tc>
                <w:tcPr>
                  <w:tcW w:w="1142" w:type="dxa"/>
                  <w:noWrap w:val="0"/>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75.6</w:t>
                  </w:r>
                </w:p>
              </w:tc>
              <w:tc>
                <w:tcPr>
                  <w:tcW w:w="103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bCs/>
                <w:color w:val="auto"/>
                <w:spacing w:val="0"/>
                <w:sz w:val="24"/>
                <w:szCs w:val="21"/>
                <w:highlight w:val="none"/>
                <w:lang w:val="zh-CN" w:eastAsia="zh-CN"/>
              </w:rPr>
              <w:t>对照《环境空气质量标准》（GB3095-2026）中过渡阶段二级标准限值，</w:t>
            </w:r>
            <w:r>
              <w:rPr>
                <w:rFonts w:hint="eastAsia" w:ascii="Times New Roman" w:cs="Times New Roman"/>
                <w:bCs/>
                <w:color w:val="auto"/>
                <w:spacing w:val="0"/>
                <w:sz w:val="24"/>
                <w:szCs w:val="21"/>
                <w:highlight w:val="none"/>
                <w:lang w:val="en-US" w:eastAsia="zh-CN"/>
              </w:rPr>
              <w:t>巴音郭楞蒙古自治州</w:t>
            </w:r>
            <w:r>
              <w:rPr>
                <w:rFonts w:hint="default" w:ascii="Times New Roman" w:hAnsi="Times New Roman" w:eastAsia="宋体" w:cs="Times New Roman"/>
                <w:bCs/>
                <w:color w:val="auto"/>
                <w:spacing w:val="0"/>
                <w:sz w:val="24"/>
                <w:szCs w:val="21"/>
                <w:highlight w:val="none"/>
                <w:lang w:val="zh-CN" w:eastAsia="zh-CN"/>
              </w:rPr>
              <w:t>环境空气六项基本污染因子中PM</w:t>
            </w:r>
            <w:r>
              <w:rPr>
                <w:rFonts w:hint="default" w:ascii="Times New Roman" w:hAnsi="Times New Roman" w:eastAsia="宋体" w:cs="Times New Roman"/>
                <w:bCs/>
                <w:color w:val="auto"/>
                <w:spacing w:val="0"/>
                <w:sz w:val="24"/>
                <w:szCs w:val="21"/>
                <w:highlight w:val="none"/>
                <w:vertAlign w:val="subscript"/>
                <w:lang w:val="zh-CN" w:eastAsia="zh-CN"/>
              </w:rPr>
              <w:t>2.5</w:t>
            </w:r>
            <w:r>
              <w:rPr>
                <w:rFonts w:hint="default" w:ascii="Times New Roman" w:hAnsi="Times New Roman" w:eastAsia="宋体" w:cs="Times New Roman"/>
                <w:bCs/>
                <w:color w:val="auto"/>
                <w:spacing w:val="0"/>
                <w:sz w:val="24"/>
                <w:szCs w:val="21"/>
                <w:highlight w:val="none"/>
                <w:lang w:val="zh-CN" w:eastAsia="zh-CN"/>
              </w:rPr>
              <w:t>、SO</w:t>
            </w:r>
            <w:r>
              <w:rPr>
                <w:rFonts w:hint="default" w:ascii="Times New Roman" w:hAnsi="Times New Roman" w:eastAsia="宋体" w:cs="Times New Roman"/>
                <w:bCs/>
                <w:color w:val="auto"/>
                <w:spacing w:val="0"/>
                <w:sz w:val="24"/>
                <w:szCs w:val="21"/>
                <w:highlight w:val="none"/>
                <w:vertAlign w:val="subscript"/>
                <w:lang w:val="zh-CN" w:eastAsia="zh-CN"/>
              </w:rPr>
              <w:t>2</w:t>
            </w:r>
            <w:r>
              <w:rPr>
                <w:rFonts w:hint="default" w:ascii="Times New Roman" w:hAnsi="Times New Roman" w:eastAsia="宋体" w:cs="Times New Roman"/>
                <w:bCs/>
                <w:color w:val="auto"/>
                <w:spacing w:val="0"/>
                <w:sz w:val="24"/>
                <w:szCs w:val="21"/>
                <w:highlight w:val="none"/>
                <w:lang w:val="zh-CN" w:eastAsia="zh-CN"/>
              </w:rPr>
              <w:t>、NO</w:t>
            </w:r>
            <w:r>
              <w:rPr>
                <w:rFonts w:hint="default" w:ascii="Times New Roman" w:hAnsi="Times New Roman" w:eastAsia="宋体" w:cs="Times New Roman"/>
                <w:bCs/>
                <w:color w:val="auto"/>
                <w:spacing w:val="0"/>
                <w:sz w:val="24"/>
                <w:szCs w:val="21"/>
                <w:highlight w:val="none"/>
                <w:vertAlign w:val="subscript"/>
                <w:lang w:val="zh-CN" w:eastAsia="zh-CN"/>
              </w:rPr>
              <w:t>2</w:t>
            </w:r>
            <w:r>
              <w:rPr>
                <w:rFonts w:hint="default" w:ascii="Times New Roman" w:hAnsi="Times New Roman" w:eastAsia="宋体" w:cs="Times New Roman"/>
                <w:bCs/>
                <w:color w:val="auto"/>
                <w:spacing w:val="0"/>
                <w:sz w:val="24"/>
                <w:szCs w:val="21"/>
                <w:highlight w:val="none"/>
                <w:lang w:val="zh-CN" w:eastAsia="zh-CN"/>
              </w:rPr>
              <w:t>、CO及O</w:t>
            </w:r>
            <w:r>
              <w:rPr>
                <w:rFonts w:hint="default" w:ascii="Times New Roman" w:hAnsi="Times New Roman" w:eastAsia="宋体" w:cs="Times New Roman"/>
                <w:bCs/>
                <w:color w:val="auto"/>
                <w:spacing w:val="0"/>
                <w:sz w:val="24"/>
                <w:szCs w:val="21"/>
                <w:highlight w:val="none"/>
                <w:vertAlign w:val="subscript"/>
                <w:lang w:val="zh-CN" w:eastAsia="zh-CN"/>
              </w:rPr>
              <w:t>3</w:t>
            </w:r>
            <w:r>
              <w:rPr>
                <w:rFonts w:hint="default" w:ascii="Times New Roman" w:hAnsi="Times New Roman" w:eastAsia="宋体" w:cs="Times New Roman"/>
                <w:bCs/>
                <w:color w:val="auto"/>
                <w:spacing w:val="0"/>
                <w:sz w:val="24"/>
                <w:szCs w:val="21"/>
                <w:highlight w:val="none"/>
                <w:lang w:val="zh-CN" w:eastAsia="zh-CN"/>
              </w:rPr>
              <w:t>均达标，PM</w:t>
            </w:r>
            <w:r>
              <w:rPr>
                <w:rFonts w:hint="default" w:ascii="Times New Roman" w:hAnsi="Times New Roman" w:eastAsia="宋体" w:cs="Times New Roman"/>
                <w:bCs/>
                <w:color w:val="auto"/>
                <w:spacing w:val="0"/>
                <w:sz w:val="24"/>
                <w:szCs w:val="21"/>
                <w:highlight w:val="none"/>
                <w:vertAlign w:val="subscript"/>
                <w:lang w:val="zh-CN" w:eastAsia="zh-CN"/>
              </w:rPr>
              <w:t>10</w:t>
            </w:r>
            <w:r>
              <w:rPr>
                <w:rFonts w:hint="default" w:ascii="Times New Roman" w:hAnsi="Times New Roman" w:eastAsia="宋体" w:cs="Times New Roman"/>
                <w:bCs/>
                <w:color w:val="auto"/>
                <w:spacing w:val="0"/>
                <w:sz w:val="24"/>
                <w:szCs w:val="21"/>
                <w:highlight w:val="none"/>
                <w:lang w:val="zh-CN" w:eastAsia="zh-CN"/>
              </w:rPr>
              <w:t>超标。</w:t>
            </w:r>
            <w:r>
              <w:rPr>
                <w:rFonts w:hint="default" w:ascii="Times New Roman" w:hAnsi="Times New Roman" w:eastAsia="宋体" w:cs="Times New Roman"/>
                <w:color w:val="auto"/>
                <w:spacing w:val="0"/>
                <w:sz w:val="24"/>
                <w:szCs w:val="24"/>
                <w:highlight w:val="none"/>
              </w:rPr>
              <w:t>参照《环境影响评价技术导则 大气环境》（HJ2.2-2018）中6.4.1项目所在区域达标判断规定：“城市环境空气质量达标情况评价指标为SO</w:t>
            </w:r>
            <w:r>
              <w:rPr>
                <w:rFonts w:hint="default" w:ascii="Times New Roman" w:hAnsi="Times New Roman" w:eastAsia="宋体" w:cs="Times New Roman"/>
                <w:color w:val="auto"/>
                <w:spacing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、NO</w:t>
            </w:r>
            <w:r>
              <w:rPr>
                <w:rFonts w:hint="default" w:ascii="Times New Roman" w:hAnsi="Times New Roman" w:eastAsia="宋体" w:cs="Times New Roman"/>
                <w:color w:val="auto"/>
                <w:spacing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、PM</w:t>
            </w:r>
            <w:r>
              <w:rPr>
                <w:rFonts w:hint="default" w:ascii="Times New Roman" w:hAnsi="Times New Roman" w:eastAsia="宋体" w:cs="Times New Roman"/>
                <w:color w:val="auto"/>
                <w:spacing w:val="0"/>
                <w:sz w:val="24"/>
                <w:szCs w:val="24"/>
                <w:highlight w:val="none"/>
                <w:vertAlign w:val="subscript"/>
              </w:rPr>
              <w:t>10</w:t>
            </w:r>
            <w:r>
              <w:rPr>
                <w:rFonts w:hint="default" w:ascii="Times New Roman" w:hAnsi="Times New Roman" w:eastAsia="宋体" w:cs="Times New Roman"/>
                <w:color w:val="auto"/>
                <w:spacing w:val="0"/>
                <w:sz w:val="24"/>
                <w:szCs w:val="24"/>
                <w:highlight w:val="none"/>
              </w:rPr>
              <w:t>、PM</w:t>
            </w:r>
            <w:r>
              <w:rPr>
                <w:rFonts w:hint="default" w:ascii="Times New Roman" w:hAnsi="Times New Roman" w:eastAsia="宋体" w:cs="Times New Roman"/>
                <w:color w:val="auto"/>
                <w:spacing w:val="0"/>
                <w:sz w:val="24"/>
                <w:szCs w:val="24"/>
                <w:highlight w:val="none"/>
                <w:vertAlign w:val="subscript"/>
              </w:rPr>
              <w:t>2.5</w:t>
            </w:r>
            <w:r>
              <w:rPr>
                <w:rFonts w:hint="default" w:ascii="Times New Roman" w:hAnsi="Times New Roman" w:eastAsia="宋体" w:cs="Times New Roman"/>
                <w:color w:val="auto"/>
                <w:spacing w:val="0"/>
                <w:sz w:val="24"/>
                <w:szCs w:val="24"/>
                <w:highlight w:val="none"/>
              </w:rPr>
              <w:t>、CO、O</w:t>
            </w:r>
            <w:r>
              <w:rPr>
                <w:rFonts w:hint="default" w:ascii="Times New Roman" w:hAnsi="Times New Roman" w:eastAsia="宋体" w:cs="Times New Roman"/>
                <w:color w:val="auto"/>
                <w:spacing w:val="0"/>
                <w:sz w:val="24"/>
                <w:szCs w:val="24"/>
                <w:highlight w:val="none"/>
                <w:vertAlign w:val="subscript"/>
              </w:rPr>
              <w:t>3</w:t>
            </w:r>
            <w:r>
              <w:rPr>
                <w:rFonts w:hint="default" w:ascii="Times New Roman" w:hAnsi="Times New Roman" w:eastAsia="宋体" w:cs="Times New Roman"/>
                <w:color w:val="auto"/>
                <w:spacing w:val="0"/>
                <w:sz w:val="24"/>
                <w:szCs w:val="24"/>
                <w:highlight w:val="none"/>
              </w:rPr>
              <w:t>，六项污染物全部达标即为城市环境空气质量达标”可知，拟建项目所在区域属于不达标区。春季沙尘天气对环境空气质量影响很大，是造成空气质量不达标的主要因素。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lang w:eastAsia="zh-CN"/>
              </w:rPr>
              <w:t>根据</w:t>
            </w:r>
            <w:r>
              <w:rPr>
                <w:rFonts w:hint="default" w:ascii="Times New Roman" w:hAnsi="Times New Roman" w:eastAsia="宋体" w:cs="Times New Roman"/>
                <w:color w:val="auto"/>
                <w:spacing w:val="0"/>
                <w:sz w:val="24"/>
                <w:szCs w:val="24"/>
                <w:highlight w:val="none"/>
                <w:lang w:val="en-US" w:eastAsia="zh-CN"/>
              </w:rPr>
              <w:t>《关于将巴音郭楞蒙古自治州、吐鲁番市、哈密市纳入执行〈环境影响评价技术导则 大气环境（HJ 2.2—2018）〉差别化政策范围的复函》（环办环评函〔2020〕341号）</w:t>
            </w:r>
            <w:r>
              <w:rPr>
                <w:rFonts w:hint="default" w:ascii="Times New Roman" w:hAnsi="Times New Roman" w:eastAsia="宋体" w:cs="Times New Roman"/>
                <w:color w:val="auto"/>
                <w:spacing w:val="0"/>
                <w:sz w:val="24"/>
                <w:szCs w:val="24"/>
                <w:highlight w:val="none"/>
                <w:lang w:eastAsia="zh-CN"/>
              </w:rPr>
              <w:t>要求，对巴州实行环境影响评价差别化政策，</w:t>
            </w:r>
            <w:r>
              <w:rPr>
                <w:rFonts w:hint="default" w:ascii="Times New Roman" w:hAnsi="Times New Roman" w:eastAsia="宋体" w:cs="Times New Roman"/>
                <w:color w:val="auto"/>
                <w:spacing w:val="0"/>
                <w:sz w:val="24"/>
                <w:szCs w:val="24"/>
                <w:highlight w:val="none"/>
                <w:lang w:val="en-US" w:eastAsia="zh-CN"/>
              </w:rPr>
              <w:t>新建项目可</w:t>
            </w:r>
            <w:r>
              <w:rPr>
                <w:rFonts w:hint="default" w:ascii="Times New Roman" w:hAnsi="Times New Roman" w:eastAsia="宋体" w:cs="Times New Roman"/>
                <w:color w:val="auto"/>
                <w:spacing w:val="0"/>
                <w:sz w:val="24"/>
                <w:szCs w:val="24"/>
                <w:highlight w:val="none"/>
                <w:lang w:eastAsia="zh-CN"/>
              </w:rPr>
              <w:t>不进行颗粒物区域削减。本项目实施后塔里木油田分公司应不断强化大气污染源防治措施。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pacing w:val="0"/>
                <w:sz w:val="24"/>
                <w:szCs w:val="24"/>
                <w:highlight w:val="none"/>
                <w:lang w:eastAsia="zh-CN"/>
              </w:rPr>
              <w:t>根据《建设项目环境影响报告表编制技术指南（污染影响类）（试行）》中“区域环境质量现状：1.大气环境。排放国家、地方环境空气质量标准中有标准限值要求的特征污染物时，引用建设项目周边5千米范围内近3年的现有监测数据，无相关数据的选择当季主导风向下风向1个点位补充不少于3天的监测数据。”的规定，本项目涉及特征污染物主要为</w:t>
            </w:r>
            <w:r>
              <w:rPr>
                <w:rFonts w:hint="eastAsia" w:ascii="Times New Roman" w:cs="Times New Roman"/>
                <w:color w:val="auto"/>
                <w:spacing w:val="0"/>
                <w:sz w:val="24"/>
                <w:szCs w:val="24"/>
                <w:highlight w:val="none"/>
                <w:lang w:val="en-US" w:eastAsia="zh-CN"/>
              </w:rPr>
              <w:t>硫化氢</w:t>
            </w:r>
            <w:r>
              <w:rPr>
                <w:rFonts w:hint="default" w:ascii="Times New Roman" w:hAnsi="Times New Roman" w:eastAsia="宋体" w:cs="Times New Roman"/>
                <w:color w:val="auto"/>
                <w:spacing w:val="0"/>
                <w:sz w:val="24"/>
                <w:szCs w:val="24"/>
                <w:highlight w:val="none"/>
                <w:lang w:val="en-US" w:eastAsia="zh-CN"/>
              </w:rPr>
              <w:t>、非甲烷总烃、VOCs</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在</w:t>
            </w:r>
            <w:r>
              <w:rPr>
                <w:rFonts w:hint="default" w:ascii="Times New Roman" w:hAnsi="Times New Roman" w:eastAsia="宋体" w:cs="Times New Roman"/>
                <w:color w:val="auto"/>
                <w:spacing w:val="0"/>
                <w:sz w:val="24"/>
                <w:szCs w:val="24"/>
                <w:highlight w:val="none"/>
              </w:rPr>
              <w:t>《环境空气质量标准》（GB3095</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2026）</w:t>
            </w:r>
            <w:r>
              <w:rPr>
                <w:rFonts w:hint="default" w:ascii="Times New Roman" w:hAnsi="Times New Roman" w:eastAsia="宋体" w:cs="Times New Roman"/>
                <w:color w:val="auto"/>
                <w:spacing w:val="0"/>
                <w:sz w:val="24"/>
                <w:szCs w:val="24"/>
                <w:highlight w:val="none"/>
                <w:lang w:val="en-US" w:eastAsia="zh-CN"/>
              </w:rPr>
              <w:t>及新疆维吾尔自治区现行环境空气质量地标中</w:t>
            </w:r>
            <w:r>
              <w:rPr>
                <w:rFonts w:hint="default" w:ascii="Times New Roman" w:hAnsi="Times New Roman" w:eastAsia="宋体" w:cs="Times New Roman"/>
                <w:color w:val="auto"/>
                <w:spacing w:val="0"/>
                <w:sz w:val="24"/>
                <w:szCs w:val="24"/>
                <w:highlight w:val="none"/>
                <w:lang w:eastAsia="zh-CN"/>
              </w:rPr>
              <w:t>均未对其环境空气质量作出限值要求，故本次环评不再对该因子环境质量现状进行调查及评价。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地表水质量现状</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rPr>
            </w:pPr>
            <w:r>
              <w:rPr>
                <w:rFonts w:hint="eastAsia" w:ascii="Times New Roman" w:cs="Times New Roman"/>
                <w:color w:val="auto"/>
                <w:sz w:val="24"/>
                <w:highlight w:val="none"/>
                <w:lang w:val="en-US" w:eastAsia="zh-CN"/>
              </w:rPr>
              <w:t>项目位于沙漠腹地，周边无地表水体</w:t>
            </w:r>
            <w:r>
              <w:rPr>
                <w:rFonts w:hint="default" w:ascii="Times New Roman" w:hAnsi="Times New Roman" w:eastAsia="宋体" w:cs="Times New Roman"/>
                <w:color w:val="auto"/>
                <w:sz w:val="24"/>
                <w:highlight w:val="none"/>
              </w:rPr>
              <w:t>。工程施工期钻井废水不外排，生活污水</w:t>
            </w:r>
            <w:r>
              <w:rPr>
                <w:rFonts w:hint="eastAsia" w:ascii="Times New Roman" w:cs="Times New Roman"/>
                <w:color w:val="auto"/>
                <w:sz w:val="24"/>
                <w:highlight w:val="none"/>
                <w:lang w:val="en-US" w:eastAsia="zh-CN"/>
              </w:rPr>
              <w:t>经井场撬装式污水处理装置处理</w:t>
            </w:r>
            <w:r>
              <w:rPr>
                <w:rFonts w:hint="default" w:ascii="Times New Roman" w:hAnsi="Times New Roman" w:eastAsia="宋体" w:cs="Times New Roman"/>
                <w:color w:val="auto"/>
                <w:sz w:val="24"/>
                <w:highlight w:val="none"/>
              </w:rPr>
              <w:t>。按照《环境影响评价技术导则 地表水环境》</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HJ2.3-2018</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中表1水污染影响型建设项目评价等级判定，结合本项目废水属于间接排放的特点，因此本项目可不开展区域污染源调查及现状监测。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地下水质量现状监测及评价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根据《环境影响评价技术导则 地下水环境》（HJ610-2016）附录A地下水环境影响评价行业分类表，本项目行业类别属于“C 地质勘查24矿产资源地质勘查（包括勘探活动）”，属于Ⅳ类项目，不需开展地下水环境影响评价工作，无需开展地下水环境现状监测。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rPr>
              <w:t>声环境质量现状监测及评价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参照《建设项目环境影响报告表编制技术指南》（污染影响类）（试行），项目厂界外周边50m范围内无声环境保护目标，无需进行质量现状监测。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rPr>
              <w:t>土壤环境质量现状监测与评价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baseline"/>
              <w:rPr>
                <w:rFonts w:hint="default" w:ascii="Times New Roman" w:hAnsi="Times New Roman" w:eastAsia="宋体" w:cs="Times New Roman"/>
                <w:b/>
                <w:color w:val="auto"/>
                <w:kern w:val="24"/>
                <w:sz w:val="24"/>
                <w:szCs w:val="20"/>
                <w:lang w:val="en-US" w:eastAsia="zh-CN"/>
              </w:rPr>
            </w:pP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val="en-US" w:eastAsia="zh-CN"/>
              </w:rPr>
              <w:t>为</w:t>
            </w:r>
            <w:r>
              <w:rPr>
                <w:rFonts w:hint="default" w:ascii="Times New Roman" w:hAnsi="Times New Roman" w:eastAsia="宋体" w:cs="Times New Roman"/>
                <w:color w:val="auto"/>
                <w:sz w:val="24"/>
                <w:highlight w:val="none"/>
              </w:rPr>
              <w:t>陆地矿产资源地质勘查（含油气资源勘探）</w:t>
            </w:r>
            <w:r>
              <w:rPr>
                <w:rFonts w:hint="default"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rPr>
              <w:t>根据《环境影响评价技术导则 土壤环境（试行）》（HJ964-2018）附录A中表A.1 土壤环境影响评价项目类别，属于“其他行业”，为Ⅳ类项目，可不开展土壤环境影响评价工作，无需开展土壤环境质量现状监测。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textAlignment w:val="baseline"/>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6、</w:t>
            </w:r>
            <w:r>
              <w:rPr>
                <w:rFonts w:hint="default" w:ascii="Times New Roman" w:hAnsi="Times New Roman" w:eastAsia="宋体" w:cs="Times New Roman"/>
                <w:b/>
                <w:color w:val="auto"/>
                <w:sz w:val="24"/>
              </w:rPr>
              <w:t>生态环境</w:t>
            </w:r>
          </w:p>
          <w:bookmarkEnd w:id="41"/>
          <w:bookmarkEnd w:id="42"/>
          <w:bookmarkEnd w:id="43"/>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主体功能区规划</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新疆维吾尔自治区主体功能区规划》，本项目不在新疆维吾尔自治区主体功能区规划划定的禁止开发区，主要目的是勘探油气资源，开发强度不会超过区域规划目标。工程施工过程中严格控制施工占地，井场、生活区建设完成后，采取措施及时恢复临时占地，尽可能减少对区域生态环境的影响。</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综上所述，工程未处于主体功能区划中的禁止开发区，与区域主体功能区划目标相协调。</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（2）生态功能区划</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参照《新疆生态功能区划》（新疆维吾尔自治区环境保护局2003年9月），本项目主要生态服务功能、生态敏感因子、主要生态问题和主要保护目标见表3-2。</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表3-2    区域生态功能区划</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40"/>
              <w:gridCol w:w="906"/>
              <w:gridCol w:w="1018"/>
              <w:gridCol w:w="1023"/>
              <w:gridCol w:w="1036"/>
              <w:gridCol w:w="1050"/>
              <w:gridCol w:w="900"/>
              <w:gridCol w:w="13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2" w:hRule="atLeast"/>
                <w:jc w:val="center"/>
              </w:trPr>
              <w:tc>
                <w:tcPr>
                  <w:tcW w:w="2764" w:type="dxa"/>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生态功能分区单元</w:t>
                  </w:r>
                </w:p>
              </w:tc>
              <w:tc>
                <w:tcPr>
                  <w:tcW w:w="102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主要生态服务功能</w:t>
                  </w:r>
                </w:p>
              </w:tc>
              <w:tc>
                <w:tcPr>
                  <w:tcW w:w="103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环境问题</w:t>
                  </w:r>
                </w:p>
              </w:tc>
              <w:tc>
                <w:tcPr>
                  <w:tcW w:w="1050"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主要生态敏感因子、敏感程度</w:t>
                  </w:r>
                </w:p>
              </w:tc>
              <w:tc>
                <w:tcPr>
                  <w:tcW w:w="900"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主要保护目标</w:t>
                  </w:r>
                </w:p>
              </w:tc>
              <w:tc>
                <w:tcPr>
                  <w:tcW w:w="133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适宜发展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9" w:hRule="atLeast"/>
                <w:jc w:val="center"/>
              </w:trPr>
              <w:tc>
                <w:tcPr>
                  <w:tcW w:w="84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生态区</w:t>
                  </w:r>
                </w:p>
              </w:tc>
              <w:tc>
                <w:tcPr>
                  <w:tcW w:w="90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亚区</w:t>
                  </w:r>
                </w:p>
              </w:tc>
              <w:tc>
                <w:tcPr>
                  <w:tcW w:w="1018"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功能区</w:t>
                  </w:r>
                </w:p>
              </w:tc>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03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050"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00"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33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84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IV.塔里木盆地暖温荒漠及绿洲农业生态区</w:t>
                  </w:r>
                </w:p>
              </w:tc>
              <w:tc>
                <w:tcPr>
                  <w:tcW w:w="90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IV.</w:t>
                  </w:r>
                  <w:r>
                    <w:rPr>
                      <w:rFonts w:hint="eastAsia" w:asci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塔里木盆地中部塔克拉玛干流动沙漠生态亚区</w:t>
                  </w:r>
                </w:p>
              </w:tc>
              <w:tc>
                <w:tcPr>
                  <w:tcW w:w="1018"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71</w:t>
                  </w:r>
                  <w:r>
                    <w:rPr>
                      <w:rFonts w:hint="default" w:ascii="Times New Roman" w:hAnsi="Times New Roman" w:eastAsia="宋体" w:cs="Times New Roman"/>
                      <w:color w:val="auto"/>
                      <w:sz w:val="21"/>
                      <w:szCs w:val="21"/>
                      <w:highlight w:val="none"/>
                      <w:lang w:val="en-US" w:eastAsia="zh-CN"/>
                    </w:rPr>
                    <w:t>.塔克拉玛干东部流动沙漠景观与油田开发生态功能区</w:t>
                  </w:r>
                </w:p>
              </w:tc>
              <w:tc>
                <w:tcPr>
                  <w:tcW w:w="102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沙漠景观、风沙源地、油气资源开发</w:t>
                  </w:r>
                </w:p>
              </w:tc>
              <w:tc>
                <w:tcPr>
                  <w:tcW w:w="103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风沙</w:t>
                  </w:r>
                  <w:r>
                    <w:rPr>
                      <w:rFonts w:hint="eastAsia" w:ascii="Times New Roman" w:cs="Times New Roman"/>
                      <w:color w:val="auto"/>
                      <w:sz w:val="21"/>
                      <w:szCs w:val="21"/>
                      <w:highlight w:val="none"/>
                      <w:lang w:val="en-US" w:eastAsia="zh-CN"/>
                    </w:rPr>
                    <w:t>威胁</w:t>
                  </w:r>
                  <w:r>
                    <w:rPr>
                      <w:rFonts w:hint="default" w:ascii="Times New Roman" w:hAnsi="Times New Roman" w:eastAsia="宋体" w:cs="Times New Roman"/>
                      <w:color w:val="auto"/>
                      <w:sz w:val="21"/>
                      <w:szCs w:val="21"/>
                      <w:highlight w:val="none"/>
                      <w:lang w:val="en-US" w:eastAsia="zh-CN"/>
                    </w:rPr>
                    <w:t>绿洲和公路以及油田设施、石油开发区环境污染</w:t>
                  </w:r>
                </w:p>
              </w:tc>
              <w:tc>
                <w:tcPr>
                  <w:tcW w:w="105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土壤侵蚀高度敏感，土地沙漠化极度敏感，土壤盐渍化轻度敏感</w:t>
                  </w:r>
                </w:p>
              </w:tc>
              <w:tc>
                <w:tcPr>
                  <w:tcW w:w="90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保护油田设施和沙漠公路、保护文物古迹</w:t>
                  </w:r>
                </w:p>
              </w:tc>
              <w:tc>
                <w:tcPr>
                  <w:tcW w:w="133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加强沙漠油气资源勘探开发，适度开发地下水进行油田和公路绿化，发展沙漠探险旅游</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由表3-2可知，本项目位于“塔克拉玛干东部流动沙漠景观与油田开发生态功能区”，主要生态服务功能为“沙漠景观、风沙源地、油气资源开发”，主要保护目标为“保护油田设施和沙漠公路、保护文物古迹”，适宜发展方向为“加强沙漠油气资源勘探开发，适度开发地下水进行油田和公路绿化，发展沙漠探险旅游”。本项目为油气资源勘探项目，与区域发展方向相协调。工程施工期废气达标排放、废水不外排、产生的固废妥善处置，不改变生态功能区主要生态服务功能，对区域生态环境影响是可接受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（3）环境功能区划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工程所在区域为油气勘探开发区域，大气环境属于《环境空气质量标准》（GB3095-2026）二类区。根据《地下水质量标准》（GB/T14848-2017）地下水质量分类规定，工程所在区域地下水执行《地下水质量标准》（GB/T14848-2017）Ⅲ类标准。周围区域以油气开采为主要功能，声环境为《声环境质量标准》（GB3096-2008）2类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7、生态环境调查与评价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本项目气候类型属大陆性暖温带干旱</w:t>
            </w:r>
            <w:r>
              <w:rPr>
                <w:rFonts w:hint="eastAsia" w:ascii="Times New Roman" w:cs="Times New Roman"/>
                <w:color w:val="auto"/>
                <w:kern w:val="2"/>
                <w:sz w:val="24"/>
                <w:szCs w:val="24"/>
                <w:lang w:val="en-US" w:eastAsia="zh-CN"/>
              </w:rPr>
              <w:t>性气候</w:t>
            </w:r>
            <w:r>
              <w:rPr>
                <w:rFonts w:hint="default" w:ascii="Times New Roman" w:hAnsi="Times New Roman" w:eastAsia="宋体" w:cs="Times New Roman"/>
                <w:color w:val="auto"/>
                <w:kern w:val="2"/>
                <w:sz w:val="24"/>
                <w:szCs w:val="24"/>
                <w:lang w:val="en-US" w:eastAsia="zh-CN"/>
              </w:rPr>
              <w:t>，干旱少雨，不利于土壤中矿物质分解，土壤发育</w:t>
            </w:r>
            <w:r>
              <w:rPr>
                <w:rFonts w:hint="eastAsia" w:ascii="Times New Roman" w:cs="Times New Roman"/>
                <w:color w:val="auto"/>
                <w:kern w:val="2"/>
                <w:sz w:val="24"/>
                <w:szCs w:val="24"/>
                <w:lang w:val="en-US" w:eastAsia="zh-CN"/>
              </w:rPr>
              <w:t>较差</w:t>
            </w:r>
            <w:r>
              <w:rPr>
                <w:rFonts w:hint="default" w:ascii="Times New Roman" w:hAnsi="Times New Roman" w:eastAsia="宋体" w:cs="Times New Roman"/>
                <w:color w:val="auto"/>
                <w:kern w:val="2"/>
                <w:sz w:val="24"/>
                <w:szCs w:val="24"/>
                <w:lang w:val="en-US" w:eastAsia="zh-CN"/>
              </w:rPr>
              <w:t>，类型较为简单，为风沙土。项目占地为戈壁荒漠，周边分布有少量植被，主要有疏叶骆驼刺，植物群落类型单一、生物量低，生物多样性单一，群落稳定性差。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sz w:val="24"/>
                <w:szCs w:val="24"/>
                <w:highlight w:val="none"/>
                <w:lang w:val="en-US" w:eastAsia="zh-CN"/>
              </w:rPr>
              <w:t>本工程位于塔克拉玛干沙漠北部，塔里木河南岸，属于典型的荒漠生态系统，由于水分缺乏，植被极其稀疏，植物种类单调，生物生产量很低，能量流动和物质循环缓慢。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（1）土地利用现状调查与评价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highlight w:val="none"/>
                <w:lang w:val="en-US" w:eastAsia="zh-CN"/>
              </w:rPr>
              <w:t>根据遥感调查结果及《土地利用现状分类》</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GB/T21010-2017</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，以确定项目的土地利用类型为</w:t>
            </w:r>
            <w:r>
              <w:rPr>
                <w:rFonts w:hint="eastAsia" w:ascii="Times New Roman" w:cs="Times New Roman"/>
                <w:color w:val="auto"/>
                <w:sz w:val="24"/>
                <w:szCs w:val="24"/>
                <w:highlight w:val="none"/>
                <w:lang w:val="en-US" w:eastAsia="zh-CN"/>
              </w:rPr>
              <w:t>沙地</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（2）植被现状调查与评价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调查范围内地表基本无植被生长，为裸地。植物物种的分布和水文条件直接有关，沙漠边缘分布有一年生草本植物和依靠水平根系吸收水分的植物，地下水位较深的地区，分布深根型多年生植物，沙漠腹地绝大部分为流动沙丘，极端干旱的气候和稀疏的植被使得该区域的生物种类贫乏，仅在一些高大沙丘间低地、地下水位较高的地段生长有柽柳、疏叶骆驼刺等植物群落，沙漠除局部地段外，绝大部分地段无植物生长，本项目评价范围内基本无植被分布。本项目评价范围内不涉及重点保护野生植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（3）土壤现状调查与评价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highlight w:val="none"/>
              </w:rPr>
              <w:t>结合实地调查和遥感卫星影像，评价区域土壤类型单一，为风沙土。这种土壤是在风成沙性母质上发育起来的，质地较粗，物理性粘粒很少。因风蚀风积作用的交替进行，使土壤发育处于不断的复幼状况下，加之植被稀疏生物作用微弱，有机物质积累很少，成土过程十分微弱，剖面层次分化不明显，因此风沙土在很大程度上只具有风积沙沉积物岩性特征而缺乏其它的诊断层和诊断特征。风沙土可分为流动风沙土、半固定风沙土和固定风沙土三个亚类。本区域土壤类型以流动风沙土为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（4）动物现状调查与评价</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项目油气田所在区域动物种群数量较少，多为荒漠鸟类、爬行类和啮齿类动物。塔克拉玛干沙漠及其边缘地带共分布有野生脊椎动物34种，其中爬行类5种，哺乳动物14种，鸟类15种，这些动物能够在沙漠环境中相对独立生存。</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在油田开发区域，因人类活动较频繁，对人类活动敏感的野生动物已远离。评价区域内未见保护动物分布。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（5）生态敏感区调查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cs="Times New Roman"/>
                <w:color w:val="auto"/>
                <w:sz w:val="24"/>
                <w:highlight w:val="none"/>
                <w:lang w:val="en-US" w:eastAsia="zh-CN"/>
              </w:rPr>
              <w:t>本项目西南距塔里木盆地南缘土地沙化防控生态保护红线区113.8km</w:t>
            </w:r>
            <w:r>
              <w:rPr>
                <w:rFonts w:hint="default" w:ascii="Times New Roman" w:hAnsi="Times New Roman" w:eastAsia="宋体" w:cs="Times New Roman"/>
                <w:color w:val="auto"/>
                <w:sz w:val="24"/>
                <w:highlight w:val="none"/>
                <w:lang w:val="en-US" w:eastAsia="zh-CN"/>
              </w:rPr>
              <w:t>，不占用生态保护红线。本工程施工区域、占地区域、井场及道路周边无依据法律法规、政策等规范性文件划定或确认的国家公园、自然保护区、自然公园等自然保护地、世界自然遗产、生态保护红线等区域及重要物种的天然集中分布区、栖息地，重要水生生物的产卵场、索饵场、越冬场和洄游通道，迁徙鸟类的重要繁殖地、停歇地、越冬地以及野生动物迁徙通道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（6）水土流失现状</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根据《新疆第六次沙化监测报告》，巴音郭楞蒙古自治州为2492.12万公顷，占新疆沙化土地面积33.37%，在巴音郭楞蒙古自治州中沙化土地面积较大的县市有且末县和若羌县，若羌县沙化土地面积为1035.13万公顷，占全州沙化土地面积的41.54%；且末县沙化土地面积为854.41万公顷，占全州沙化土地面积的34.28%；其它7个县市沙化土地面积602.59万公顷，占24.18%。根据《新疆维吾尔自治区2022年度水土流失动态监测年报》，若羌县沙化土地面积为1035.13万公顷，占全州沙化土地面积的41.54%；且末县沙化土地面积为854.41万公顷，占全州沙化土地面积的34.28%；其它7个县市沙化土地面积602.59万公顷，占24.18%。</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32"/>
                <w:highlight w:val="none"/>
                <w:lang w:val="en-US" w:eastAsia="zh-CN"/>
              </w:rPr>
              <w:t>根据《新疆第六次沙化监测报告》，项目位于沙化土地区。</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（8）区域沙化土地现状</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新疆维吾尔自治区防沙治沙规划》（2021-2030年），本项目所在区域属于“塔克拉玛干沙漠生态保护修复区”中的“塔克拉玛干沙漠中部封育保育小区”。该区域主要生态问题为：自然环境严酷，气候极端干旱，年降水量在30mm以下，沙尘天气强度大、频率高。地表水极度缺乏，地下水虽大多埋深较浅，但基本为高矿化度水质。地表多为裸露的流动沙丘（地），受盛行风向影响沙丘均向南移动。项目所在区域沙化土地类型属于流动沙地（丘），土地沙化程度为极重度，可治理度属于难治理。</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根据《新疆第六次沙化监测报告》，且末县位于沙化监测县级单位范围中，且末县沙化土地面积为854.41万公顷，占全州沙化土地面积的34.28%。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7" w:hRule="atLeast"/>
          <w:jc w:val="center"/>
        </w:trPr>
        <w:tc>
          <w:tcPr>
            <w:tcW w:w="728"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11"/>
                <w:kern w:val="0"/>
                <w:szCs w:val="21"/>
                <w:highlight w:val="none"/>
              </w:rPr>
            </w:pPr>
            <w:r>
              <w:rPr>
                <w:rFonts w:hint="default" w:ascii="Times New Roman" w:hAnsi="Times New Roman" w:eastAsia="宋体" w:cs="Times New Roman"/>
                <w:color w:val="auto"/>
                <w:sz w:val="24"/>
                <w:szCs w:val="24"/>
                <w:highlight w:val="none"/>
                <w:lang w:val="en-US" w:eastAsia="zh-CN"/>
              </w:rPr>
              <w:t>与项目有关的原有环境污染和生态破坏问题</w:t>
            </w:r>
          </w:p>
        </w:tc>
        <w:tc>
          <w:tcPr>
            <w:tcW w:w="8344"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color w:val="auto"/>
                <w:sz w:val="24"/>
                <w:szCs w:val="24"/>
                <w:highlight w:val="none"/>
              </w:rPr>
              <w:t>拟建项目属于新建项目，现状占地为</w:t>
            </w:r>
            <w:r>
              <w:rPr>
                <w:rFonts w:hint="eastAsia" w:ascii="Times New Roman" w:cs="Times New Roman"/>
                <w:color w:val="auto"/>
                <w:sz w:val="24"/>
                <w:szCs w:val="24"/>
                <w:highlight w:val="none"/>
                <w:lang w:val="en-US" w:eastAsia="zh-CN"/>
              </w:rPr>
              <w:t>沙地</w:t>
            </w:r>
            <w:r>
              <w:rPr>
                <w:rFonts w:hint="default" w:ascii="Times New Roman" w:hAnsi="Times New Roman" w:eastAsia="宋体" w:cs="Times New Roman"/>
                <w:color w:val="auto"/>
                <w:sz w:val="24"/>
                <w:szCs w:val="24"/>
                <w:highlight w:val="none"/>
              </w:rPr>
              <w:t>，不涉及原有环境污染问题。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生态环境保护目标</w:t>
            </w:r>
          </w:p>
        </w:tc>
        <w:tc>
          <w:tcPr>
            <w:tcW w:w="8344" w:type="dxa"/>
            <w:noWrap w:val="0"/>
            <w:tcMar>
              <w:left w:w="108" w:type="dxa"/>
              <w:right w:w="108" w:type="dxa"/>
            </w:tcMar>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本项目仅涉及施工期，无运营期正常排放污染源，根据《环境影响评价技术导则 大气环境》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HJ2.2-2018</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无需设置大气环境影响评价范围，参照《建设项目环境影响报告表编制技术指南（污染影响类）（试行）》，根据现场调查可知，井场外500m范围内无自然保护区、风景名胜区和其他需要特殊保护的区域以及村庄、学校、医院等敏感点，因此不再设置环境空气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w:t>
            </w:r>
            <w:r>
              <w:rPr>
                <w:rFonts w:hint="eastAsia" w:ascii="Times New Roman" w:cs="Times New Roman"/>
                <w:color w:val="auto"/>
                <w:sz w:val="24"/>
                <w:highlight w:val="none"/>
                <w:lang w:val="en-US" w:eastAsia="zh-CN"/>
              </w:rPr>
              <w:t>周边无地表水体</w:t>
            </w:r>
            <w:r>
              <w:rPr>
                <w:rFonts w:hint="default" w:ascii="Times New Roman" w:hAnsi="Times New Roman" w:eastAsia="宋体" w:cs="Times New Roman"/>
                <w:color w:val="auto"/>
                <w:sz w:val="24"/>
                <w:szCs w:val="24"/>
                <w:highlight w:val="none"/>
              </w:rPr>
              <w:t>，工程施工期钻井废水不外排，不再设置地表水保护目标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根据《环境影响评价技术导则 地下水环境》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HJ610-2016</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地下水环境影响评价项目类别为Ⅳ类，故本次不对地下水进行环境影响评价，且施工边界环境影响范围内无地下水集中式饮用水水源和热水、矿泉水、温泉等特殊地下水资源，因此本项目不再设置地下水环境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本项目周边50m范围内无声环境敏感点，不再设置声环境保护目标；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根据《环境影响评价技术导则 土壤环境（试行）》（HJ964-2018）附录A，本项目属于Ⅳ类项目，根据导则判定本项目可不开展土壤环境影响评价，因此本项目不再设置土壤环境保护目标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根据《环境影响评价技术导则 生态影响》（HJ19-2022），结合本项目工程内容及周围环境特征，生态环境评价范围为井场施工边界外扩50m，本项目施工所在区域不涉及国家公园、自然公园、世界自然遗产、生态保护红线及重要生境等生态敏感区，故不设置生态保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标准</w:t>
            </w:r>
          </w:p>
        </w:tc>
        <w:tc>
          <w:tcPr>
            <w:tcW w:w="8344" w:type="dxa"/>
            <w:noWrap w:val="0"/>
            <w:tcMar>
              <w:left w:w="108" w:type="dxa"/>
              <w:right w:w="108" w:type="dxa"/>
            </w:tcMar>
            <w:vAlign w:val="top"/>
          </w:tcPr>
          <w:p>
            <w:pPr>
              <w:keepNext w:val="0"/>
              <w:keepLines w:val="0"/>
              <w:suppressLineNumbers w:val="0"/>
              <w:adjustRightInd w:val="0"/>
              <w:snapToGrid w:val="0"/>
              <w:spacing w:before="0" w:beforeAutospacing="0" w:after="0" w:afterAutospacing="0" w:line="440" w:lineRule="exact"/>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1、环境质量标准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空气环境：PM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、CO、O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eastAsia" w:ascii="Times New Roman" w:cs="Times New Roman"/>
                <w:color w:val="auto"/>
                <w:sz w:val="24"/>
                <w:szCs w:val="24"/>
                <w:highlight w:val="none"/>
                <w:vertAlign w:val="baseline"/>
                <w:lang w:eastAsia="zh-CN"/>
              </w:rPr>
              <w:t>、</w:t>
            </w:r>
            <w:r>
              <w:rPr>
                <w:rFonts w:hint="eastAsia" w:ascii="Times New Roman" w:cs="Times New Roman"/>
                <w:color w:val="auto"/>
                <w:sz w:val="24"/>
                <w:szCs w:val="24"/>
                <w:highlight w:val="none"/>
                <w:vertAlign w:val="baseline"/>
                <w:lang w:val="en-US" w:eastAsia="zh-CN"/>
              </w:rPr>
              <w:t>TSP</w:t>
            </w:r>
            <w:r>
              <w:rPr>
                <w:rFonts w:hint="default" w:ascii="Times New Roman" w:hAnsi="Times New Roman" w:eastAsia="宋体" w:cs="Times New Roman"/>
                <w:color w:val="auto"/>
                <w:sz w:val="24"/>
                <w:szCs w:val="24"/>
                <w:highlight w:val="none"/>
              </w:rPr>
              <w:t>执行《环境空气质量标准》（GB3095-20</w:t>
            </w:r>
            <w:r>
              <w:rPr>
                <w:rFonts w:hint="default"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rPr>
              <w:t>）二级标准；非甲烷总烃参照执行《大气污染物综合排放标准详解》中2.0mg/m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的浓度限值；H</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S浓度执行《环境影响评价技术导则 大气环境》（HJ2.2-2018）附录D其他污染物空气质量浓度参考限值10μg/m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的标准</w:t>
            </w:r>
            <w:r>
              <w:rPr>
                <w:rFonts w:hint="default" w:ascii="Times New Roman" w:hAnsi="Times New Roman" w:eastAsia="宋体" w:cs="Times New Roman"/>
                <w:color w:val="auto"/>
                <w:sz w:val="24"/>
                <w:szCs w:val="24"/>
                <w:highlight w:val="none"/>
                <w:lang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声环境：工程所在区域为油田勘探开发区域，以居住、工业混杂为主要功能，执行《声环境质量标准》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GB3096-2008</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2类区标准</w:t>
            </w:r>
            <w:r>
              <w:rPr>
                <w:rFonts w:hint="default" w:ascii="Times New Roman" w:hAnsi="Times New Roman" w:eastAsia="宋体" w:cs="Times New Roman"/>
                <w:color w:val="auto"/>
                <w:sz w:val="24"/>
                <w:szCs w:val="24"/>
                <w:highlight w:val="none"/>
                <w:lang w:eastAsia="zh-CN"/>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表3-3    环境质量标准</w:t>
            </w:r>
          </w:p>
          <w:tbl>
            <w:tblPr>
              <w:tblStyle w:val="32"/>
              <w:tblW w:w="81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35"/>
              <w:gridCol w:w="956"/>
              <w:gridCol w:w="1951"/>
              <w:gridCol w:w="1176"/>
              <w:gridCol w:w="1112"/>
              <w:gridCol w:w="220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0" w:hRule="atLeast"/>
                <w:jc w:val="center"/>
              </w:trPr>
              <w:tc>
                <w:tcPr>
                  <w:tcW w:w="735"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环境</w:t>
                  </w:r>
                </w:p>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要素</w:t>
                  </w:r>
                </w:p>
              </w:tc>
              <w:tc>
                <w:tcPr>
                  <w:tcW w:w="956"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项目</w:t>
                  </w:r>
                </w:p>
              </w:tc>
              <w:tc>
                <w:tcPr>
                  <w:tcW w:w="1951"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取值时间</w:t>
                  </w:r>
                </w:p>
              </w:tc>
              <w:tc>
                <w:tcPr>
                  <w:tcW w:w="1176"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default" w:ascii="Times New Roman" w:hAnsi="Times New Roman" w:eastAsia="宋体" w:cs="Times New Roman"/>
                      <w:color w:val="auto"/>
                      <w:spacing w:val="-10"/>
                      <w:sz w:val="21"/>
                      <w:szCs w:val="21"/>
                      <w:highlight w:val="none"/>
                      <w:lang w:bidi="ar"/>
                    </w:rPr>
                    <w:t>标准</w:t>
                  </w:r>
                </w:p>
              </w:tc>
              <w:tc>
                <w:tcPr>
                  <w:tcW w:w="1112"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单位</w:t>
                  </w:r>
                </w:p>
              </w:tc>
              <w:tc>
                <w:tcPr>
                  <w:tcW w:w="2207"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标准来源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环境</w:t>
                  </w:r>
                </w:p>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空气</w:t>
                  </w:r>
                </w:p>
              </w:tc>
              <w:tc>
                <w:tcPr>
                  <w:tcW w:w="956"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PM</w:t>
                  </w:r>
                  <w:r>
                    <w:rPr>
                      <w:rFonts w:hint="default" w:ascii="Times New Roman" w:hAnsi="Times New Roman" w:eastAsia="宋体" w:cs="Times New Roman"/>
                      <w:color w:val="auto"/>
                      <w:spacing w:val="-10"/>
                      <w:sz w:val="21"/>
                      <w:szCs w:val="21"/>
                      <w:highlight w:val="none"/>
                      <w:vertAlign w:val="subscript"/>
                    </w:rPr>
                    <w:t>10</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60</w:t>
                  </w:r>
                </w:p>
              </w:tc>
              <w:tc>
                <w:tcPr>
                  <w:tcW w:w="1112"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μg/m</w:t>
                  </w:r>
                  <w:r>
                    <w:rPr>
                      <w:rFonts w:hint="default" w:ascii="Times New Roman" w:hAnsi="Times New Roman" w:eastAsia="宋体" w:cs="Times New Roman"/>
                      <w:color w:val="auto"/>
                      <w:spacing w:val="-10"/>
                      <w:sz w:val="21"/>
                      <w:szCs w:val="21"/>
                      <w:highlight w:val="none"/>
                      <w:vertAlign w:val="superscript"/>
                      <w:lang w:bidi="ar"/>
                    </w:rPr>
                    <w:t>3</w:t>
                  </w:r>
                </w:p>
              </w:tc>
              <w:tc>
                <w:tcPr>
                  <w:tcW w:w="2207"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default" w:ascii="Times New Roman" w:hAnsi="Times New Roman" w:eastAsia="宋体" w:cs="Times New Roman"/>
                      <w:color w:val="auto"/>
                      <w:spacing w:val="-10"/>
                      <w:sz w:val="21"/>
                      <w:szCs w:val="21"/>
                      <w:highlight w:val="none"/>
                      <w:lang w:bidi="ar"/>
                    </w:rPr>
                    <w:t>《环境空气质量标准》（GB3095-20</w:t>
                  </w:r>
                  <w:r>
                    <w:rPr>
                      <w:rFonts w:hint="default" w:ascii="Times New Roman" w:hAnsi="Times New Roman" w:eastAsia="宋体" w:cs="Times New Roman"/>
                      <w:color w:val="auto"/>
                      <w:spacing w:val="-10"/>
                      <w:sz w:val="21"/>
                      <w:szCs w:val="21"/>
                      <w:highlight w:val="none"/>
                      <w:lang w:val="en-US" w:eastAsia="zh-CN" w:bidi="ar"/>
                    </w:rPr>
                    <w:t>26</w:t>
                  </w:r>
                  <w:r>
                    <w:rPr>
                      <w:rFonts w:hint="default" w:ascii="Times New Roman" w:hAnsi="Times New Roman" w:eastAsia="宋体" w:cs="Times New Roman"/>
                      <w:color w:val="auto"/>
                      <w:spacing w:val="-10"/>
                      <w:sz w:val="21"/>
                      <w:szCs w:val="21"/>
                      <w:highlight w:val="none"/>
                      <w:lang w:bidi="ar"/>
                    </w:rPr>
                    <w:t>）</w:t>
                  </w:r>
                  <w:r>
                    <w:rPr>
                      <w:rFonts w:hint="eastAsia" w:ascii="Times New Roman" w:cs="Times New Roman"/>
                      <w:color w:val="auto"/>
                      <w:spacing w:val="-10"/>
                      <w:sz w:val="21"/>
                      <w:szCs w:val="21"/>
                      <w:highlight w:val="none"/>
                      <w:lang w:val="en-US" w:eastAsia="zh-CN" w:bidi="ar"/>
                    </w:rPr>
                    <w:t>过渡期二级标准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120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PM</w:t>
                  </w:r>
                  <w:r>
                    <w:rPr>
                      <w:rFonts w:hint="default" w:ascii="Times New Roman" w:hAnsi="Times New Roman" w:eastAsia="宋体" w:cs="Times New Roman"/>
                      <w:color w:val="auto"/>
                      <w:spacing w:val="-10"/>
                      <w:sz w:val="21"/>
                      <w:szCs w:val="21"/>
                      <w:highlight w:val="none"/>
                      <w:vertAlign w:val="subscript"/>
                    </w:rPr>
                    <w:t>2.5</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kern w:val="0"/>
                      <w:sz w:val="21"/>
                      <w:szCs w:val="21"/>
                      <w:highlight w:val="none"/>
                      <w:lang w:val="en-US" w:eastAsia="zh-CN"/>
                    </w:rPr>
                    <w:t>30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kern w:val="0"/>
                      <w:sz w:val="21"/>
                      <w:szCs w:val="21"/>
                      <w:highlight w:val="none"/>
                      <w:lang w:val="en-US" w:eastAsia="zh-CN"/>
                    </w:rPr>
                    <w:t>60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SO</w:t>
                  </w:r>
                  <w:r>
                    <w:rPr>
                      <w:rFonts w:hint="default" w:ascii="Times New Roman" w:hAnsi="Times New Roman" w:eastAsia="宋体" w:cs="Times New Roman"/>
                      <w:color w:val="auto"/>
                      <w:spacing w:val="-10"/>
                      <w:sz w:val="21"/>
                      <w:szCs w:val="21"/>
                      <w:highlight w:val="none"/>
                      <w:vertAlign w:val="subscript"/>
                      <w:lang w:bidi="ar"/>
                    </w:rPr>
                    <w:t>2</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60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150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500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NO</w:t>
                  </w:r>
                  <w:r>
                    <w:rPr>
                      <w:rFonts w:hint="default" w:ascii="Times New Roman" w:hAnsi="Times New Roman" w:eastAsia="宋体" w:cs="Times New Roman"/>
                      <w:color w:val="auto"/>
                      <w:spacing w:val="-10"/>
                      <w:sz w:val="21"/>
                      <w:szCs w:val="21"/>
                      <w:highlight w:val="none"/>
                      <w:vertAlign w:val="subscript"/>
                      <w:lang w:bidi="ar"/>
                    </w:rPr>
                    <w:t>2</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40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80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200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CO</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kern w:val="0"/>
                      <w:sz w:val="21"/>
                      <w:szCs w:val="21"/>
                      <w:highlight w:val="none"/>
                      <w:lang w:val="en-US" w:eastAsia="zh-CN"/>
                    </w:rPr>
                    <w:t>10</w:t>
                  </w:r>
                </w:p>
              </w:tc>
              <w:tc>
                <w:tcPr>
                  <w:tcW w:w="1112"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spacing w:val="-10"/>
                      <w:sz w:val="21"/>
                      <w:szCs w:val="21"/>
                      <w:highlight w:val="none"/>
                      <w:lang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4</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val="zh-CN"/>
                    </w:rPr>
                    <w:t>O</w:t>
                  </w:r>
                  <w:r>
                    <w:rPr>
                      <w:rFonts w:hint="default" w:ascii="Times New Roman" w:hAnsi="Times New Roman" w:eastAsia="宋体" w:cs="Times New Roman"/>
                      <w:color w:val="auto"/>
                      <w:spacing w:val="-10"/>
                      <w:sz w:val="21"/>
                      <w:szCs w:val="21"/>
                      <w:highlight w:val="none"/>
                      <w:vertAlign w:val="subscript"/>
                      <w:lang w:val="zh-CN"/>
                    </w:rPr>
                    <w:t>3</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日最大8小时平均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160</w:t>
                  </w:r>
                </w:p>
              </w:tc>
              <w:tc>
                <w:tcPr>
                  <w:tcW w:w="1112"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μg/m</w:t>
                  </w:r>
                  <w:r>
                    <w:rPr>
                      <w:rFonts w:hint="default" w:ascii="Times New Roman" w:hAnsi="Times New Roman" w:eastAsia="宋体" w:cs="Times New Roman"/>
                      <w:color w:val="auto"/>
                      <w:spacing w:val="-10"/>
                      <w:sz w:val="21"/>
                      <w:szCs w:val="21"/>
                      <w:highlight w:val="none"/>
                      <w:vertAlign w:val="superscript"/>
                    </w:rPr>
                    <w:t>3</w:t>
                  </w: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val="zh-CN"/>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kern w:val="0"/>
                      <w:sz w:val="21"/>
                      <w:szCs w:val="21"/>
                    </w:rPr>
                    <w:t>200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shd w:val="clear" w:color="auto" w:fill="auto"/>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val="en-US" w:eastAsia="zh-CN"/>
                    </w:rPr>
                    <w:t>TSP</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zh-CN" w:eastAsia="zh-CN" w:bidi="ar-SA"/>
                    </w:rPr>
                  </w:pPr>
                  <w:r>
                    <w:rPr>
                      <w:rFonts w:hint="default" w:ascii="Times New Roman" w:hAnsi="Times New Roman" w:eastAsia="宋体" w:cs="Times New Roman"/>
                      <w:color w:val="auto"/>
                      <w:spacing w:val="-10"/>
                      <w:sz w:val="21"/>
                      <w:szCs w:val="21"/>
                      <w:highlight w:val="none"/>
                    </w:rPr>
                    <w:t>年平均</w:t>
                  </w:r>
                </w:p>
              </w:tc>
              <w:tc>
                <w:tcPr>
                  <w:tcW w:w="1176"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leftChars="0" w:right="0" w:right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200</w:t>
                  </w:r>
                </w:p>
              </w:tc>
              <w:tc>
                <w:tcPr>
                  <w:tcW w:w="1112"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μg/m</w:t>
                  </w:r>
                  <w:r>
                    <w:rPr>
                      <w:rFonts w:hint="default" w:ascii="Times New Roman" w:hAnsi="Times New Roman" w:eastAsia="宋体" w:cs="Times New Roman"/>
                      <w:color w:val="auto"/>
                      <w:spacing w:val="-10"/>
                      <w:sz w:val="21"/>
                      <w:szCs w:val="21"/>
                      <w:highlight w:val="none"/>
                      <w:vertAlign w:val="superscript"/>
                      <w:lang w:bidi="ar"/>
                    </w:rPr>
                    <w:t>3</w:t>
                  </w:r>
                </w:p>
              </w:tc>
              <w:tc>
                <w:tcPr>
                  <w:tcW w:w="2207"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《环境空气质量标准》（GB3095-20</w:t>
                  </w:r>
                  <w:r>
                    <w:rPr>
                      <w:rFonts w:hint="default" w:ascii="Times New Roman" w:hAnsi="Times New Roman" w:eastAsia="宋体" w:cs="Times New Roman"/>
                      <w:color w:val="auto"/>
                      <w:spacing w:val="-10"/>
                      <w:sz w:val="21"/>
                      <w:szCs w:val="21"/>
                      <w:highlight w:val="none"/>
                      <w:lang w:val="en-US" w:eastAsia="zh-CN" w:bidi="ar"/>
                    </w:rPr>
                    <w:t>26</w:t>
                  </w:r>
                  <w:r>
                    <w:rPr>
                      <w:rFonts w:hint="default" w:ascii="Times New Roman" w:hAnsi="Times New Roman" w:eastAsia="宋体" w:cs="Times New Roman"/>
                      <w:color w:val="auto"/>
                      <w:spacing w:val="-10"/>
                      <w:sz w:val="21"/>
                      <w:szCs w:val="21"/>
                      <w:highlight w:val="none"/>
                      <w:lang w:bidi="ar"/>
                    </w:rPr>
                    <w:t>）</w:t>
                  </w:r>
                  <w:r>
                    <w:rPr>
                      <w:rFonts w:hint="eastAsia" w:ascii="Times New Roman" w:cs="Times New Roman"/>
                      <w:color w:val="auto"/>
                      <w:spacing w:val="-10"/>
                      <w:sz w:val="21"/>
                      <w:szCs w:val="21"/>
                      <w:highlight w:val="none"/>
                      <w:lang w:val="en-US" w:eastAsia="zh-CN" w:bidi="ar"/>
                    </w:rPr>
                    <w:t>二级标准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1"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zh-CN" w:eastAsia="zh-CN" w:bidi="ar-SA"/>
                    </w:rPr>
                  </w:pPr>
                  <w:r>
                    <w:rPr>
                      <w:rFonts w:hint="eastAsia" w:ascii="Times New Roman" w:cs="Times New Roman"/>
                      <w:color w:val="auto"/>
                      <w:spacing w:val="-10"/>
                      <w:sz w:val="21"/>
                      <w:szCs w:val="21"/>
                      <w:highlight w:val="none"/>
                      <w:lang w:val="en-US" w:eastAsia="zh-CN"/>
                    </w:rPr>
                    <w:t>日均值</w:t>
                  </w:r>
                </w:p>
              </w:tc>
              <w:tc>
                <w:tcPr>
                  <w:tcW w:w="1176"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leftChars="0" w:right="0" w:right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300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非甲烷</w:t>
                  </w:r>
                </w:p>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总烃</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lang w:val="zh-CN"/>
                    </w:rPr>
                    <w:t>1小时平均</w:t>
                  </w:r>
                </w:p>
              </w:tc>
              <w:tc>
                <w:tcPr>
                  <w:tcW w:w="1176"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2.0</w:t>
                  </w:r>
                </w:p>
              </w:tc>
              <w:tc>
                <w:tcPr>
                  <w:tcW w:w="1112"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2207"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《大气污染物综合排放标准详解》中的2.0mg/m</w:t>
                  </w:r>
                  <w:r>
                    <w:rPr>
                      <w:rFonts w:hint="default" w:ascii="Times New Roman" w:hAnsi="Times New Roman" w:eastAsia="宋体" w:cs="Times New Roman"/>
                      <w:color w:val="auto"/>
                      <w:spacing w:val="-10"/>
                      <w:sz w:val="21"/>
                      <w:szCs w:val="21"/>
                      <w:highlight w:val="none"/>
                      <w:vertAlign w:val="superscript"/>
                    </w:rPr>
                    <w:t>3</w:t>
                  </w:r>
                  <w:r>
                    <w:rPr>
                      <w:rFonts w:hint="default" w:ascii="Times New Roman" w:hAnsi="Times New Roman" w:eastAsia="宋体" w:cs="Times New Roman"/>
                      <w:color w:val="auto"/>
                      <w:spacing w:val="-10"/>
                      <w:sz w:val="21"/>
                      <w:szCs w:val="21"/>
                      <w:highlight w:val="none"/>
                    </w:rPr>
                    <w:t>的标准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11"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H</w:t>
                  </w:r>
                  <w:r>
                    <w:rPr>
                      <w:rFonts w:hint="default" w:ascii="Times New Roman" w:hAnsi="Times New Roman" w:eastAsia="宋体" w:cs="Times New Roman"/>
                      <w:color w:val="auto"/>
                      <w:spacing w:val="-10"/>
                      <w:sz w:val="21"/>
                      <w:szCs w:val="21"/>
                      <w:highlight w:val="none"/>
                      <w:vertAlign w:val="subscript"/>
                    </w:rPr>
                    <w:t>2</w:t>
                  </w:r>
                  <w:r>
                    <w:rPr>
                      <w:rFonts w:hint="default" w:ascii="Times New Roman" w:hAnsi="Times New Roman" w:eastAsia="宋体" w:cs="Times New Roman"/>
                      <w:color w:val="auto"/>
                      <w:spacing w:val="-10"/>
                      <w:sz w:val="21"/>
                      <w:szCs w:val="21"/>
                      <w:highlight w:val="none"/>
                    </w:rPr>
                    <w:t>S</w:t>
                  </w:r>
                </w:p>
              </w:tc>
              <w:tc>
                <w:tcPr>
                  <w:tcW w:w="1951"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rPr>
                    <w:t>1小时平均</w:t>
                  </w:r>
                </w:p>
              </w:tc>
              <w:tc>
                <w:tcPr>
                  <w:tcW w:w="1176"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1112"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μg/m</w:t>
                  </w:r>
                  <w:r>
                    <w:rPr>
                      <w:rFonts w:hint="default" w:ascii="Times New Roman" w:hAnsi="Times New Roman" w:eastAsia="宋体" w:cs="Times New Roman"/>
                      <w:color w:val="auto"/>
                      <w:spacing w:val="-10"/>
                      <w:sz w:val="21"/>
                      <w:szCs w:val="21"/>
                      <w:highlight w:val="none"/>
                      <w:vertAlign w:val="superscript"/>
                      <w:lang w:bidi="ar"/>
                    </w:rPr>
                    <w:t>3</w:t>
                  </w:r>
                </w:p>
              </w:tc>
              <w:tc>
                <w:tcPr>
                  <w:tcW w:w="2207" w:type="dxa"/>
                  <w:noWrap w:val="0"/>
                  <w:tcMar>
                    <w:left w:w="28" w:type="dxa"/>
                    <w:right w:w="28" w:type="dxa"/>
                  </w:tcMar>
                  <w:vAlign w:val="center"/>
                </w:tcPr>
                <w:p>
                  <w:pPr>
                    <w:pStyle w:val="76"/>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《环境影响评价技术导则 大气环境》（HJ2.2-2018）附录D其他污染物空气质量浓度参考限值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735"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声环境</w:t>
                  </w:r>
                </w:p>
              </w:tc>
              <w:tc>
                <w:tcPr>
                  <w:tcW w:w="956"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w:t>
                  </w:r>
                  <w:r>
                    <w:rPr>
                      <w:rFonts w:hint="default" w:ascii="Times New Roman" w:hAnsi="Times New Roman" w:eastAsia="宋体" w:cs="Times New Roman"/>
                      <w:color w:val="auto"/>
                      <w:spacing w:val="-10"/>
                      <w:sz w:val="21"/>
                      <w:szCs w:val="21"/>
                      <w:highlight w:val="none"/>
                      <w:vertAlign w:val="subscript"/>
                    </w:rPr>
                    <w:t>Aeq，T</w:t>
                  </w:r>
                </w:p>
              </w:tc>
              <w:tc>
                <w:tcPr>
                  <w:tcW w:w="1951"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rPr>
                    <w:t>昼间</w:t>
                  </w:r>
                </w:p>
              </w:tc>
              <w:tc>
                <w:tcPr>
                  <w:tcW w:w="1176" w:type="dxa"/>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w:t>
                  </w:r>
                </w:p>
              </w:tc>
              <w:tc>
                <w:tcPr>
                  <w:tcW w:w="1112"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p>
              </w:tc>
              <w:tc>
                <w:tcPr>
                  <w:tcW w:w="2207" w:type="dxa"/>
                  <w:vMerge w:val="restart"/>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《声环境质量标准》</w:t>
                  </w:r>
                </w:p>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GB3096-2008</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2类标准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6"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rPr>
                    <w:t>夜间</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1112"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6"/>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2、污染物排放执行标准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废气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施工扬尘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1"/>
                <w:highlight w:val="none"/>
              </w:rPr>
              <w:t>完井测试天然气燃烧烟气</w:t>
            </w:r>
            <w:r>
              <w:rPr>
                <w:rFonts w:hint="default" w:ascii="Times New Roman" w:hAnsi="Times New Roman" w:eastAsia="宋体" w:cs="Times New Roman"/>
                <w:color w:val="auto"/>
                <w:sz w:val="24"/>
                <w:szCs w:val="24"/>
                <w:highlight w:val="none"/>
              </w:rPr>
              <w:t>执行《大气污染物综合排放标准》（GB16297-1996）中无组织浓度限值；柴油发电机烟气排放执行《大气污染物综合排放标准》</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GB16297-1996</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表2新污染源大气污染物无组织排放监控浓度限值要求；生物质锅炉产生的废气</w:t>
            </w:r>
            <w:r>
              <w:rPr>
                <w:rFonts w:hint="default" w:ascii="Times New Roman" w:hAnsi="Times New Roman" w:eastAsia="宋体" w:cs="Times New Roman"/>
                <w:color w:val="auto"/>
                <w:sz w:val="24"/>
                <w:szCs w:val="24"/>
                <w:highlight w:val="none"/>
                <w:lang w:val="en-US" w:eastAsia="zh-CN"/>
              </w:rPr>
              <w:t>参照</w:t>
            </w:r>
            <w:r>
              <w:rPr>
                <w:rFonts w:hint="default" w:ascii="Times New Roman" w:hAnsi="Times New Roman" w:eastAsia="宋体" w:cs="Times New Roman"/>
                <w:color w:val="auto"/>
                <w:sz w:val="24"/>
                <w:szCs w:val="24"/>
                <w:highlight w:val="none"/>
              </w:rPr>
              <w:t>执行《锅炉大气污染物排放标准》（GB13271-2014）表2中燃气锅炉的标准限值；井场无组织非甲烷总烃执行《陆上石油天然气开采工业大气污染物排放标准》（GB39728-2020）中边界污染物控制要求</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硫化氢执行《恶臭污染物排放标准》（GB14554-93）表1标准限值要求。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上述各标准的标准值见</w:t>
            </w:r>
            <w:r>
              <w:rPr>
                <w:rFonts w:hint="default" w:ascii="Times New Roman" w:hAnsi="Times New Roman" w:eastAsia="宋体"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表3-4    污染物排放执行标准一览表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16"/>
              <w:gridCol w:w="842"/>
              <w:gridCol w:w="1215"/>
              <w:gridCol w:w="947"/>
              <w:gridCol w:w="859"/>
              <w:gridCol w:w="352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类别</w:t>
                  </w:r>
                </w:p>
              </w:tc>
              <w:tc>
                <w:tcPr>
                  <w:tcW w:w="84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污染源</w:t>
                  </w: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项目</w:t>
                  </w:r>
                </w:p>
              </w:tc>
              <w:tc>
                <w:tcPr>
                  <w:tcW w:w="94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排放限值</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单位</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标 准 来 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3" w:hRule="atLeast"/>
                <w:jc w:val="center"/>
              </w:trPr>
              <w:tc>
                <w:tcPr>
                  <w:tcW w:w="71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废气</w:t>
                  </w:r>
                </w:p>
              </w:tc>
              <w:tc>
                <w:tcPr>
                  <w:tcW w:w="842"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default" w:ascii="Times New Roman" w:hAnsi="Times New Roman" w:eastAsia="宋体" w:cs="Times New Roman"/>
                      <w:color w:val="auto"/>
                      <w:spacing w:val="-10"/>
                      <w:sz w:val="21"/>
                      <w:szCs w:val="21"/>
                      <w:highlight w:val="none"/>
                      <w:lang w:val="en-US" w:eastAsia="zh-CN" w:bidi="ar"/>
                    </w:rPr>
                    <w:t>生物质锅炉烟气</w:t>
                  </w: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颗粒物</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20</w:t>
                  </w:r>
                </w:p>
              </w:tc>
              <w:tc>
                <w:tcPr>
                  <w:tcW w:w="85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rPr>
                    <w:t>mg/m</w:t>
                  </w:r>
                  <w:r>
                    <w:rPr>
                      <w:rFonts w:hint="default" w:ascii="Times New Roman" w:hAnsi="Times New Roman" w:eastAsia="宋体" w:cs="Times New Roman"/>
                      <w:color w:val="auto"/>
                      <w:spacing w:val="-10"/>
                      <w:szCs w:val="21"/>
                      <w:vertAlign w:val="superscript"/>
                    </w:rPr>
                    <w:t>3</w:t>
                  </w:r>
                </w:p>
              </w:tc>
              <w:tc>
                <w:tcPr>
                  <w:tcW w:w="352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lang w:bidi="ar"/>
                    </w:rPr>
                    <w:t>《锅炉大气污染物排放标准》（GB13271-2014）表2中燃气锅炉标准限值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二氧化硫</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50</w:t>
                  </w:r>
                </w:p>
              </w:tc>
              <w:tc>
                <w:tcPr>
                  <w:tcW w:w="85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氮氧化物</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200</w:t>
                  </w:r>
                </w:p>
              </w:tc>
              <w:tc>
                <w:tcPr>
                  <w:tcW w:w="85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烟气黑度（林格曼黑度，级）</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≤1</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级</w:t>
                  </w:r>
                </w:p>
              </w:tc>
              <w:tc>
                <w:tcPr>
                  <w:tcW w:w="352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施工期厂界无组织</w:t>
                  </w: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颗粒物</w:t>
                  </w:r>
                </w:p>
              </w:tc>
              <w:tc>
                <w:tcPr>
                  <w:tcW w:w="94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1.0</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《大气污染物综合排放标准》（GB16297-1996）中无组织排放监控浓度限值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柴油发电机</w:t>
                  </w:r>
                </w:p>
              </w:tc>
              <w:tc>
                <w:tcPr>
                  <w:tcW w:w="1215"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颗粒物</w:t>
                  </w:r>
                </w:p>
              </w:tc>
              <w:tc>
                <w:tcPr>
                  <w:tcW w:w="947"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1.0</w:t>
                  </w:r>
                </w:p>
              </w:tc>
              <w:tc>
                <w:tcPr>
                  <w:tcW w:w="85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p>
              </w:tc>
              <w:tc>
                <w:tcPr>
                  <w:tcW w:w="352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《大气污染物综合排放标准》</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GB16297-1996</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表2新污染源大气污染物无组织排放监控浓度限值要求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二氧化硫</w:t>
                  </w:r>
                </w:p>
              </w:tc>
              <w:tc>
                <w:tcPr>
                  <w:tcW w:w="947"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0.4</w:t>
                  </w:r>
                </w:p>
              </w:tc>
              <w:tc>
                <w:tcPr>
                  <w:tcW w:w="85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氮氧化物</w:t>
                  </w:r>
                </w:p>
              </w:tc>
              <w:tc>
                <w:tcPr>
                  <w:tcW w:w="947"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0.12</w:t>
                  </w:r>
                </w:p>
              </w:tc>
              <w:tc>
                <w:tcPr>
                  <w:tcW w:w="85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井场无组织废气</w:t>
                  </w: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非甲烷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总烃</w:t>
                  </w:r>
                </w:p>
              </w:tc>
              <w:tc>
                <w:tcPr>
                  <w:tcW w:w="947" w:type="dxa"/>
                  <w:noWrap w:val="0"/>
                  <w:tcMar>
                    <w:left w:w="28" w:type="dxa"/>
                    <w:right w:w="28" w:type="dxa"/>
                  </w:tcMar>
                  <w:vAlign w:val="center"/>
                </w:tcPr>
                <w:p>
                  <w:pPr>
                    <w:pStyle w:val="7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4.0</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 w:val="21"/>
                      <w:szCs w:val="21"/>
                      <w:highlight w:val="none"/>
                    </w:rPr>
                    <w:t>mg/m</w:t>
                  </w:r>
                  <w:r>
                    <w:rPr>
                      <w:rFonts w:hint="default" w:ascii="Times New Roman" w:hAnsi="Times New Roman" w:eastAsia="宋体" w:cs="Times New Roman"/>
                      <w:color w:val="auto"/>
                      <w:spacing w:val="-10"/>
                      <w:kern w:val="0"/>
                      <w:sz w:val="21"/>
                      <w:szCs w:val="21"/>
                      <w:highlight w:val="none"/>
                      <w:vertAlign w:val="superscript"/>
                    </w:rPr>
                    <w:t>3</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《陆上石油天然气开采工业大气污染物排放标准》（GB39728-2020）中边界污染物控制要求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硫化氢</w:t>
                  </w:r>
                </w:p>
              </w:tc>
              <w:tc>
                <w:tcPr>
                  <w:tcW w:w="94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0.06</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《恶臭污染物排放标准》（GB14554-93）表1标准限值要求</w:t>
                  </w:r>
                </w:p>
              </w:tc>
            </w:tr>
          </w:tbl>
          <w:p>
            <w:pPr>
              <w:keepNext w:val="0"/>
              <w:keepLines w:val="0"/>
              <w:suppressLineNumbers w:val="0"/>
              <w:spacing w:before="0" w:beforeAutospacing="0" w:after="0" w:afterAutospacing="0" w:line="440" w:lineRule="exact"/>
              <w:ind w:left="0" w:right="0" w:firstLine="480" w:firstLineChars="200"/>
              <w:textAlignment w:val="baseline"/>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（2）</w:t>
            </w:r>
            <w:r>
              <w:rPr>
                <w:rFonts w:hint="eastAsia" w:ascii="Times New Roman" w:cs="Times New Roman"/>
                <w:color w:val="auto"/>
                <w:sz w:val="24"/>
                <w:highlight w:val="none"/>
                <w:lang w:val="en-US" w:eastAsia="zh-CN"/>
              </w:rPr>
              <w:t>废水</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color w:val="auto"/>
                <w:sz w:val="24"/>
                <w:highlight w:val="none"/>
              </w:rPr>
            </w:pPr>
            <w:r>
              <w:rPr>
                <w:rFonts w:hint="default" w:ascii="Times New Roman" w:hAnsi="Times New Roman" w:eastAsia="宋体" w:cs="Times New Roman"/>
                <w:color w:val="auto"/>
                <w:sz w:val="24"/>
                <w:highlight w:val="none"/>
              </w:rPr>
              <w:t>生活污水经井场撬装式污水处理装置处理后达到《农村生活污水处理排放标准》（DB65</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4275-2019）表2的</w:t>
            </w:r>
            <w:r>
              <w:rPr>
                <w:rFonts w:hint="default" w:ascii="Times New Roman" w:hAnsi="Times New Roman" w:eastAsia="宋体" w:cs="Times New Roman"/>
                <w:color w:val="auto"/>
                <w:sz w:val="24"/>
                <w:highlight w:val="none"/>
                <w:lang w:val="en-US" w:eastAsia="zh-CN"/>
              </w:rPr>
              <w:t>B</w:t>
            </w:r>
            <w:r>
              <w:rPr>
                <w:rFonts w:hint="default" w:ascii="Times New Roman" w:hAnsi="Times New Roman" w:eastAsia="宋体" w:cs="Times New Roman"/>
                <w:color w:val="auto"/>
                <w:sz w:val="24"/>
                <w:highlight w:val="none"/>
              </w:rPr>
              <w:t>级标准，用于荒漠生态恢复。</w:t>
            </w:r>
          </w:p>
          <w:p>
            <w:pPr>
              <w:keepNext w:val="0"/>
              <w:keepLines w:val="0"/>
              <w:suppressLineNumbers w:val="0"/>
              <w:spacing w:before="0" w:beforeAutospacing="0" w:after="0" w:afterAutospacing="0" w:line="440" w:lineRule="exact"/>
              <w:ind w:left="0" w:right="0" w:firstLine="482" w:firstLineChars="200"/>
              <w:textAlignment w:val="baseline"/>
              <w:rPr>
                <w:rFonts w:hint="default" w:ascii="Times New Roman" w:hAnsi="Times New Roman" w:eastAsia="宋体" w:cs="Times New Roman"/>
                <w:b/>
                <w:color w:val="auto"/>
                <w:sz w:val="24"/>
                <w:highlight w:val="none"/>
              </w:rPr>
            </w:pPr>
            <w:r>
              <w:rPr>
                <w:rFonts w:hint="default" w:ascii="Times New Roman" w:hAnsi="Times New Roman" w:eastAsia="宋体" w:cs="Times New Roman"/>
                <w:b/>
                <w:bCs w:val="0"/>
                <w:color w:val="auto"/>
                <w:sz w:val="24"/>
                <w:highlight w:val="none"/>
              </w:rPr>
              <w:t>表3-</w:t>
            </w:r>
            <w:r>
              <w:rPr>
                <w:rFonts w:hint="default" w:ascii="Times New Roman" w:hAnsi="Times New Roman" w:eastAsia="宋体" w:cs="Times New Roman"/>
                <w:b/>
                <w:bCs w:val="0"/>
                <w:color w:val="auto"/>
                <w:sz w:val="24"/>
                <w:highlight w:val="none"/>
                <w:lang w:val="en-US" w:eastAsia="zh-CN"/>
              </w:rPr>
              <w:t>5</w:t>
            </w:r>
            <w:r>
              <w:rPr>
                <w:rFonts w:hint="default" w:ascii="Times New Roman" w:hAnsi="Times New Roman" w:eastAsia="宋体" w:cs="Times New Roman"/>
                <w:b/>
                <w:bCs w:val="0"/>
                <w:color w:val="auto"/>
                <w:sz w:val="24"/>
                <w:highlight w:val="none"/>
              </w:rPr>
              <w:t xml:space="preserve">    废水污染物排放标准     </w:t>
            </w:r>
            <w:r>
              <w:rPr>
                <w:rFonts w:hint="default" w:ascii="Times New Roman" w:hAnsi="Times New Roman" w:eastAsia="宋体" w:cs="Times New Roman"/>
                <w:b/>
                <w:bCs w:val="0"/>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单位：mg/L（pH无纲量）</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6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《农村生活污水处理排放标准》（DB65</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4275-2019）表2的</w:t>
                  </w: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rPr>
                    <w:t>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粪大肠菌群</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40000</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MPN/L</w:t>
                  </w:r>
                  <w:r>
                    <w:rPr>
                      <w:rFonts w:hint="eastAsia" w:ascii="Times New Roman"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蛔虫卵个数</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2（个/L）</w:t>
                  </w:r>
                </w:p>
              </w:tc>
            </w:tr>
          </w:tbl>
          <w:p>
            <w:pPr>
              <w:keepNext w:val="0"/>
              <w:keepLines w:val="0"/>
              <w:suppressLineNumbers w:val="0"/>
              <w:spacing w:before="0" w:beforeAutospacing="0" w:after="0" w:afterAutospacing="0" w:line="440" w:lineRule="exact"/>
              <w:ind w:left="0" w:right="0" w:firstLine="480" w:firstLineChars="200"/>
              <w:textAlignment w:val="baseline"/>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ascii="Times New Roman" w:cs="Times New Roman"/>
                <w:color w:val="auto"/>
                <w:sz w:val="24"/>
                <w:highlight w:val="none"/>
                <w:lang w:val="en-US" w:eastAsia="zh-CN"/>
              </w:rPr>
              <w:t>噪声</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color w:val="auto"/>
                <w:sz w:val="24"/>
                <w:highlight w:val="none"/>
              </w:rPr>
              <w:t>施工期噪声执行《建筑施工噪声排放标准》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GB12523-20</w:t>
            </w:r>
            <w:r>
              <w:rPr>
                <w:rFonts w:hint="default" w:ascii="Times New Roman" w:hAnsi="Times New Roman" w:eastAsia="宋体" w:cs="Times New Roman"/>
                <w:color w:val="auto"/>
                <w:sz w:val="24"/>
                <w:highlight w:val="none"/>
                <w:lang w:val="en-US" w:eastAsia="zh-CN"/>
              </w:rPr>
              <w:t>25）</w:t>
            </w:r>
            <w:r>
              <w:rPr>
                <w:rFonts w:hint="default" w:ascii="Times New Roman" w:hAnsi="Times New Roman" w:eastAsia="宋体" w:cs="Times New Roman"/>
                <w:color w:val="auto"/>
                <w:sz w:val="24"/>
                <w:highlight w:val="none"/>
              </w:rPr>
              <w:t>中的相关规定，试井期间厂界执行《工业企业厂界环境噪声排放标准》（GB12348-2008）2类标准。</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color w:val="auto"/>
                <w:kern w:val="0"/>
                <w:sz w:val="24"/>
                <w:highlight w:val="none"/>
                <w:lang w:val="en-US" w:eastAsia="zh-CN"/>
              </w:rPr>
            </w:pPr>
            <w:r>
              <w:rPr>
                <w:rFonts w:hint="default" w:ascii="Times New Roman" w:hAnsi="Times New Roman" w:eastAsia="宋体" w:cs="Times New Roman"/>
                <w:b/>
                <w:color w:val="auto"/>
                <w:kern w:val="0"/>
                <w:sz w:val="24"/>
                <w:highlight w:val="none"/>
              </w:rPr>
              <w:t>表3-</w:t>
            </w:r>
            <w:r>
              <w:rPr>
                <w:rFonts w:hint="default" w:ascii="Times New Roman" w:hAnsi="Times New Roman" w:eastAsia="宋体" w:cs="Times New Roman"/>
                <w:b/>
                <w:color w:val="auto"/>
                <w:kern w:val="0"/>
                <w:sz w:val="24"/>
                <w:highlight w:val="none"/>
                <w:lang w:val="en-US" w:eastAsia="zh-CN"/>
              </w:rPr>
              <w:t>6</w:t>
            </w:r>
            <w:r>
              <w:rPr>
                <w:rFonts w:hint="default" w:ascii="Times New Roman" w:hAnsi="Times New Roman" w:eastAsia="宋体" w:cs="Times New Roman"/>
                <w:b/>
                <w:color w:val="auto"/>
                <w:kern w:val="0"/>
                <w:sz w:val="24"/>
                <w:highlight w:val="none"/>
              </w:rPr>
              <w:t xml:space="preserve">    环境噪声排放标准</w:t>
            </w:r>
            <w:r>
              <w:rPr>
                <w:rFonts w:hint="default" w:ascii="Times New Roman" w:hAnsi="Times New Roman" w:eastAsia="宋体" w:cs="Times New Roman"/>
                <w:b/>
                <w:color w:val="auto"/>
                <w:kern w:val="0"/>
                <w:sz w:val="24"/>
                <w:highlight w:val="none"/>
                <w:lang w:val="en-US" w:eastAsia="zh-CN"/>
              </w:rPr>
              <w:t xml:space="preserve">                     </w:t>
            </w:r>
            <w:r>
              <w:rPr>
                <w:rFonts w:hint="default" w:ascii="Times New Roman" w:hAnsi="Times New Roman" w:eastAsia="宋体" w:cs="Times New Roman"/>
                <w:b/>
                <w:color w:val="auto"/>
                <w:sz w:val="24"/>
                <w:highlight w:val="none"/>
              </w:rPr>
              <w:t>单位：</w:t>
            </w:r>
            <w:r>
              <w:rPr>
                <w:rFonts w:hint="default" w:ascii="Times New Roman" w:hAnsi="Times New Roman" w:eastAsia="宋体" w:cs="Times New Roman"/>
                <w:b/>
                <w:color w:val="auto"/>
                <w:sz w:val="24"/>
                <w:highlight w:val="none"/>
                <w:lang w:val="en-US" w:eastAsia="zh-CN"/>
              </w:rPr>
              <w:t>dB</w:t>
            </w:r>
            <w:r>
              <w:rPr>
                <w:rFonts w:hint="eastAsia" w:ascii="Times New Roman" w:cs="Times New Roman"/>
                <w:b/>
                <w:color w:val="auto"/>
                <w:sz w:val="24"/>
                <w:highlight w:val="none"/>
                <w:lang w:val="en-US" w:eastAsia="zh-CN"/>
              </w:rPr>
              <w:t>（</w:t>
            </w:r>
            <w:r>
              <w:rPr>
                <w:rFonts w:hint="default" w:ascii="Times New Roman" w:hAnsi="Times New Roman" w:eastAsia="宋体" w:cs="Times New Roman"/>
                <w:b/>
                <w:color w:val="auto"/>
                <w:sz w:val="24"/>
                <w:highlight w:val="none"/>
                <w:lang w:val="en-US" w:eastAsia="zh-CN"/>
              </w:rPr>
              <w:t>A</w:t>
            </w:r>
            <w:r>
              <w:rPr>
                <w:rFonts w:hint="eastAsia" w:ascii="Times New Roman" w:cs="Times New Roman"/>
                <w:b/>
                <w:color w:val="auto"/>
                <w:sz w:val="24"/>
                <w:highlight w:val="none"/>
                <w:lang w:val="en-US" w:eastAsia="zh-CN"/>
              </w:rPr>
              <w:t>）</w:t>
            </w:r>
          </w:p>
          <w:tbl>
            <w:tblPr>
              <w:tblStyle w:val="32"/>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1329"/>
              <w:gridCol w:w="1268"/>
              <w:gridCol w:w="4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4" w:hRule="atLeast"/>
                <w:jc w:val="center"/>
              </w:trPr>
              <w:tc>
                <w:tcPr>
                  <w:tcW w:w="1060"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时段</w:t>
                  </w:r>
                </w:p>
              </w:tc>
              <w:tc>
                <w:tcPr>
                  <w:tcW w:w="2597" w:type="dxa"/>
                  <w:gridSpan w:val="2"/>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标准值</w:t>
                  </w:r>
                </w:p>
              </w:tc>
              <w:tc>
                <w:tcPr>
                  <w:tcW w:w="4482"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施工期</w:t>
                  </w: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70</w:t>
                  </w:r>
                </w:p>
              </w:tc>
              <w:tc>
                <w:tcPr>
                  <w:tcW w:w="448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《建筑施工噪声排放标准》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GB12523-2025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55</w:t>
                  </w:r>
                </w:p>
              </w:tc>
              <w:tc>
                <w:tcPr>
                  <w:tcW w:w="448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试井期</w:t>
                  </w: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60</w:t>
                  </w:r>
                </w:p>
              </w:tc>
              <w:tc>
                <w:tcPr>
                  <w:tcW w:w="448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GB12348-2008</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3" w:hRule="atLeast"/>
                <w:jc w:val="center"/>
              </w:trPr>
              <w:tc>
                <w:tcPr>
                  <w:tcW w:w="1060"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50</w:t>
                  </w:r>
                </w:p>
              </w:tc>
              <w:tc>
                <w:tcPr>
                  <w:tcW w:w="448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r>
          </w:tbl>
          <w:p>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lang w:val="en-US" w:eastAsia="zh-CN" w:bidi="ar-SA"/>
              </w:rPr>
              <w:t>（4）</w:t>
            </w:r>
            <w:r>
              <w:rPr>
                <w:rFonts w:hint="default" w:ascii="Times New Roman" w:hAnsi="Times New Roman" w:eastAsia="宋体" w:cs="Times New Roman"/>
                <w:color w:val="auto"/>
                <w:sz w:val="24"/>
                <w:szCs w:val="24"/>
                <w:highlight w:val="none"/>
              </w:rPr>
              <w:t>固体废物</w:t>
            </w:r>
          </w:p>
          <w:p>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一般工业固体废物执行《一般工业固体废物贮存和填埋污染控制标准》（GB</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18599-2020）要求；</w:t>
            </w:r>
            <w:r>
              <w:rPr>
                <w:rFonts w:hint="default" w:ascii="Times New Roman" w:hAnsi="Times New Roman" w:eastAsia="宋体" w:cs="Times New Roman"/>
                <w:color w:val="auto"/>
                <w:sz w:val="24"/>
                <w:szCs w:val="24"/>
                <w:highlight w:val="none"/>
                <w:lang w:eastAsia="zh-CN"/>
              </w:rPr>
              <w:t>沾油废物、废烧碱包装袋、废矿物油及其包装物等执行</w:t>
            </w:r>
            <w:r>
              <w:rPr>
                <w:rFonts w:hint="default" w:ascii="Times New Roman" w:hAnsi="Times New Roman" w:eastAsia="宋体" w:cs="Times New Roman"/>
                <w:color w:val="auto"/>
                <w:sz w:val="24"/>
                <w:szCs w:val="24"/>
                <w:highlight w:val="none"/>
              </w:rPr>
              <w:t>《危险废物贮存污染控制标准》（GB18597-2023）要求及《</w:t>
            </w:r>
            <w:r>
              <w:rPr>
                <w:rFonts w:hint="default" w:ascii="Times New Roman" w:hAnsi="Times New Roman" w:eastAsia="宋体" w:cs="Times New Roman"/>
                <w:color w:val="auto"/>
                <w:sz w:val="24"/>
                <w:szCs w:val="24"/>
                <w:highlight w:val="none"/>
                <w:lang w:eastAsia="zh-CN"/>
              </w:rPr>
              <w:t>危险废物收集 贮存 运输技术规范</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HJ2025-2012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处理达标后的钻井岩屑执行《油气田钻井固体废物综合利用污染控制要求》（DB65/T3997-2017）中表1综合利用污染限值及《石油天然气开采业固体废物污染控制技术规范（试行）》（HJ1461-2026）中的相关限值。</w:t>
            </w: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p>
            <w:pPr>
              <w:pStyle w:val="18"/>
              <w:keepNext w:val="0"/>
              <w:keepLines w:val="0"/>
              <w:suppressLineNumbers w:val="0"/>
              <w:spacing w:before="0" w:beforeAutospacing="0" w:after="0" w:afterAutospacing="0"/>
              <w:ind w:left="0" w:right="0"/>
              <w:rPr>
                <w:rFonts w:hint="default"/>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25"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lang w:val="en-US" w:eastAsia="zh-CN"/>
              </w:rPr>
              <w:t>其他</w:t>
            </w:r>
          </w:p>
        </w:tc>
        <w:tc>
          <w:tcPr>
            <w:tcW w:w="8344"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按照《全国主要污染物排放总量控制计划》中的要求，结合项目的排污特点，确定以下污染物为总量控制因子。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废气：</w:t>
            </w:r>
            <w:r>
              <w:rPr>
                <w:rFonts w:hint="default" w:ascii="Times New Roman" w:hAnsi="Times New Roman" w:eastAsia="宋体" w:cs="Times New Roman"/>
                <w:color w:val="auto"/>
                <w:sz w:val="24"/>
                <w:highlight w:val="none"/>
              </w:rPr>
              <w:t>NOx</w:t>
            </w:r>
            <w:r>
              <w:rPr>
                <w:rFonts w:hint="eastAsia" w:ascii="Times New Roman" w:cs="Times New Roman"/>
                <w:color w:val="auto"/>
                <w:sz w:val="24"/>
                <w:highlight w:val="none"/>
                <w:lang w:eastAsia="zh-CN"/>
              </w:rPr>
              <w:t>、</w:t>
            </w:r>
            <w:r>
              <w:rPr>
                <w:rFonts w:hint="eastAsia" w:ascii="Times New Roman" w:cs="Times New Roman"/>
                <w:color w:val="auto"/>
                <w:sz w:val="24"/>
                <w:highlight w:val="none"/>
                <w:lang w:val="en-US" w:eastAsia="zh-CN"/>
              </w:rPr>
              <w:t>非甲烷总烃</w:t>
            </w:r>
            <w:r>
              <w:rPr>
                <w:rFonts w:hint="default" w:ascii="Times New Roman" w:hAnsi="Times New Roman" w:eastAsia="宋体" w:cs="Times New Roman"/>
                <w:color w:val="auto"/>
                <w:sz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cs="Times New Roman"/>
                <w:color w:val="auto"/>
                <w:sz w:val="24"/>
                <w:highlight w:val="none"/>
                <w:lang w:val="en-US" w:eastAsia="zh-CN"/>
              </w:rPr>
              <w:t>根据污染物源强核算，本项目氮氧化物排放量为21.515t/钻井期，非甲烷总烃排放量为0t。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本项目实施后主要总量控制指标建议值见表3-</w:t>
            </w:r>
            <w:r>
              <w:rPr>
                <w:rFonts w:hint="eastAsia"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w:t>
            </w:r>
            <w:r>
              <w:rPr>
                <w:rFonts w:hint="eastAsia" w:ascii="Times New Roman" w:hAnsi="Times New Roman" w:eastAsia="宋体" w:cs="Times New Roman"/>
                <w:b/>
                <w:bCs/>
                <w:color w:val="auto"/>
                <w:sz w:val="24"/>
                <w:highlight w:val="none"/>
                <w:lang w:val="en-US" w:eastAsia="zh-CN"/>
              </w:rPr>
              <w:t>7</w:t>
            </w:r>
            <w:r>
              <w:rPr>
                <w:rFonts w:hint="default" w:ascii="Times New Roman" w:hAnsi="Times New Roman" w:eastAsia="宋体" w:cs="Times New Roman"/>
                <w:b/>
                <w:bCs/>
                <w:color w:val="auto"/>
                <w:sz w:val="24"/>
                <w:highlight w:val="none"/>
                <w:lang w:val="en-US" w:eastAsia="zh-CN"/>
              </w:rPr>
              <w:t xml:space="preserve">    项目总量控制指标建议值</w:t>
            </w:r>
          </w:p>
          <w:tbl>
            <w:tblPr>
              <w:tblStyle w:val="33"/>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2763"/>
              <w:gridCol w:w="2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总量控制指标类型</w:t>
                  </w:r>
                </w:p>
              </w:tc>
              <w:tc>
                <w:tcPr>
                  <w:tcW w:w="276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控制因子</w:t>
                  </w:r>
                </w:p>
              </w:tc>
              <w:tc>
                <w:tcPr>
                  <w:tcW w:w="290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控制量（t</w:t>
                  </w:r>
                  <w:r>
                    <w:rPr>
                      <w:rFonts w:hint="eastAsia" w:ascii="Times New Roman" w:cs="Times New Roman"/>
                      <w:color w:val="auto"/>
                      <w:sz w:val="21"/>
                      <w:szCs w:val="21"/>
                      <w:highlight w:val="none"/>
                      <w:lang w:val="en-US" w:eastAsia="zh-CN"/>
                    </w:rPr>
                    <w:t>/钻井期</w:t>
                  </w:r>
                  <w:r>
                    <w:rPr>
                      <w:rFonts w:hint="default" w:ascii="Times New Roman" w:hAnsi="Times New Roman" w:eastAsia="宋体"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296"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276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NOx</w:t>
                  </w:r>
                </w:p>
              </w:tc>
              <w:tc>
                <w:tcPr>
                  <w:tcW w:w="290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21.515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c>
                <w:tcPr>
                  <w:tcW w:w="276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非甲烷总烃</w:t>
                  </w:r>
                </w:p>
              </w:tc>
              <w:tc>
                <w:tcPr>
                  <w:tcW w:w="290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lang w:eastAsia="zh-CN"/>
              </w:rPr>
            </w:pPr>
          </w:p>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pStyle w:val="2"/>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4"/>
                <w:szCs w:val="24"/>
                <w:highlight w:val="none"/>
                <w:lang w:eastAsia="zh-CN"/>
              </w:rPr>
            </w:pPr>
          </w:p>
        </w:tc>
      </w:tr>
    </w:tbl>
    <w:p>
      <w:pPr>
        <w:pStyle w:val="29"/>
        <w:jc w:val="center"/>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snapToGrid w:val="0"/>
          <w:color w:val="0000FF"/>
          <w:kern w:val="2"/>
          <w:sz w:val="36"/>
          <w:szCs w:val="36"/>
          <w:highlight w:val="none"/>
        </w:rPr>
        <w:br w:type="page"/>
      </w:r>
      <w:bookmarkStart w:id="44" w:name="_Toc30669"/>
      <w:r>
        <w:rPr>
          <w:rFonts w:hint="default" w:ascii="Times New Roman" w:hAnsi="Times New Roman" w:eastAsia="宋体" w:cs="Times New Roman"/>
          <w:b/>
          <w:bCs/>
          <w:snapToGrid w:val="0"/>
          <w:color w:val="auto"/>
          <w:sz w:val="30"/>
          <w:szCs w:val="30"/>
          <w:highlight w:val="none"/>
        </w:rPr>
        <w:t>四、生态环境影响分析</w:t>
      </w:r>
      <w:bookmarkEnd w:id="44"/>
    </w:p>
    <w:tbl>
      <w:tblPr>
        <w:tblStyle w:val="32"/>
        <w:tblW w:w="90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
        <w:gridCol w:w="749"/>
        <w:gridCol w:w="8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5" w:type="dxa"/>
            <w:gridSpan w:val="2"/>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Cs/>
                <w:color w:val="auto"/>
                <w:kern w:val="2"/>
                <w:sz w:val="21"/>
                <w:szCs w:val="21"/>
                <w:highlight w:val="none"/>
                <w:lang w:val="en-US" w:eastAsia="zh-CN"/>
              </w:rPr>
            </w:pPr>
            <w:bookmarkStart w:id="45" w:name="_Hlk49796138"/>
            <w:r>
              <w:rPr>
                <w:rFonts w:hint="default" w:ascii="Times New Roman" w:hAnsi="Times New Roman" w:eastAsia="宋体" w:cs="Times New Roman"/>
                <w:color w:val="auto"/>
                <w:sz w:val="24"/>
                <w:szCs w:val="24"/>
                <w:highlight w:val="none"/>
                <w:lang w:val="en-US" w:eastAsia="zh-CN"/>
              </w:rPr>
              <w:t>施工期生态环境影响分析</w:t>
            </w:r>
          </w:p>
        </w:tc>
        <w:tc>
          <w:tcPr>
            <w:tcW w:w="8334"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lang w:val="zh-CN" w:eastAsia="zh-CN"/>
              </w:rPr>
              <w:t>施工期生态影响分析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（1）工程占地影响分析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rPr>
              <w:t>结合地形等条件估算，需新建临时进场道路长约</w:t>
            </w:r>
            <w:r>
              <w:rPr>
                <w:rFonts w:hint="eastAsia" w:ascii="Times New Roman" w:cs="Times New Roman"/>
                <w:color w:val="auto"/>
                <w:kern w:val="2"/>
                <w:sz w:val="24"/>
                <w:szCs w:val="24"/>
                <w:lang w:val="en-US" w:eastAsia="zh-CN"/>
              </w:rPr>
              <w:t>310</w:t>
            </w:r>
            <w:r>
              <w:rPr>
                <w:rFonts w:hint="default" w:ascii="Times New Roman" w:hAnsi="Times New Roman" w:eastAsia="宋体" w:cs="Times New Roman"/>
                <w:color w:val="auto"/>
                <w:kern w:val="2"/>
                <w:sz w:val="24"/>
                <w:szCs w:val="24"/>
              </w:rPr>
              <w:t>m。工程占地类型为</w:t>
            </w:r>
            <w:r>
              <w:rPr>
                <w:rFonts w:hint="eastAsia" w:ascii="Times New Roman" w:cs="Times New Roman"/>
                <w:color w:val="auto"/>
                <w:kern w:val="2"/>
                <w:sz w:val="24"/>
                <w:szCs w:val="24"/>
                <w:lang w:val="en-US" w:eastAsia="zh-CN"/>
              </w:rPr>
              <w:t>沙地</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color w:val="auto"/>
                <w:sz w:val="24"/>
                <w:highlight w:val="none"/>
                <w:lang w:val="en-US" w:eastAsia="zh-CN"/>
              </w:rPr>
              <w:t>临时</w:t>
            </w:r>
            <w:r>
              <w:rPr>
                <w:rFonts w:hint="default" w:ascii="Times New Roman" w:hAnsi="Times New Roman" w:eastAsia="宋体" w:cs="Times New Roman"/>
                <w:color w:val="auto"/>
                <w:kern w:val="2"/>
                <w:sz w:val="24"/>
                <w:szCs w:val="24"/>
                <w:highlight w:val="none"/>
                <w:lang w:val="en-US" w:eastAsia="zh-CN"/>
              </w:rPr>
              <w:t>占地面积为</w:t>
            </w:r>
            <w:r>
              <w:rPr>
                <w:rFonts w:hint="eastAsia" w:ascii="Times New Roman" w:cs="Times New Roman"/>
                <w:color w:val="auto"/>
                <w:kern w:val="2"/>
                <w:sz w:val="24"/>
                <w:szCs w:val="24"/>
                <w:highlight w:val="none"/>
                <w:lang w:val="en-US" w:eastAsia="zh-CN"/>
              </w:rPr>
              <w:t>19760</w:t>
            </w:r>
            <w:r>
              <w:rPr>
                <w:rFonts w:hint="default" w:ascii="Times New Roman" w:hAnsi="Times New Roman" w:eastAsia="宋体" w:cs="Times New Roman"/>
                <w:color w:val="auto"/>
                <w:kern w:val="2"/>
                <w:sz w:val="24"/>
                <w:szCs w:val="24"/>
                <w:highlight w:val="none"/>
                <w:lang w:val="en-US" w:eastAsia="zh-CN"/>
              </w:rPr>
              <w:t>m</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highlight w:val="none"/>
                <w:lang w:bidi="ar"/>
              </w:rPr>
              <w:t>其中井场面积为</w:t>
            </w:r>
            <w:r>
              <w:rPr>
                <w:rFonts w:hint="default" w:ascii="Times New Roman" w:hAnsi="Times New Roman" w:eastAsia="宋体" w:cs="Times New Roman"/>
                <w:color w:val="auto"/>
                <w:sz w:val="24"/>
                <w:highlight w:val="none"/>
                <w:lang w:val="en-US" w:eastAsia="zh-CN" w:bidi="ar"/>
              </w:rPr>
              <w:t>14000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2</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100m×140m</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lang w:bidi="ar"/>
              </w:rPr>
              <w:t>，生活区</w:t>
            </w:r>
            <w:r>
              <w:rPr>
                <w:rFonts w:hint="default" w:ascii="Times New Roman" w:hAnsi="Times New Roman" w:eastAsia="宋体" w:cs="Times New Roman"/>
                <w:color w:val="auto"/>
                <w:sz w:val="24"/>
                <w:highlight w:val="none"/>
                <w:lang w:val="en-US" w:eastAsia="zh-CN" w:bidi="ar"/>
              </w:rPr>
              <w:t>面积3500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highlight w:val="none"/>
                <w:lang w:bidi="ar"/>
              </w:rPr>
              <w:t>，进场道路</w:t>
            </w:r>
            <w:r>
              <w:rPr>
                <w:rFonts w:hint="default" w:ascii="Times New Roman" w:hAnsi="Times New Roman" w:eastAsia="宋体" w:cs="Times New Roman"/>
                <w:color w:val="auto"/>
                <w:sz w:val="24"/>
                <w:highlight w:val="none"/>
                <w:lang w:val="en-US" w:eastAsia="zh-CN" w:bidi="ar"/>
              </w:rPr>
              <w:t>面积</w:t>
            </w:r>
            <w:r>
              <w:rPr>
                <w:rFonts w:hint="eastAsia" w:ascii="Times New Roman" w:cs="Times New Roman"/>
                <w:color w:val="auto"/>
                <w:sz w:val="24"/>
                <w:highlight w:val="none"/>
                <w:lang w:val="en-US" w:eastAsia="zh-CN" w:bidi="ar"/>
              </w:rPr>
              <w:t>1860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其他各类池体占地400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kern w:val="2"/>
                <w:sz w:val="24"/>
                <w:szCs w:val="24"/>
              </w:rPr>
              <w:t>。工程布局无环境限制性因素，布局合理。工程临时占地会使土地的利用形式发生临时性改变，暂时影响这些土地的原有功能。</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表4-1    本项目占地一览表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316"/>
              <w:gridCol w:w="1587"/>
              <w:gridCol w:w="1587"/>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序号</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项目</w:t>
                  </w:r>
                </w:p>
              </w:tc>
              <w:tc>
                <w:tcPr>
                  <w:tcW w:w="9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bidi="ar"/>
                    </w:rPr>
                    <w:t>占地面积</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占地性质</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1</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井场</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top"/>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14000</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2</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生活区</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Cs w:val="21"/>
                      <w:highlight w:val="none"/>
                      <w:lang w:val="en-US" w:eastAsia="zh-CN" w:bidi="ar"/>
                    </w:rPr>
                    <w:t>3500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3</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进场道路</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 w:val="21"/>
                      <w:szCs w:val="21"/>
                      <w:highlight w:val="none"/>
                      <w:lang w:val="en-US" w:eastAsia="zh-CN" w:bidi="ar"/>
                    </w:rPr>
                    <w:t>1860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4</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各类池体</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 w:val="21"/>
                      <w:szCs w:val="21"/>
                      <w:highlight w:val="none"/>
                      <w:lang w:val="en-US" w:eastAsia="zh-CN" w:bidi="ar"/>
                    </w:rPr>
                    <w:t>400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27"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合计</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eastAsia" w:ascii="Times New Roman" w:cs="Times New Roman"/>
                      <w:snapToGrid w:val="0"/>
                      <w:color w:val="auto"/>
                      <w:spacing w:val="0"/>
                      <w:kern w:val="0"/>
                      <w:szCs w:val="21"/>
                      <w:highlight w:val="none"/>
                      <w:lang w:val="en-US" w:eastAsia="zh-CN" w:bidi="ar"/>
                    </w:rPr>
                    <w:t>19760</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bl>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rPr>
              <w:t>钻井工程结束后对临时设施予以拆除，统一采取平整土地措施，人工恢复进场道路及施工临时占地的原貌。本项目井场占地为</w:t>
            </w:r>
            <w:r>
              <w:rPr>
                <w:rFonts w:hint="eastAsia" w:ascii="Times New Roman" w:cs="Times New Roman"/>
                <w:color w:val="auto"/>
                <w:sz w:val="24"/>
                <w:szCs w:val="24"/>
                <w:lang w:val="en-US" w:eastAsia="zh-CN"/>
              </w:rPr>
              <w:t>沙地</w:t>
            </w:r>
            <w:r>
              <w:rPr>
                <w:rFonts w:hint="default" w:ascii="Times New Roman" w:hAnsi="Times New Roman" w:eastAsia="宋体" w:cs="Times New Roman"/>
                <w:color w:val="auto"/>
                <w:sz w:val="24"/>
                <w:szCs w:val="24"/>
              </w:rPr>
              <w:t>，不占用基本农田等保护用地。临时占地在占用完毕后都可在较短时间内恢复。根据现场调查，项目的井场选址占地在当地现有土地利用类型中所占比例很小，不会导致区域土地利用格局的变化，对区域土地利用格局产生的影响甚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（2）对土壤环境影响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流动沙地区域的土壤环境本就脆弱，车辆碾压、基础建设等工程活动会对其造成多方面影响，具体如下：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车辆碾压会直接破坏地表结构。流动沙地的土壤颗粒松散，缺乏稳定的植被覆盖，车辆行驶时的重力碾压会使表层土壤压实，改变土壤孔隙度。原本疏松的土壤孔隙被压缩，透气性和透水性下降，不仅不利于水分下渗，影响土壤与大气间的气体交换，还会降低土壤的持水能力，进一步加剧区域的干旱程度。同时，碾压会使土壤颗粒之间的连接更加紧密，在风力作用下，原本易被吹扬的细颗粒土壤可能形成板结层，虽然短期内可能减少局部风蚀，但长期来看，板结层一旦被破坏，会引发更严重的沙粒流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基础建设工程，如场地平整、地基开挖等，会严重扰动地表土壤。这会直接改变土壤的原始分布状态，如深层土壤被翻至表层，而表层土壤可能被掩埋或搬运。流动沙地的土壤养分本就匮乏，这种扰动会打破土壤原有的养分分布格局，导致土壤肥力进一步下降。此外，基础建设过程中产生的弃土若处理不当，随意堆放，在风力作用下极易成为新的沙源，加剧周边区域的土壤侵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另外，工程活动还可能破坏土壤中的生物结皮。流动沙地中即使植被稀少，也可能存在少量的生物结皮，它们由微生物、藻类等组成，对稳定土壤表层、减少风蚀起着重要作用。车辆碾压和基础建设会直接碾压或剥离这些生物结皮，使其失去保护作用，土壤表层的抗侵蚀能力大幅降低，更容易受到风沙的侵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这些影响相互叠加，会破坏流动沙地区域土壤的生态功能，影响其自我修复能力，对区域的生态环境造成不利影响。因此，在流动沙地区域施工时，需采取有效的防护措施，如严格限制施工活动区域、划定车辆行驶路线等，以减少对土壤环境的扰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（3）对植被的影响分析</w:t>
            </w:r>
          </w:p>
          <w:p>
            <w:pPr>
              <w:keepNext w:val="0"/>
              <w:keepLines w:val="0"/>
              <w:widowControl w:val="0"/>
              <w:suppressLineNumbers w:val="0"/>
              <w:autoSpaceDE w:val="0"/>
              <w:autoSpaceDN/>
              <w:adjustRightInd w:val="0"/>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根据现场调查情况，项目拟占地区域地表基本无植被覆盖，项目施工建设不会造成区域生物量损失。</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（4）对野生动物的影响分析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油气田</w:t>
            </w:r>
            <w:r>
              <w:rPr>
                <w:rFonts w:hint="default" w:ascii="Times New Roman" w:hAnsi="Times New Roman" w:eastAsia="宋体" w:cs="Times New Roman"/>
                <w:color w:val="auto"/>
                <w:sz w:val="24"/>
                <w:szCs w:val="24"/>
                <w:highlight w:val="none"/>
              </w:rPr>
              <w:t>钻井工程对野生动物的生存环境、分布范围和种群数量的影响主要分为直接影响和间接影响两个方面。直接影响主要表现为建设项目的占地，使野生动物的原始生存环境被破坏或改变；间接影响主要表现为由于植被的减少或污染破坏而</w:t>
            </w:r>
            <w:r>
              <w:rPr>
                <w:rFonts w:hint="default" w:ascii="Times New Roman" w:hAnsi="Times New Roman" w:eastAsia="宋体" w:cs="Times New Roman"/>
                <w:color w:val="auto"/>
                <w:sz w:val="24"/>
                <w:szCs w:val="24"/>
                <w:highlight w:val="none"/>
                <w:lang w:val="en-US" w:eastAsia="zh-CN"/>
              </w:rPr>
              <w:t>导致</w:t>
            </w:r>
            <w:r>
              <w:rPr>
                <w:rFonts w:hint="default" w:ascii="Times New Roman" w:hAnsi="Times New Roman" w:eastAsia="宋体" w:cs="Times New Roman"/>
                <w:color w:val="auto"/>
                <w:sz w:val="24"/>
                <w:szCs w:val="24"/>
                <w:highlight w:val="none"/>
              </w:rPr>
              <w:t>野生动物食物来源的减少。</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本项目所在区域以沙漠生态系统为主，镶嵌工矿用地生态系统，随着油气田开采活动的开展，人为干扰逐渐加强，</w:t>
            </w:r>
            <w:r>
              <w:rPr>
                <w:rFonts w:hint="default" w:ascii="Times New Roman" w:hAnsi="Times New Roman" w:eastAsia="宋体" w:cs="Times New Roman"/>
                <w:color w:val="auto"/>
                <w:sz w:val="24"/>
                <w:szCs w:val="24"/>
                <w:highlight w:val="none"/>
              </w:rPr>
              <w:t>区域内各种野生动物经过长期的适应已形成较稳定的取食、饮水、栖息活动范围和</w:t>
            </w:r>
            <w:r>
              <w:rPr>
                <w:rFonts w:hint="default" w:ascii="Times New Roman" w:hAnsi="Times New Roman" w:eastAsia="宋体" w:cs="Times New Roman"/>
                <w:color w:val="auto"/>
                <w:sz w:val="24"/>
                <w:szCs w:val="24"/>
                <w:highlight w:val="none"/>
                <w:lang w:val="en-US" w:eastAsia="zh-CN"/>
              </w:rPr>
              <w:t>路径</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该区域现状存在的野生动物种类和数量较少，多为对人类活动适应性较强的“伴人动物”。本项目施工建设期间，占地和噪声等的影响将会迫使现存的野生动物短暂离开施工活动区域，待施工结束，野生动物对新环境适应后其活动和分布范围将逐步恢复。总体来讲，本项目施工建设对野生动物影响较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施工期间应加强管理，约束施工人员的行为，禁止对野生动物进行捕猎。</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（5）对生态保护红线影响分析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z w:val="24"/>
                <w:szCs w:val="24"/>
                <w:highlight w:val="none"/>
              </w:rPr>
              <w:t>本工程</w:t>
            </w:r>
            <w:r>
              <w:rPr>
                <w:rFonts w:hint="eastAsia" w:ascii="Times New Roman" w:cs="Times New Roman"/>
                <w:color w:val="auto"/>
                <w:sz w:val="24"/>
                <w:szCs w:val="24"/>
                <w:highlight w:val="none"/>
                <w:lang w:val="en-US" w:eastAsia="zh-CN"/>
              </w:rPr>
              <w:t>西南</w:t>
            </w:r>
            <w:r>
              <w:rPr>
                <w:rFonts w:hint="default" w:ascii="Times New Roman" w:hAnsi="Times New Roman" w:eastAsia="宋体" w:cs="Times New Roman"/>
                <w:color w:val="auto"/>
                <w:sz w:val="24"/>
                <w:szCs w:val="24"/>
                <w:highlight w:val="none"/>
                <w:lang w:val="en-US" w:eastAsia="zh-CN"/>
              </w:rPr>
              <w:t>距</w:t>
            </w:r>
            <w:r>
              <w:rPr>
                <w:rFonts w:hint="eastAsia" w:ascii="Times New Roman" w:hAnsi="Times New Roman" w:eastAsia="宋体" w:cs="Times New Roman"/>
                <w:color w:val="auto"/>
                <w:sz w:val="24"/>
                <w:szCs w:val="24"/>
                <w:highlight w:val="none"/>
                <w:lang w:val="en-US" w:eastAsia="zh-CN"/>
              </w:rPr>
              <w:t>塔里木盆地南缘土地沙化防控生态保护红线区</w:t>
            </w:r>
            <w:r>
              <w:rPr>
                <w:rFonts w:hint="eastAsia" w:ascii="Times New Roman" w:cs="Times New Roman"/>
                <w:color w:val="auto"/>
                <w:sz w:val="24"/>
                <w:szCs w:val="24"/>
                <w:highlight w:val="none"/>
                <w:lang w:val="en-US" w:eastAsia="zh-CN"/>
              </w:rPr>
              <w:t>113.8</w:t>
            </w:r>
            <w:r>
              <w:rPr>
                <w:rFonts w:hint="default" w:ascii="Times New Roman" w:hAnsi="Times New Roman" w:eastAsia="宋体" w:cs="Times New Roman"/>
                <w:color w:val="auto"/>
                <w:sz w:val="24"/>
                <w:szCs w:val="24"/>
                <w:highlight w:val="none"/>
                <w:lang w:val="en-US" w:eastAsia="zh-CN"/>
              </w:rPr>
              <w:t>km</w:t>
            </w:r>
            <w:r>
              <w:rPr>
                <w:rFonts w:hint="default" w:ascii="Times New Roman" w:hAnsi="Times New Roman" w:eastAsia="宋体" w:cs="Times New Roman"/>
                <w:color w:val="auto"/>
                <w:sz w:val="24"/>
                <w:szCs w:val="24"/>
                <w:highlight w:val="none"/>
              </w:rPr>
              <w:t>，不在生态保护红线内。</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根据生态保护红线划定结果，本工程在选址选线中充分考虑了避让红线，另外，控制施工作业带宽度，控制人为活动范围，减少对原生地表的破坏</w:t>
            </w:r>
            <w:r>
              <w:rPr>
                <w:rFonts w:hint="eastAsia" w:ascii="Times New Roman" w:cs="Times New Roman"/>
                <w:color w:val="auto"/>
                <w:sz w:val="24"/>
                <w:szCs w:val="24"/>
                <w:highlight w:val="none"/>
                <w:lang w:eastAsia="zh-CN"/>
              </w:rPr>
              <w:t>，是</w:t>
            </w:r>
            <w:r>
              <w:rPr>
                <w:rFonts w:hint="default" w:ascii="Times New Roman" w:hAnsi="Times New Roman" w:eastAsia="宋体" w:cs="Times New Roman"/>
                <w:color w:val="auto"/>
                <w:sz w:val="24"/>
                <w:szCs w:val="24"/>
                <w:highlight w:val="none"/>
              </w:rPr>
              <w:t>施工期降低对生态保护红线影响的主要手段。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项目建成后，及时恢复临时占地，本工程优化选址，同时做好施工期的生态保护，项目对生态保护红线的影响可以接受，不会导致生态保护红线生态功能发生明显改变，满足生态保护红线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面积不减少、性质不改变、功能不降低</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的有关要求。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（6）水土流失影响分析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沙漠地区生态环境脆弱，施工建设易引发水土流失，其影响主要体现在以下方面：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施工期车辆碾压、场地开挖平整等活动会破坏地表原有松散结构，使土壤抗蚀能力下降。风力作用下，裸露的沙粒易被吹扬，形成风蚀，加剧土地沙化。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此外，施工过程中临时弃土弃渣若堆放不当，会成为新的侵蚀源，易在风力作用下扩散，不仅侵占周边土地，还可能堵塞周边有限的水文通道，影响区域水文循环。同时，水土流失会带走土壤表层有限的养分，进一步降低土壤肥力，破坏沙漠生态系统的稳定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en-US" w:eastAsia="zh-CN"/>
              </w:rPr>
              <w:t>施工中需采取合理安排施工进度、避免在大风天气进行土方作业、易起尘物料覆盖防尘网等措施，施工结束后及时对临时占地区域进行恢复，尽可能减少水土流失。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（7）施工期</w:t>
            </w:r>
            <w:r>
              <w:rPr>
                <w:rFonts w:hint="default" w:ascii="Times New Roman" w:hAnsi="Times New Roman" w:eastAsia="宋体" w:cs="Times New Roman"/>
                <w:color w:val="auto"/>
                <w:sz w:val="24"/>
                <w:szCs w:val="24"/>
                <w:highlight w:val="none"/>
                <w:lang w:val="en-US" w:eastAsia="zh-CN"/>
              </w:rPr>
              <w:t>沙化影响</w:t>
            </w:r>
            <w:r>
              <w:rPr>
                <w:rFonts w:hint="default" w:ascii="Times New Roman" w:hAnsi="Times New Roman" w:eastAsia="宋体" w:cs="Times New Roman"/>
                <w:color w:val="auto"/>
                <w:sz w:val="24"/>
                <w:szCs w:val="24"/>
                <w:highlight w:val="none"/>
              </w:rPr>
              <w:t>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在沙漠流动沙地区域，项目施工建设对沙化土地的影响因流沙的不稳定性而更具特殊性，具体表现为：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①加速流沙迁移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的沙粒本就处于较频繁移动状态，施工中的场地清理、机械碾压、基础开挖等会打破原有沙丘的平衡状态。例如，推土机平整场地时可能推散阻沙丘体，导致周边流沙失去遮挡，在风力作用下使原本局限于特定区域的流动沙地向周边扩散。同时，移动机械及运输车辆在流沙表面反复行驶形成的车辙，会成为新的“输沙通道”，引导流沙向更低洼的区域堆积，破坏周边沙化土地的自然分布格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②削弱流沙区有限的抗蚀缓冲能力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中虽缺乏稳定植被，但局部可能存在临时形成的沙结皮（由风力分选形成的较紧实表层）等，这些是延缓流沙移动的微弱缓冲因素。施工活动（如材料堆放、临时建筑搭建等）会直接碾压或掩埋这些缓冲层，使流沙失去短暂的“束缚”，沙粒启动风速降低，导致沙化土地的风蚀强度显著提升。此外，地基开挖产生的松散弃沙若未及时固定，会成为“流动性更强的新沙源”，在风力作用下随流沙一起迁移，加剧侵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③干扰流沙区水文与土壤的脆弱平衡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的地下水位通常较浅且极不稳定，施工中开挖地基可能破坏浅层地下水的渗透路径，导致局部区域水位下降或出现积水洼地。水位变化会进一步改变沙粒的紧实度——水位下降处沙粒更松散，易被风蚀；积水处干涸后形成的盐结皮被破坏，会释放出更多易蚀性盐质沙粒，形成“次生盐碱化沙化土地”。同时，施工废弃物（如油污等）渗入流沙后，难以被分解或过滤，会随沙粒移动污染更大范围的沙化土地，破坏其本就脆弱的土壤微环境，阻碍任何可能的自然植被生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④增加沙化土地治理的长期性难度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的沙粒移动具有季节性规律（如冬季风大时迁移距离远），施工扰动后，流沙的迁移路径可能发生改变，原本可通过自然植被逐步固定的区域，可能因流沙持续堆积而失去修复条件。从而导致流动沙地的治理需投入更多的人工干预成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position w:val="0"/>
                <w:sz w:val="24"/>
                <w:szCs w:val="24"/>
                <w:highlight w:val="none"/>
                <w:lang w:val="en-US" w:eastAsia="zh-CN"/>
              </w:rPr>
              <w:t>施工建设过程中应严格限制施工活动区域，针对流动沙地区域的特殊性，施工中还需强化防沙治沙措施，如采用网格沙障固定施工区周边流沙等，以遏制流沙迁移对沙化土地的连锁影响。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2、施工废气影响分析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rPr>
              <w:t>施工扬尘</w:t>
            </w:r>
          </w:p>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施工扬尘主要</w:t>
            </w:r>
            <w:r>
              <w:rPr>
                <w:rFonts w:hint="default" w:ascii="Times New Roman" w:hAnsi="Times New Roman" w:eastAsia="宋体" w:cs="Times New Roman"/>
                <w:color w:val="auto"/>
                <w:kern w:val="0"/>
                <w:sz w:val="24"/>
                <w:szCs w:val="24"/>
                <w:lang w:eastAsia="zh-CN"/>
              </w:rPr>
              <w:t>来自</w:t>
            </w:r>
            <w:r>
              <w:rPr>
                <w:rFonts w:hint="default" w:ascii="Times New Roman" w:hAnsi="Times New Roman" w:eastAsia="宋体" w:cs="Times New Roman"/>
                <w:color w:val="auto"/>
                <w:kern w:val="0"/>
                <w:sz w:val="24"/>
                <w:szCs w:val="24"/>
              </w:rPr>
              <w:t>井场平整、进场道路建设过程中土地的清理、挖掘、土方的运转及堆积，</w:t>
            </w:r>
            <w:r>
              <w:rPr>
                <w:rFonts w:hint="default" w:ascii="Times New Roman" w:hAnsi="Times New Roman" w:eastAsia="宋体" w:cs="Times New Roman"/>
                <w:color w:val="auto"/>
                <w:kern w:val="0"/>
                <w:sz w:val="24"/>
                <w:szCs w:val="24"/>
                <w:lang w:val="en-US" w:eastAsia="zh-CN"/>
              </w:rPr>
              <w:t>主要来自施工和运输产生的粉尘、车辆运输二次扬尘以及地面物料堆放时的遇风扬尘，施工扬尘的产生及影响程度跟施工季节、施工管理和风力等气候因素有一定关系，如遇干旱大风天气扬尘影响则较为严重</w:t>
            </w:r>
            <w:r>
              <w:rPr>
                <w:rFonts w:hint="default" w:ascii="Times New Roman" w:hAnsi="Times New Roman" w:eastAsia="宋体" w:cs="Times New Roman"/>
                <w:color w:val="auto"/>
                <w:kern w:val="0"/>
                <w:sz w:val="24"/>
                <w:szCs w:val="24"/>
              </w:rPr>
              <w:t>。类比调查，土路下风向100米颗粒物浓度达到10mg/m</w:t>
            </w:r>
            <w:r>
              <w:rPr>
                <w:rFonts w:hint="default" w:ascii="Times New Roman" w:hAnsi="Times New Roman" w:eastAsia="宋体" w:cs="Times New Roman"/>
                <w:color w:val="auto"/>
                <w:kern w:val="0"/>
                <w:sz w:val="24"/>
                <w:szCs w:val="24"/>
                <w:vertAlign w:val="superscript"/>
              </w:rPr>
              <w:t>3</w:t>
            </w:r>
            <w:r>
              <w:rPr>
                <w:rFonts w:hint="default" w:ascii="Times New Roman" w:hAnsi="Times New Roman" w:eastAsia="宋体" w:cs="Times New Roman"/>
                <w:color w:val="auto"/>
                <w:kern w:val="0"/>
                <w:sz w:val="24"/>
                <w:szCs w:val="24"/>
              </w:rPr>
              <w:t>，150米处仍达5.039mg/m</w:t>
            </w:r>
            <w:r>
              <w:rPr>
                <w:rFonts w:hint="default" w:ascii="Times New Roman" w:hAnsi="Times New Roman" w:eastAsia="宋体" w:cs="Times New Roman"/>
                <w:color w:val="auto"/>
                <w:kern w:val="0"/>
                <w:sz w:val="24"/>
                <w:szCs w:val="24"/>
                <w:vertAlign w:val="superscript"/>
              </w:rPr>
              <w:t>3</w:t>
            </w:r>
            <w:r>
              <w:rPr>
                <w:rFonts w:hint="default" w:ascii="Times New Roman" w:hAnsi="Times New Roman" w:eastAsia="宋体" w:cs="Times New Roman"/>
                <w:color w:val="auto"/>
                <w:kern w:val="0"/>
                <w:sz w:val="24"/>
                <w:szCs w:val="24"/>
              </w:rPr>
              <w:t>，超过《环境空气质量标准》</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GB3095-20</w:t>
            </w:r>
            <w:r>
              <w:rPr>
                <w:rFonts w:hint="default" w:ascii="Times New Roman" w:hAnsi="Times New Roman" w:eastAsia="宋体" w:cs="Times New Roman"/>
                <w:color w:val="auto"/>
                <w:kern w:val="0"/>
                <w:sz w:val="24"/>
                <w:szCs w:val="24"/>
                <w:lang w:val="en-US" w:eastAsia="zh-CN"/>
              </w:rPr>
              <w:t>26）</w:t>
            </w:r>
            <w:r>
              <w:rPr>
                <w:rFonts w:hint="default" w:ascii="Times New Roman" w:hAnsi="Times New Roman" w:eastAsia="宋体" w:cs="Times New Roman"/>
                <w:color w:val="auto"/>
                <w:kern w:val="0"/>
                <w:sz w:val="24"/>
                <w:szCs w:val="24"/>
              </w:rPr>
              <w:t>二级标准要求。</w:t>
            </w:r>
          </w:p>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val="0"/>
                <w:bCs/>
                <w:snapToGrid/>
                <w:color w:val="auto"/>
                <w:kern w:val="2"/>
                <w:sz w:val="24"/>
                <w:szCs w:val="20"/>
                <w:highlight w:val="none"/>
                <w:lang w:val="en-US" w:eastAsia="zh-CN"/>
              </w:rPr>
            </w:pPr>
            <w:r>
              <w:rPr>
                <w:rFonts w:hint="default" w:ascii="Times New Roman" w:hAnsi="Times New Roman" w:eastAsia="宋体" w:cs="Times New Roman"/>
                <w:color w:val="auto"/>
                <w:kern w:val="0"/>
                <w:sz w:val="24"/>
                <w:szCs w:val="24"/>
              </w:rPr>
              <w:t>施工期对易产生扬尘的作业采取遮盖、定期指派洒水车洒水抑尘等措施后可对区域环境空气影响较小。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钻井工程废气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钻井废气主要包括钻井柴油发电机废气、测试放喷废气、井场储罐产生的无组织废气。</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①柴油发电机废气</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井场钻机动力、生活、办公等用电以及试井期井场设备均由柴油发电机</w:t>
            </w:r>
            <w:r>
              <w:rPr>
                <w:rFonts w:hint="eastAsia" w:ascii="Times New Roman" w:cs="Times New Roman"/>
                <w:color w:val="auto"/>
                <w:sz w:val="24"/>
                <w:szCs w:val="24"/>
                <w:highlight w:val="none"/>
                <w:lang w:val="en-US" w:eastAsia="zh-CN"/>
              </w:rPr>
              <w:t>提供</w:t>
            </w:r>
            <w:r>
              <w:rPr>
                <w:rFonts w:hint="default" w:ascii="Times New Roman" w:hAnsi="Times New Roman" w:eastAsia="宋体" w:cs="Times New Roman"/>
                <w:color w:val="auto"/>
                <w:sz w:val="24"/>
                <w:szCs w:val="24"/>
                <w:highlight w:val="none"/>
              </w:rPr>
              <w:t>。根据钻井过程中动力消耗适时调整柴油发电机运行台数。预计工程施工期间柴油发电机消耗柴油约</w:t>
            </w:r>
            <w:r>
              <w:rPr>
                <w:rFonts w:hint="eastAsia" w:ascii="Times New Roman" w:cs="Times New Roman"/>
                <w:color w:val="auto"/>
                <w:sz w:val="24"/>
                <w:szCs w:val="24"/>
                <w:highlight w:val="none"/>
                <w:lang w:val="en-US" w:eastAsia="zh-CN"/>
              </w:rPr>
              <w:t>5940</w:t>
            </w:r>
            <w:r>
              <w:rPr>
                <w:rFonts w:hint="default" w:ascii="Times New Roman" w:hAnsi="Times New Roman" w:eastAsia="宋体" w:cs="Times New Roman"/>
                <w:color w:val="auto"/>
                <w:sz w:val="24"/>
                <w:szCs w:val="24"/>
                <w:highlight w:val="none"/>
              </w:rPr>
              <w:t>t。柴油发电机等设备燃料燃烧废气主要污染物为颗粒物、NO</w:t>
            </w:r>
            <w:r>
              <w:rPr>
                <w:rFonts w:hint="eastAsia" w:ascii="Times New Roman" w:cs="Times New Roman"/>
                <w:color w:val="auto"/>
                <w:sz w:val="24"/>
                <w:szCs w:val="24"/>
                <w:highlight w:val="none"/>
                <w:lang w:val="en-US" w:eastAsia="zh-CN"/>
              </w:rPr>
              <w:t>x</w:t>
            </w:r>
            <w:r>
              <w:rPr>
                <w:rFonts w:hint="default" w:ascii="Times New Roman" w:hAnsi="Times New Roman" w:eastAsia="宋体" w:cs="Times New Roman"/>
                <w:color w:val="auto"/>
                <w:sz w:val="24"/>
                <w:szCs w:val="24"/>
                <w:highlight w:val="none"/>
              </w:rPr>
              <w:t>和CO等。</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根据《第一次全国污染源普查工业污染源产排污系数手册》，烟尘按0.25kg/t柴油、NOx按3.41kg/t柴油计。根据《车用柴油》</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GB19147-2016</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及《关于做好全国全面供应硫含量不大于10ppm普通柴油有关工作的通知》</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发改办能源〔2017〕1665号</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，现行柴油含硫量不大于10mg/kg</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0.01kg/t</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，本次评价按柴油中硫含量0.01kg/t柴油估算，燃烧柴油SO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排放量按照Q=2*S*W计算，其中Q是污染物排放量，单位kg</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S为含硫率0.01kg/t，W为耗油量</w:t>
            </w:r>
            <w:r>
              <w:rPr>
                <w:rFonts w:hint="eastAsia" w:ascii="Times New Roman" w:cs="Times New Roman"/>
                <w:color w:val="auto"/>
                <w:sz w:val="24"/>
                <w:szCs w:val="24"/>
                <w:highlight w:val="none"/>
                <w:lang w:val="en-US" w:eastAsia="zh-CN"/>
              </w:rPr>
              <w:t>5940</w:t>
            </w:r>
            <w:r>
              <w:rPr>
                <w:rFonts w:hint="default" w:ascii="Times New Roman" w:hAnsi="Times New Roman" w:eastAsia="宋体" w:cs="Times New Roman"/>
                <w:color w:val="auto"/>
                <w:sz w:val="24"/>
                <w:szCs w:val="24"/>
                <w:highlight w:val="none"/>
              </w:rPr>
              <w:t>t。根据《环境统计手册》，燃烧1m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柴油产生的CO 0.293kg，HC 0.293kg，本项目采用轻柴油，密度850kg/m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，据此核算本项目备用情况下钻井工程柴油发电机的废气中各项污染物的产生量为SO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 xml:space="preserve"> </w:t>
            </w:r>
            <w:r>
              <w:rPr>
                <w:rFonts w:hint="eastAsia" w:ascii="Times New Roman" w:cs="Times New Roman"/>
                <w:color w:val="auto"/>
                <w:sz w:val="24"/>
                <w:szCs w:val="24"/>
                <w:highlight w:val="none"/>
                <w:lang w:val="en-US" w:eastAsia="zh-CN"/>
              </w:rPr>
              <w:t>118.8</w:t>
            </w:r>
            <w:r>
              <w:rPr>
                <w:rFonts w:hint="default" w:ascii="Times New Roman" w:hAnsi="Times New Roman" w:eastAsia="宋体" w:cs="Times New Roman"/>
                <w:color w:val="auto"/>
                <w:sz w:val="24"/>
                <w:szCs w:val="24"/>
                <w:highlight w:val="none"/>
              </w:rPr>
              <w:t xml:space="preserve">kg、NOx </w:t>
            </w:r>
            <w:r>
              <w:rPr>
                <w:rFonts w:hint="eastAsia" w:ascii="Times New Roman" w:cs="Times New Roman"/>
                <w:color w:val="auto"/>
                <w:sz w:val="24"/>
                <w:szCs w:val="24"/>
                <w:highlight w:val="none"/>
                <w:lang w:val="en-US" w:eastAsia="zh-CN"/>
              </w:rPr>
              <w:t>20255.4</w:t>
            </w:r>
            <w:r>
              <w:rPr>
                <w:rFonts w:hint="default" w:ascii="Times New Roman" w:hAnsi="Times New Roman" w:eastAsia="宋体" w:cs="Times New Roman"/>
                <w:color w:val="auto"/>
                <w:sz w:val="24"/>
                <w:szCs w:val="24"/>
                <w:highlight w:val="none"/>
              </w:rPr>
              <w:t>kg、颗粒物</w:t>
            </w:r>
            <w:r>
              <w:rPr>
                <w:rFonts w:hint="eastAsia" w:ascii="Times New Roman" w:cs="Times New Roman"/>
                <w:color w:val="auto"/>
                <w:sz w:val="24"/>
                <w:szCs w:val="24"/>
                <w:highlight w:val="none"/>
                <w:lang w:val="en-US" w:eastAsia="zh-CN"/>
              </w:rPr>
              <w:t>1485.0</w:t>
            </w:r>
            <w:r>
              <w:rPr>
                <w:rFonts w:hint="default" w:ascii="Times New Roman" w:hAnsi="Times New Roman" w:eastAsia="宋体" w:cs="Times New Roman"/>
                <w:color w:val="auto"/>
                <w:sz w:val="24"/>
                <w:szCs w:val="24"/>
                <w:highlight w:val="none"/>
              </w:rPr>
              <w:t xml:space="preserve">kg、CO </w:t>
            </w:r>
            <w:r>
              <w:rPr>
                <w:rFonts w:hint="eastAsia" w:ascii="Times New Roman" w:cs="Times New Roman"/>
                <w:color w:val="auto"/>
                <w:sz w:val="24"/>
                <w:szCs w:val="24"/>
                <w:highlight w:val="none"/>
                <w:lang w:val="en-US" w:eastAsia="zh-CN"/>
              </w:rPr>
              <w:t>2047.6</w:t>
            </w:r>
            <w:r>
              <w:rPr>
                <w:rFonts w:hint="default" w:ascii="Times New Roman" w:hAnsi="Times New Roman" w:eastAsia="宋体" w:cs="Times New Roman"/>
                <w:color w:val="auto"/>
                <w:sz w:val="24"/>
                <w:szCs w:val="24"/>
                <w:highlight w:val="none"/>
              </w:rPr>
              <w:t xml:space="preserve">kg、HC </w:t>
            </w:r>
            <w:r>
              <w:rPr>
                <w:rFonts w:hint="eastAsia" w:ascii="Times New Roman" w:cs="Times New Roman"/>
                <w:color w:val="auto"/>
                <w:sz w:val="24"/>
                <w:szCs w:val="24"/>
                <w:highlight w:val="none"/>
                <w:lang w:val="en-US" w:eastAsia="zh-CN"/>
              </w:rPr>
              <w:t>2047.6</w:t>
            </w:r>
            <w:r>
              <w:rPr>
                <w:rFonts w:hint="default" w:ascii="Times New Roman" w:hAnsi="Times New Roman" w:eastAsia="宋体" w:cs="Times New Roman"/>
                <w:color w:val="auto"/>
                <w:sz w:val="24"/>
                <w:szCs w:val="24"/>
                <w:highlight w:val="none"/>
              </w:rPr>
              <w:t>kg。</w:t>
            </w:r>
          </w:p>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1"/>
                <w:highlight w:val="none"/>
                <w:lang w:val="en-US" w:eastAsia="zh-CN"/>
              </w:rPr>
              <w:t>柴油发电机废气污染物的排放具有排放时间短等特点，项目使用环保节能型柴油机，选用轻质柴油燃料，并加强管</w:t>
            </w:r>
            <w:r>
              <w:rPr>
                <w:rFonts w:hint="eastAsia" w:ascii="Times New Roman" w:cs="Times New Roman"/>
                <w:color w:val="auto"/>
                <w:sz w:val="24"/>
                <w:szCs w:val="21"/>
                <w:highlight w:val="none"/>
                <w:lang w:val="en-US" w:eastAsia="zh-CN"/>
              </w:rPr>
              <w:t>理和</w:t>
            </w:r>
            <w:r>
              <w:rPr>
                <w:rFonts w:hint="default" w:ascii="Times New Roman" w:hAnsi="Times New Roman" w:eastAsia="宋体" w:cs="Times New Roman"/>
                <w:color w:val="auto"/>
                <w:sz w:val="24"/>
                <w:szCs w:val="21"/>
                <w:highlight w:val="none"/>
                <w:lang w:val="en-US" w:eastAsia="zh-CN"/>
              </w:rPr>
              <w:t>维护，对环境的影响是暂时的、不连续的、可接受的，对周边环境影响较小。</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②测试放喷</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正常情况下，当钻至井目的层后，对油气应进行完井测试，如钻孔在目的层有裂隙发育，则不需进行酸化、压裂等工作。钻孔在目的层未遇裂隙，则需进行射孔，用射孔枪打开产层，用酸化压裂液清洗裂隙，酸化目的层。放喷前安装井口放喷专用管线、各种计量设备，天然气经管线引至放喷池点燃，依据具体情况设定放喷时间，一般为15～20天时间。油气经井口装置节流、降压，进入油气计量分离器，分离后的液相（包括油和水）通过管线输送至凝析油罐，再由油罐车拉走，天然气通过管线输送至放空管。</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本项目为勘探项目，仅涉及施工期，且整个施工期较短，施工期间扬尘产生量较小；本项目钻井期采用柴油发电机供电，测试放喷期较短，污染物排放量较小，对区域环境空气影响可接受。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③井场储罐挥发无组织废气</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储罐内储存的原油、柴油会在储罐液面的上部空间充满物料挥发出来的蒸汽，并最终会达到饱和蒸气压，罐体液面空间体积一旦发生变化时，就会导致物料饱和蒸气溢出，形成所谓的储罐呼吸现象。储罐液面空间体积变化可以发生在物料进出的情况下，也会发生在昼夜温差变化的情况下，前者称为大呼吸，后者称为小呼吸。</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散装液态石油产品损耗》（GB/T11085-1989），卸油过程中柴油会产生0.05%的油气，储存过程中柴油会产生0.01%的油气，以非甲烷总烃来表征呼吸油气。本项目柴油周转量少，柴油储罐呼吸废气非甲烷总烃产生量少。</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本项目试井过程中地层流体经地面气液分离器装置分离后，原油通过管线</w:t>
            </w:r>
            <w:r>
              <w:rPr>
                <w:rFonts w:hint="eastAsia" w:ascii="Times New Roman" w:eastAsia="宋体" w:cs="Times New Roman"/>
                <w:color w:val="auto"/>
                <w:kern w:val="2"/>
                <w:sz w:val="24"/>
                <w:szCs w:val="24"/>
                <w:highlight w:val="none"/>
                <w:lang w:val="en-US" w:eastAsia="zh-CN"/>
              </w:rPr>
              <w:t>进入</w:t>
            </w:r>
            <w:r>
              <w:rPr>
                <w:rFonts w:hint="default" w:ascii="Times New Roman" w:hAnsi="Times New Roman" w:eastAsia="宋体" w:cs="Times New Roman"/>
                <w:color w:val="auto"/>
                <w:kern w:val="2"/>
                <w:sz w:val="24"/>
                <w:szCs w:val="24"/>
                <w:highlight w:val="none"/>
                <w:lang w:val="en-US" w:eastAsia="zh-CN"/>
              </w:rPr>
              <w:t>凝析油罐回收储存。试井过程中原油回收量由勘探井地质条件、油藏储层含油量等因素决定，经类比该地区其他勘探井试井情况，试井时间短，凝析油罐呼吸废气无组织排放量较少。由于项目周边扩散条件较好，经类比该地区其他勘探井监测数据，项目边界非甲烷总烃无组织排放满足《陆上石油天然气开采工业大气污染物排放标准》（GB39728-2020）相关要求。硫化氢无组织排放执行《恶臭污染物排放标准》（GB14554-93）表1标准限值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锅炉烟气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钻井期泥浆伴热采取生物质锅炉加热工艺，生物质锅炉烟气污染物主要有颗粒物、SO</w:t>
            </w:r>
            <w:r>
              <w:rPr>
                <w:rFonts w:hint="default" w:ascii="Times New Roman" w:hAnsi="Times New Roman" w:eastAsia="宋体" w:cs="Times New Roman"/>
                <w:color w:val="auto"/>
                <w:sz w:val="24"/>
                <w:szCs w:val="24"/>
                <w:highlight w:val="none"/>
                <w:vertAlign w:val="subscript"/>
                <w:lang w:eastAsia="zh-CN"/>
              </w:rPr>
              <w:t>2</w:t>
            </w:r>
            <w:r>
              <w:rPr>
                <w:rFonts w:hint="default" w:ascii="Times New Roman" w:hAnsi="Times New Roman" w:eastAsia="宋体" w:cs="Times New Roman"/>
                <w:color w:val="auto"/>
                <w:sz w:val="24"/>
                <w:szCs w:val="24"/>
                <w:highlight w:val="none"/>
                <w:lang w:eastAsia="zh-CN"/>
              </w:rPr>
              <w:t>、NO</w:t>
            </w:r>
            <w:r>
              <w:rPr>
                <w:rFonts w:hint="default" w:ascii="Times New Roman" w:hAnsi="Times New Roman" w:eastAsia="宋体" w:cs="Times New Roman"/>
                <w:color w:val="auto"/>
                <w:sz w:val="24"/>
                <w:szCs w:val="24"/>
                <w:highlight w:val="none"/>
                <w:vertAlign w:val="subscript"/>
                <w:lang w:eastAsia="zh-CN"/>
              </w:rPr>
              <w:t>X</w:t>
            </w:r>
            <w:r>
              <w:rPr>
                <w:rFonts w:hint="default" w:ascii="Times New Roman" w:hAnsi="Times New Roman" w:eastAsia="宋体" w:cs="Times New Roman"/>
                <w:color w:val="auto"/>
                <w:sz w:val="24"/>
                <w:szCs w:val="24"/>
                <w:highlight w:val="none"/>
                <w:lang w:eastAsia="zh-CN"/>
              </w:rPr>
              <w:t>、烟气黑度等，生物质锅炉烟气采取“低氮燃烧技术+袋式除尘”处理后通过</w:t>
            </w:r>
            <w:r>
              <w:rPr>
                <w:rFonts w:hint="eastAsia" w:asci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eastAsia="zh-CN"/>
              </w:rPr>
              <w:t>m高排气筒排放。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pacing w:val="0"/>
                <w:position w:val="0"/>
                <w:sz w:val="24"/>
                <w:szCs w:val="24"/>
                <w:highlight w:val="none"/>
                <w:lang w:eastAsia="zh-CN"/>
              </w:rPr>
              <w:t>2.5t/h的</w:t>
            </w:r>
            <w:r>
              <w:rPr>
                <w:rFonts w:hint="default" w:ascii="Times New Roman" w:hAnsi="Times New Roman" w:eastAsia="宋体" w:cs="Times New Roman"/>
                <w:color w:val="auto"/>
                <w:spacing w:val="0"/>
                <w:position w:val="0"/>
                <w:sz w:val="24"/>
                <w:szCs w:val="24"/>
                <w:highlight w:val="none"/>
                <w:lang w:val="en-US" w:eastAsia="zh-CN"/>
              </w:rPr>
              <w:t>生物质</w:t>
            </w:r>
            <w:r>
              <w:rPr>
                <w:rFonts w:hint="default" w:ascii="Times New Roman" w:hAnsi="Times New Roman" w:eastAsia="宋体" w:cs="Times New Roman"/>
                <w:color w:val="auto"/>
                <w:spacing w:val="0"/>
                <w:position w:val="0"/>
                <w:sz w:val="24"/>
                <w:szCs w:val="24"/>
                <w:highlight w:val="none"/>
                <w:lang w:eastAsia="zh-CN"/>
              </w:rPr>
              <w:t>锅炉以生物质</w:t>
            </w:r>
            <w:r>
              <w:rPr>
                <w:rFonts w:hint="default" w:ascii="Times New Roman" w:hAnsi="Times New Roman" w:eastAsia="宋体" w:cs="Times New Roman"/>
                <w:color w:val="auto"/>
                <w:spacing w:val="0"/>
                <w:position w:val="0"/>
                <w:sz w:val="24"/>
                <w:szCs w:val="24"/>
                <w:highlight w:val="none"/>
                <w:lang w:val="en-US" w:eastAsia="zh-CN"/>
              </w:rPr>
              <w:t>颗粒</w:t>
            </w:r>
            <w:r>
              <w:rPr>
                <w:rFonts w:hint="default" w:ascii="Times New Roman" w:hAnsi="Times New Roman" w:eastAsia="宋体" w:cs="Times New Roman"/>
                <w:color w:val="auto"/>
                <w:spacing w:val="0"/>
                <w:position w:val="0"/>
                <w:sz w:val="24"/>
                <w:szCs w:val="24"/>
                <w:highlight w:val="none"/>
                <w:lang w:eastAsia="zh-CN"/>
              </w:rPr>
              <w:t>为燃料，平均低位发热值16.11MJ/kg，单台2.5t/h</w:t>
            </w:r>
            <w:r>
              <w:rPr>
                <w:rFonts w:hint="default" w:ascii="Times New Roman" w:hAnsi="Times New Roman" w:eastAsia="宋体" w:cs="Times New Roman"/>
                <w:color w:val="auto"/>
                <w:sz w:val="24"/>
                <w:szCs w:val="24"/>
                <w:highlight w:val="none"/>
                <w:lang w:eastAsia="zh-CN"/>
              </w:rPr>
              <w:t>生物质锅炉每天燃料消耗量约为11t，</w:t>
            </w:r>
            <w:r>
              <w:rPr>
                <w:rFonts w:hint="default" w:ascii="Times New Roman" w:hAnsi="Times New Roman" w:eastAsia="宋体" w:cs="Times New Roman"/>
                <w:color w:val="auto"/>
                <w:sz w:val="24"/>
                <w:szCs w:val="24"/>
                <w:highlight w:val="none"/>
                <w:lang w:val="en-US" w:eastAsia="zh-CN"/>
              </w:rPr>
              <w:t>钻井期锅炉运行时间约</w:t>
            </w:r>
            <w:r>
              <w:rPr>
                <w:rFonts w:hint="eastAsia" w:ascii="Times New Roman" w:cs="Times New Roman"/>
                <w:color w:val="auto"/>
                <w:sz w:val="24"/>
                <w:szCs w:val="24"/>
                <w:highlight w:val="none"/>
                <w:lang w:val="en-US" w:eastAsia="zh-CN"/>
              </w:rPr>
              <w:t>160</w:t>
            </w:r>
            <w:r>
              <w:rPr>
                <w:rFonts w:hint="default" w:ascii="Times New Roman" w:hAnsi="Times New Roman" w:eastAsia="宋体" w:cs="Times New Roman"/>
                <w:color w:val="auto"/>
                <w:sz w:val="24"/>
                <w:szCs w:val="24"/>
                <w:highlight w:val="none"/>
                <w:lang w:val="en-US" w:eastAsia="zh-CN"/>
              </w:rPr>
              <w:t>天（</w:t>
            </w:r>
            <w:r>
              <w:rPr>
                <w:rFonts w:hint="eastAsia" w:ascii="Times New Roman" w:cs="Times New Roman"/>
                <w:color w:val="auto"/>
                <w:sz w:val="24"/>
                <w:szCs w:val="24"/>
                <w:highlight w:val="none"/>
                <w:lang w:val="en-US" w:eastAsia="zh-CN"/>
              </w:rPr>
              <w:t>3840</w:t>
            </w:r>
            <w:r>
              <w:rPr>
                <w:rFonts w:hint="default" w:ascii="Times New Roman" w:hAnsi="Times New Roman" w:eastAsia="宋体" w:cs="Times New Roman"/>
                <w:color w:val="auto"/>
                <w:sz w:val="24"/>
                <w:szCs w:val="24"/>
                <w:highlight w:val="none"/>
                <w:lang w:val="en-US" w:eastAsia="zh-CN"/>
              </w:rPr>
              <w:t>h），</w:t>
            </w:r>
            <w:r>
              <w:rPr>
                <w:rFonts w:hint="default" w:ascii="Times New Roman" w:hAnsi="Times New Roman" w:eastAsia="宋体" w:cs="Times New Roman"/>
                <w:color w:val="auto"/>
                <w:sz w:val="24"/>
                <w:szCs w:val="24"/>
                <w:highlight w:val="none"/>
                <w:lang w:eastAsia="zh-CN"/>
              </w:rPr>
              <w:t>钻井期共计燃料消耗量为</w:t>
            </w:r>
            <w:r>
              <w:rPr>
                <w:rFonts w:hint="eastAsia" w:ascii="Times New Roman" w:cs="Times New Roman"/>
                <w:color w:val="auto"/>
                <w:sz w:val="24"/>
                <w:szCs w:val="24"/>
                <w:highlight w:val="none"/>
                <w:lang w:val="en-US" w:eastAsia="zh-CN"/>
              </w:rPr>
              <w:t>1760</w:t>
            </w:r>
            <w:r>
              <w:rPr>
                <w:rFonts w:hint="default" w:ascii="Times New Roman" w:hAnsi="Times New Roman" w:eastAsia="宋体" w:cs="Times New Roman"/>
                <w:color w:val="auto"/>
                <w:sz w:val="24"/>
                <w:szCs w:val="24"/>
                <w:highlight w:val="none"/>
                <w:lang w:eastAsia="zh-CN"/>
              </w:rPr>
              <w:t>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①标干烟气量</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根据《排污许可证申请与核发技术规范 锅炉》（HJ953-2018）中基准烟气量核算方法中的经验公式估算法进行核算：</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gy</w:t>
            </w:r>
            <w:r>
              <w:rPr>
                <w:rFonts w:hint="default" w:ascii="Times New Roman" w:hAnsi="Times New Roman" w:eastAsia="宋体" w:cs="Times New Roman"/>
                <w:color w:val="auto"/>
                <w:sz w:val="24"/>
                <w:szCs w:val="24"/>
                <w:highlight w:val="none"/>
              </w:rPr>
              <w:t>=0.393Q</w:t>
            </w:r>
            <w:r>
              <w:rPr>
                <w:rFonts w:hint="default" w:ascii="Times New Roman" w:hAnsi="Times New Roman" w:eastAsia="宋体" w:cs="Times New Roman"/>
                <w:color w:val="auto"/>
                <w:sz w:val="24"/>
                <w:szCs w:val="24"/>
                <w:highlight w:val="none"/>
                <w:vertAlign w:val="subscript"/>
              </w:rPr>
              <w:t>net,ar</w:t>
            </w:r>
            <w:r>
              <w:rPr>
                <w:rFonts w:hint="default" w:ascii="Times New Roman" w:hAnsi="Times New Roman" w:eastAsia="宋体" w:cs="Times New Roman"/>
                <w:color w:val="auto"/>
                <w:sz w:val="24"/>
                <w:szCs w:val="24"/>
                <w:highlight w:val="none"/>
              </w:rPr>
              <w:t>+0.876</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net,ar</w:t>
            </w:r>
            <w:r>
              <w:rPr>
                <w:rFonts w:hint="default" w:ascii="Times New Roman" w:hAnsi="Times New Roman" w:eastAsia="宋体" w:cs="Times New Roman"/>
                <w:color w:val="auto"/>
                <w:sz w:val="24"/>
                <w:szCs w:val="24"/>
                <w:highlight w:val="none"/>
              </w:rPr>
              <w:t>≥12.54MJ/kg,V</w:t>
            </w:r>
            <w:r>
              <w:rPr>
                <w:rFonts w:hint="default" w:ascii="Times New Roman" w:hAnsi="Times New Roman" w:eastAsia="宋体" w:cs="Times New Roman"/>
                <w:color w:val="auto"/>
                <w:sz w:val="24"/>
                <w:szCs w:val="24"/>
                <w:highlight w:val="none"/>
                <w:vertAlign w:val="subscript"/>
              </w:rPr>
              <w:t>daf</w:t>
            </w:r>
            <w:r>
              <w:rPr>
                <w:rFonts w:hint="default" w:ascii="Times New Roman" w:hAnsi="Times New Roman" w:eastAsia="宋体" w:cs="Times New Roman"/>
                <w:color w:val="auto"/>
                <w:sz w:val="24"/>
                <w:szCs w:val="24"/>
                <w:highlight w:val="none"/>
              </w:rPr>
              <w:t>≥15%</w:t>
            </w:r>
            <w:r>
              <w:rPr>
                <w:rFonts w:hint="eastAsia" w:ascii="Times New Roman" w:cs="Times New Roman"/>
                <w:color w:val="auto"/>
                <w:sz w:val="24"/>
                <w:szCs w:val="24"/>
                <w:highlight w:val="none"/>
                <w:lang w:eastAsia="zh-CN"/>
              </w:rPr>
              <w: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式中：Vgy—基准烟气量，（标m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net,ar</w:t>
            </w:r>
            <w:r>
              <w:rPr>
                <w:rFonts w:hint="default" w:ascii="Times New Roman" w:hAnsi="Times New Roman" w:eastAsia="宋体" w:cs="Times New Roman"/>
                <w:color w:val="auto"/>
                <w:sz w:val="24"/>
                <w:szCs w:val="24"/>
                <w:highlight w:val="none"/>
              </w:rPr>
              <w:t>—燃料的低位发热值，MJ/kg，拟建项目燃料热值16.11MJ/kg；</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根据上面计算得出本项目生物质蒸汽锅炉的烟气量产生系数为7.20723Nm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燃料。则生物质蒸汽锅炉烟气量为3300Nm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②颗粒物</w:t>
            </w:r>
          </w:p>
          <w:p>
            <w:pPr>
              <w:pStyle w:val="11"/>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4"/>
                <w:szCs w:val="24"/>
                <w:highlight w:val="none"/>
              </w:rPr>
              <w:t>燃生物质锅炉颗粒物（烟尘）排放量按以下列公式计算：</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Cs w:val="21"/>
                <w:highlight w:val="yellow"/>
              </w:rPr>
            </w:pPr>
            <m:oMathPara>
              <m:oMath>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E</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A</m:t>
                    </m:r>
                    <m:ctrlPr>
                      <w:rPr>
                        <w:rFonts w:hint="default" w:ascii="Cambria Math" w:hAnsi="Cambria Math" w:eastAsia="宋体" w:cs="Times New Roman"/>
                        <w:color w:val="auto"/>
                        <w:sz w:val="24"/>
                        <w:highlight w:val="none"/>
                      </w:rPr>
                    </m:ctrlPr>
                  </m:sub>
                </m:sSub>
                <m:r>
                  <m:rPr>
                    <m:nor/>
                    <m:sty m:val="p"/>
                  </m:rPr>
                  <w:rPr>
                    <w:rFonts w:hint="default" w:ascii="Times New Roman" w:hAnsi="Times New Roman" w:eastAsia="宋体" w:cs="Times New Roman"/>
                    <w:b w:val="0"/>
                    <w:i w:val="0"/>
                    <w:color w:val="auto"/>
                    <w:sz w:val="24"/>
                    <w:highlight w:val="none"/>
                  </w:rPr>
                  <m:t>=</m:t>
                </m:r>
                <m:f>
                  <m:fPr>
                    <m:ctrlPr>
                      <w:rPr>
                        <w:rFonts w:hint="default" w:ascii="Cambria Math" w:hAnsi="Cambria Math" w:eastAsia="宋体" w:cs="Times New Roman"/>
                        <w:color w:val="auto"/>
                        <w:sz w:val="24"/>
                        <w:highlight w:val="none"/>
                      </w:rPr>
                    </m:ctrlPr>
                  </m:fPr>
                  <m:num>
                    <m:r>
                      <m:rPr>
                        <m:nor/>
                        <m:sty m:val="p"/>
                      </m:rPr>
                      <w:rPr>
                        <w:rFonts w:hint="default" w:ascii="Times New Roman" w:hAnsi="Times New Roman" w:eastAsia="宋体" w:cs="Times New Roman"/>
                        <w:b w:val="0"/>
                        <w:i w:val="0"/>
                        <w:color w:val="auto"/>
                        <w:sz w:val="24"/>
                        <w:highlight w:val="none"/>
                      </w:rPr>
                      <m:t>R×</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A</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ar</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r>
                      <m:rPr>
                        <m:nor/>
                        <m:sty m:val="p"/>
                      </m:rPr>
                      <w:rPr>
                        <w:rFonts w:hint="default" w:ascii="Times New Roman" w:hAnsi="Times New Roman" w:eastAsia="宋体" w:cs="Times New Roman"/>
                        <w:b w:val="0"/>
                        <w:i w:val="0"/>
                        <w:color w:val="auto"/>
                        <w:sz w:val="24"/>
                        <w:highlight w:val="none"/>
                      </w:rPr>
                      <m:t>×</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d</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fh</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r>
                      <m:rPr>
                        <m:nor/>
                        <m:sty m:val="p"/>
                      </m:rPr>
                      <w:rPr>
                        <w:rFonts w:hint="default" w:ascii="Times New Roman" w:hAnsi="Times New Roman" w:eastAsia="宋体" w:cs="Times New Roman"/>
                        <w:b w:val="0"/>
                        <w:i w:val="0"/>
                        <w:color w:val="auto"/>
                        <w:sz w:val="24"/>
                        <w:highlight w:val="none"/>
                      </w:rPr>
                      <m:t>×</m:t>
                    </m:r>
                    <m:d>
                      <m:dPr>
                        <m:ctrlPr>
                          <w:rPr>
                            <w:rFonts w:hint="default" w:ascii="Cambria Math" w:hAnsi="Cambria Math" w:eastAsia="宋体" w:cs="Times New Roman"/>
                            <w:color w:val="auto"/>
                            <w:sz w:val="24"/>
                            <w:highlight w:val="none"/>
                          </w:rPr>
                        </m:ctrlPr>
                      </m:dPr>
                      <m:e>
                        <m:r>
                          <m:rPr>
                            <m:nor/>
                            <m:sty m:val="p"/>
                          </m:rPr>
                          <w:rPr>
                            <w:rFonts w:hint="default" w:ascii="Times New Roman" w:hAnsi="Times New Roman" w:eastAsia="宋体" w:cs="Times New Roman"/>
                            <w:b w:val="0"/>
                            <w:i w:val="0"/>
                            <w:color w:val="auto"/>
                            <w:sz w:val="24"/>
                            <w:highlight w:val="none"/>
                          </w:rPr>
                          <m:t>1−</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η</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c</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ctrlPr>
                          <w:rPr>
                            <w:rFonts w:hint="default" w:ascii="Cambria Math" w:hAnsi="Cambria Math" w:eastAsia="宋体" w:cs="Times New Roman"/>
                            <w:color w:val="auto"/>
                            <w:sz w:val="24"/>
                            <w:highlight w:val="none"/>
                          </w:rPr>
                        </m:ctrlPr>
                      </m:e>
                    </m:d>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C</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fh</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ctrlPr>
                      <w:rPr>
                        <w:rFonts w:hint="default" w:ascii="Cambria Math" w:hAnsi="Cambria Math" w:eastAsia="宋体" w:cs="Times New Roman"/>
                        <w:color w:val="auto"/>
                        <w:sz w:val="24"/>
                        <w:highlight w:val="none"/>
                      </w:rPr>
                    </m:ctrlPr>
                  </m:den>
                </m:f>
              </m:oMath>
            </m:oMathPara>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式中：EA——核算时段内颗粒物（烟尘）排放量，t；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R——核算时段内锅炉燃料耗量，t（</w:t>
            </w:r>
            <w:r>
              <w:rPr>
                <w:rFonts w:hint="eastAsia" w:ascii="Times New Roman" w:cs="Times New Roman"/>
                <w:color w:val="auto"/>
                <w:sz w:val="24"/>
                <w:szCs w:val="24"/>
                <w:highlight w:val="none"/>
                <w:lang w:val="en-US" w:eastAsia="zh-CN"/>
              </w:rPr>
              <w:t>1760</w:t>
            </w:r>
            <w:r>
              <w:rPr>
                <w:rFonts w:hint="default" w:ascii="Times New Roman" w:hAnsi="Times New Roman" w:eastAsia="宋体" w:cs="Times New Roman"/>
                <w:color w:val="auto"/>
                <w:sz w:val="24"/>
                <w:szCs w:val="24"/>
                <w:highlight w:val="none"/>
              </w:rPr>
              <w:t>t/钻井期）；</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239" w:leftChars="114"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Aar—收到基灰分的质量分数，%（7.22）；</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vertAlign w:val="subscript"/>
              </w:rPr>
              <w:t>fh</w:t>
            </w:r>
            <w:r>
              <w:rPr>
                <w:rFonts w:hint="default" w:ascii="Times New Roman" w:hAnsi="Times New Roman" w:eastAsia="宋体" w:cs="Times New Roman"/>
                <w:color w:val="auto"/>
                <w:sz w:val="24"/>
                <w:szCs w:val="24"/>
                <w:highlight w:val="none"/>
              </w:rPr>
              <w:t>——锅炉烟气带出的飞灰份额，%（本项目使用的沸腾炉属于流化床炉的一种飞灰份额，</w:t>
            </w:r>
            <w:r>
              <w:rPr>
                <w:rFonts w:hint="default" w:ascii="Times New Roman" w:hAnsi="Times New Roman" w:eastAsia="宋体" w:cs="Times New Roman"/>
                <w:color w:val="auto"/>
                <w:sz w:val="24"/>
                <w:szCs w:val="24"/>
                <w:highlight w:val="none"/>
                <w:lang w:eastAsia="zh-CN"/>
              </w:rPr>
              <w:t>40%～60%</w:t>
            </w:r>
            <w:r>
              <w:rPr>
                <w:rFonts w:hint="default" w:ascii="Times New Roman" w:hAnsi="Times New Roman" w:eastAsia="宋体" w:cs="Times New Roman"/>
                <w:color w:val="auto"/>
                <w:sz w:val="24"/>
                <w:szCs w:val="24"/>
                <w:highlight w:val="none"/>
              </w:rPr>
              <w:t>，取50%）；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ηc ——本项目采用袋式除尘器，%（根据《锅炉产排污量核算系数手册》-4430工业锅炉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热力生产和供应行业</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产污系数表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取值99.7%）；</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w:t>
            </w:r>
            <w:r>
              <w:rPr>
                <w:rFonts w:hint="default" w:ascii="Times New Roman" w:hAnsi="Times New Roman" w:eastAsia="宋体" w:cs="Times New Roman"/>
                <w:color w:val="auto"/>
                <w:sz w:val="24"/>
                <w:szCs w:val="24"/>
                <w:highlight w:val="none"/>
                <w:vertAlign w:val="subscript"/>
              </w:rPr>
              <w:t>fh</w:t>
            </w:r>
            <w:r>
              <w:rPr>
                <w:rFonts w:hint="default" w:ascii="Times New Roman" w:hAnsi="Times New Roman" w:eastAsia="宋体" w:cs="Times New Roman"/>
                <w:color w:val="auto"/>
                <w:sz w:val="24"/>
                <w:szCs w:val="24"/>
                <w:highlight w:val="none"/>
              </w:rPr>
              <w:t>——飞灰中的可燃物含量，%（取14%，参考《桉树类生物质燃烧飞灰可燃物含量分析方法研究》（第35卷第2期2015年2月）中的结论）。</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由此计算得生物质锅炉烟气中颗粒物排放量为0.</w:t>
            </w:r>
            <w:r>
              <w:rPr>
                <w:rFonts w:hint="eastAsia" w:ascii="Times New Roman" w:eastAsia="宋体" w:cs="Times New Roman"/>
                <w:color w:val="auto"/>
                <w:sz w:val="24"/>
                <w:szCs w:val="24"/>
                <w:highlight w:val="none"/>
                <w:lang w:val="en-US" w:eastAsia="zh-CN"/>
              </w:rPr>
              <w:t>222</w:t>
            </w:r>
            <w:r>
              <w:rPr>
                <w:rFonts w:hint="default" w:ascii="Times New Roman" w:hAnsi="Times New Roman" w:eastAsia="宋体" w:cs="Times New Roman"/>
                <w:color w:val="auto"/>
                <w:sz w:val="24"/>
                <w:szCs w:val="24"/>
                <w:highlight w:val="none"/>
              </w:rPr>
              <w:t>t/</w:t>
            </w:r>
            <w:r>
              <w:rPr>
                <w:rFonts w:hint="eastAsia" w:ascii="Times New Roman" w:eastAsia="宋体" w:cs="Times New Roman"/>
                <w:color w:val="auto"/>
                <w:sz w:val="24"/>
                <w:szCs w:val="24"/>
                <w:highlight w:val="none"/>
                <w:lang w:val="en-US" w:eastAsia="zh-CN"/>
              </w:rPr>
              <w:t>钻井期</w:t>
            </w:r>
            <w:r>
              <w:rPr>
                <w:rFonts w:hint="default" w:ascii="Times New Roman" w:hAnsi="Times New Roman" w:eastAsia="宋体" w:cs="Times New Roman"/>
                <w:color w:val="auto"/>
                <w:sz w:val="24"/>
                <w:szCs w:val="24"/>
                <w:highlight w:val="none"/>
              </w:rPr>
              <w:t>，排放速率为0.058kg/h，排放浓度为17.</w:t>
            </w:r>
            <w:r>
              <w:rPr>
                <w:rFonts w:hint="eastAsia" w:asci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③二氧化硫</w:t>
            </w:r>
          </w:p>
          <w:p>
            <w:pPr>
              <w:keepNext/>
              <w:keepLines w:val="0"/>
              <w:suppressLineNumbers w:val="0"/>
              <w:adjustRightIn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szCs w:val="24"/>
                <w:highlight w:val="none"/>
              </w:rPr>
            </w:pPr>
            <m:oMathPara>
              <m:oMath>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E</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SO2</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rPr>
                  <m:t>=2R×</m:t>
                </m:r>
                <m:f>
                  <m:fPr>
                    <m:ctrlPr>
                      <w:rPr>
                        <w:rFonts w:hint="default" w:ascii="Cambria Math" w:hAnsi="Cambria Math" w:eastAsia="宋体" w:cs="Times New Roman"/>
                        <w:color w:val="auto"/>
                        <w:sz w:val="24"/>
                        <w:szCs w:val="24"/>
                        <w:highlight w:val="none"/>
                      </w:rPr>
                    </m:ctrlPr>
                  </m:fPr>
                  <m:num>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S</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ar</m:t>
                        </m:r>
                        <m:ctrlPr>
                          <w:rPr>
                            <w:rFonts w:hint="default" w:ascii="Cambria Math" w:hAnsi="Cambria Math" w:eastAsia="宋体" w:cs="Times New Roman"/>
                            <w:color w:val="auto"/>
                            <w:sz w:val="24"/>
                            <w:szCs w:val="24"/>
                            <w:highlight w:val="none"/>
                          </w:rPr>
                        </m:ctrlPr>
                      </m:sub>
                    </m:sSub>
                    <m:ctrlPr>
                      <w:rPr>
                        <w:rFonts w:hint="default" w:ascii="Cambria Math" w:hAnsi="Cambria Math" w:eastAsia="宋体" w:cs="Times New Roman"/>
                        <w:color w:val="auto"/>
                        <w:sz w:val="24"/>
                        <w:szCs w:val="24"/>
                        <w:highlight w:val="none"/>
                      </w:rPr>
                    </m:ctrlPr>
                  </m:num>
                  <m:den>
                    <m:r>
                      <m:rPr>
                        <m:nor/>
                        <m:sty m:val="p"/>
                      </m:rPr>
                      <w:rPr>
                        <w:rFonts w:hint="default" w:ascii="Times New Roman" w:hAnsi="Times New Roman" w:eastAsia="宋体" w:cs="Times New Roman"/>
                        <w:b w:val="0"/>
                        <w:i w:val="0"/>
                        <w:color w:val="auto"/>
                        <w:sz w:val="24"/>
                        <w:szCs w:val="24"/>
                        <w:highlight w:val="none"/>
                      </w:rPr>
                      <m:t>100</m:t>
                    </m:r>
                    <m:ctrlPr>
                      <w:rPr>
                        <w:rFonts w:hint="default" w:ascii="Cambria Math" w:hAnsi="Cambria Math" w:eastAsia="宋体" w:cs="Times New Roman"/>
                        <w:color w:val="auto"/>
                        <w:sz w:val="24"/>
                        <w:szCs w:val="24"/>
                        <w:highlight w:val="none"/>
                      </w:rPr>
                    </m:ctrlPr>
                  </m:den>
                </m:f>
                <m:r>
                  <m:rPr>
                    <m:nor/>
                    <m:sty m:val="p"/>
                  </m:rPr>
                  <w:rPr>
                    <w:rFonts w:hint="default" w:ascii="Times New Roman" w:hAnsi="Times New Roman" w:eastAsia="宋体" w:cs="Times New Roman"/>
                    <w:b w:val="0"/>
                    <w:i w:val="0"/>
                    <w:color w:val="auto"/>
                    <w:sz w:val="24"/>
                    <w:szCs w:val="24"/>
                    <w:highlight w:val="none"/>
                  </w:rPr>
                  <m:t>×</m:t>
                </m:r>
                <m:d>
                  <m:dPr>
                    <m:ctrlPr>
                      <w:rPr>
                        <w:rFonts w:hint="default" w:ascii="Cambria Math" w:hAnsi="Cambria Math" w:eastAsia="宋体" w:cs="Times New Roman"/>
                        <w:color w:val="auto"/>
                        <w:sz w:val="24"/>
                        <w:szCs w:val="24"/>
                        <w:highlight w:val="none"/>
                      </w:rPr>
                    </m:ctrlPr>
                  </m:dPr>
                  <m:e>
                    <m:r>
                      <m:rPr>
                        <m:nor/>
                        <m:sty m:val="p"/>
                      </m:rPr>
                      <w:rPr>
                        <w:rFonts w:hint="default" w:ascii="Times New Roman" w:hAnsi="Times New Roman" w:eastAsia="宋体" w:cs="Times New Roman"/>
                        <w:b w:val="0"/>
                        <w:i w:val="0"/>
                        <w:color w:val="auto"/>
                        <w:sz w:val="24"/>
                        <w:szCs w:val="24"/>
                        <w:highlight w:val="none"/>
                      </w:rPr>
                      <m:t>1−</m:t>
                    </m:r>
                    <m:f>
                      <m:fPr>
                        <m:ctrlPr>
                          <w:rPr>
                            <w:rFonts w:hint="default" w:ascii="Cambria Math" w:hAnsi="Cambria Math" w:eastAsia="宋体" w:cs="Times New Roman"/>
                            <w:color w:val="auto"/>
                            <w:sz w:val="24"/>
                            <w:szCs w:val="24"/>
                            <w:highlight w:val="none"/>
                          </w:rPr>
                        </m:ctrlPr>
                      </m:fPr>
                      <m:num>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q</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4</m:t>
                            </m:r>
                            <m:ctrlPr>
                              <w:rPr>
                                <w:rFonts w:hint="default" w:ascii="Cambria Math" w:hAnsi="Cambria Math" w:eastAsia="宋体" w:cs="Times New Roman"/>
                                <w:color w:val="auto"/>
                                <w:sz w:val="24"/>
                                <w:szCs w:val="24"/>
                                <w:highlight w:val="none"/>
                              </w:rPr>
                            </m:ctrlPr>
                          </m:sub>
                        </m:sSub>
                        <m:ctrlPr>
                          <w:rPr>
                            <w:rFonts w:hint="default" w:ascii="Cambria Math" w:hAnsi="Cambria Math" w:eastAsia="宋体" w:cs="Times New Roman"/>
                            <w:color w:val="auto"/>
                            <w:sz w:val="24"/>
                            <w:szCs w:val="24"/>
                            <w:highlight w:val="none"/>
                          </w:rPr>
                        </m:ctrlPr>
                      </m:num>
                      <m:den>
                        <m:r>
                          <m:rPr>
                            <m:nor/>
                            <m:sty m:val="p"/>
                          </m:rPr>
                          <w:rPr>
                            <w:rFonts w:hint="default" w:ascii="Times New Roman" w:hAnsi="Times New Roman" w:eastAsia="宋体" w:cs="Times New Roman"/>
                            <w:b w:val="0"/>
                            <w:i w:val="0"/>
                            <w:color w:val="auto"/>
                            <w:sz w:val="24"/>
                            <w:szCs w:val="24"/>
                            <w:highlight w:val="none"/>
                          </w:rPr>
                          <m:t>100</m:t>
                        </m:r>
                        <m:ctrlPr>
                          <w:rPr>
                            <w:rFonts w:hint="default" w:ascii="Cambria Math" w:hAnsi="Cambria Math" w:eastAsia="宋体" w:cs="Times New Roman"/>
                            <w:color w:val="auto"/>
                            <w:sz w:val="24"/>
                            <w:szCs w:val="24"/>
                            <w:highlight w:val="none"/>
                          </w:rPr>
                        </m:ctrlPr>
                      </m:den>
                    </m:f>
                    <m:ctrlPr>
                      <w:rPr>
                        <w:rFonts w:hint="default" w:ascii="Cambria Math" w:hAnsi="Cambria Math" w:eastAsia="宋体" w:cs="Times New Roman"/>
                        <w:color w:val="auto"/>
                        <w:sz w:val="24"/>
                        <w:szCs w:val="24"/>
                        <w:highlight w:val="none"/>
                      </w:rPr>
                    </m:ctrlPr>
                  </m:e>
                </m:d>
                <m:r>
                  <m:rPr>
                    <m:nor/>
                    <m:sty m:val="p"/>
                  </m:rPr>
                  <w:rPr>
                    <w:rFonts w:hint="default" w:ascii="Times New Roman" w:hAnsi="Times New Roman" w:eastAsia="宋体" w:cs="Times New Roman"/>
                    <w:b w:val="0"/>
                    <w:i w:val="0"/>
                    <w:color w:val="auto"/>
                    <w:sz w:val="24"/>
                    <w:szCs w:val="24"/>
                    <w:highlight w:val="none"/>
                  </w:rPr>
                  <m:t>×</m:t>
                </m:r>
                <m:d>
                  <m:dPr>
                    <m:ctrlPr>
                      <w:rPr>
                        <w:rFonts w:hint="default" w:ascii="Cambria Math" w:hAnsi="Cambria Math" w:eastAsia="宋体" w:cs="Times New Roman"/>
                        <w:color w:val="auto"/>
                        <w:sz w:val="24"/>
                        <w:szCs w:val="24"/>
                        <w:highlight w:val="none"/>
                      </w:rPr>
                    </m:ctrlPr>
                  </m:dPr>
                  <m:e>
                    <m:r>
                      <m:rPr>
                        <m:nor/>
                        <m:sty m:val="p"/>
                      </m:rPr>
                      <w:rPr>
                        <w:rFonts w:hint="default" w:ascii="Times New Roman" w:hAnsi="Times New Roman" w:eastAsia="宋体" w:cs="Times New Roman"/>
                        <w:b w:val="0"/>
                        <w:i w:val="0"/>
                        <w:color w:val="auto"/>
                        <w:sz w:val="24"/>
                        <w:szCs w:val="24"/>
                        <w:highlight w:val="none"/>
                      </w:rPr>
                      <m:t>1−</m:t>
                    </m:r>
                    <m:f>
                      <m:fPr>
                        <m:ctrlPr>
                          <w:rPr>
                            <w:rFonts w:hint="default" w:ascii="Cambria Math" w:hAnsi="Cambria Math" w:eastAsia="宋体" w:cs="Times New Roman"/>
                            <w:color w:val="auto"/>
                            <w:sz w:val="24"/>
                            <w:szCs w:val="24"/>
                            <w:highlight w:val="none"/>
                          </w:rPr>
                        </m:ctrlPr>
                      </m:fPr>
                      <m:num>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η</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s</m:t>
                            </m:r>
                            <m:ctrlPr>
                              <w:rPr>
                                <w:rFonts w:hint="default" w:ascii="Cambria Math" w:hAnsi="Cambria Math" w:eastAsia="宋体" w:cs="Times New Roman"/>
                                <w:color w:val="auto"/>
                                <w:sz w:val="24"/>
                                <w:szCs w:val="24"/>
                                <w:highlight w:val="none"/>
                              </w:rPr>
                            </m:ctrlPr>
                          </m:sub>
                        </m:sSub>
                        <m:ctrlPr>
                          <w:rPr>
                            <w:rFonts w:hint="default" w:ascii="Cambria Math" w:hAnsi="Cambria Math" w:eastAsia="宋体" w:cs="Times New Roman"/>
                            <w:color w:val="auto"/>
                            <w:sz w:val="24"/>
                            <w:szCs w:val="24"/>
                            <w:highlight w:val="none"/>
                          </w:rPr>
                        </m:ctrlPr>
                      </m:num>
                      <m:den>
                        <m:r>
                          <m:rPr>
                            <m:nor/>
                            <m:sty m:val="p"/>
                          </m:rPr>
                          <w:rPr>
                            <w:rFonts w:hint="default" w:ascii="Times New Roman" w:hAnsi="Times New Roman" w:eastAsia="宋体" w:cs="Times New Roman"/>
                            <w:b w:val="0"/>
                            <w:i w:val="0"/>
                            <w:color w:val="auto"/>
                            <w:sz w:val="24"/>
                            <w:szCs w:val="24"/>
                            <w:highlight w:val="none"/>
                          </w:rPr>
                          <m:t>100</m:t>
                        </m:r>
                        <m:ctrlPr>
                          <w:rPr>
                            <w:rFonts w:hint="default" w:ascii="Cambria Math" w:hAnsi="Cambria Math" w:eastAsia="宋体" w:cs="Times New Roman"/>
                            <w:color w:val="auto"/>
                            <w:sz w:val="24"/>
                            <w:szCs w:val="24"/>
                            <w:highlight w:val="none"/>
                          </w:rPr>
                        </m:ctrlPr>
                      </m:den>
                    </m:f>
                    <m:ctrlPr>
                      <w:rPr>
                        <w:rFonts w:hint="default" w:ascii="Cambria Math" w:hAnsi="Cambria Math" w:eastAsia="宋体" w:cs="Times New Roman"/>
                        <w:color w:val="auto"/>
                        <w:sz w:val="24"/>
                        <w:szCs w:val="24"/>
                        <w:highlight w:val="none"/>
                      </w:rPr>
                    </m:ctrlPr>
                  </m:e>
                </m:d>
                <m:r>
                  <m:rPr>
                    <m:nor/>
                    <m:sty m:val="p"/>
                  </m:rPr>
                  <w:rPr>
                    <w:rFonts w:hint="default" w:ascii="Times New Roman" w:hAnsi="Times New Roman" w:eastAsia="宋体" w:cs="Times New Roman"/>
                    <w:b w:val="0"/>
                    <w:i w:val="0"/>
                    <w:color w:val="auto"/>
                    <w:sz w:val="24"/>
                    <w:szCs w:val="24"/>
                    <w:highlight w:val="none"/>
                  </w:rPr>
                  <m:t>×K</m:t>
                </m:r>
              </m:oMath>
            </m:oMathPara>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式中：E</w:t>
            </w:r>
            <w:r>
              <w:rPr>
                <w:rFonts w:hint="default" w:ascii="Times New Roman" w:hAnsi="Times New Roman" w:eastAsia="宋体" w:cs="Times New Roman"/>
                <w:color w:val="auto"/>
                <w:sz w:val="24"/>
                <w:szCs w:val="24"/>
                <w:highlight w:val="none"/>
                <w:vertAlign w:val="subscript"/>
              </w:rPr>
              <w:t>SO2—</w:t>
            </w:r>
            <w:r>
              <w:rPr>
                <w:rFonts w:hint="default" w:ascii="Times New Roman" w:hAnsi="Times New Roman" w:eastAsia="宋体" w:cs="Times New Roman"/>
                <w:color w:val="auto"/>
                <w:sz w:val="24"/>
                <w:szCs w:val="24"/>
                <w:highlight w:val="none"/>
              </w:rPr>
              <w:t>—核算时段内二氧化硫排放量，t；</w:t>
            </w:r>
          </w:p>
          <w:p>
            <w:pPr>
              <w:pStyle w:val="31"/>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R——核算时段内锅炉燃料耗量，</w:t>
            </w:r>
            <w:r>
              <w:rPr>
                <w:rFonts w:hint="eastAsia" w:ascii="Times New Roman" w:hAnsi="Times New Roman" w:cs="Times New Roman"/>
                <w:color w:val="auto"/>
                <w:sz w:val="24"/>
                <w:szCs w:val="24"/>
                <w:highlight w:val="none"/>
                <w:lang w:val="en-US" w:eastAsia="zh-CN"/>
              </w:rPr>
              <w:t>1760</w:t>
            </w:r>
            <w:r>
              <w:rPr>
                <w:rFonts w:hint="default" w:ascii="Times New Roman" w:hAnsi="Times New Roman" w:eastAsia="宋体" w:cs="Times New Roman"/>
                <w:color w:val="auto"/>
                <w:sz w:val="24"/>
                <w:szCs w:val="24"/>
                <w:highlight w:val="none"/>
              </w:rPr>
              <w:t>t/钻井期；</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Sar——收到基硫的质量分数，%，0.021%</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（Sar=Sd×（100−Mar）/100=0.022×（100-6.48）/100）；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——锅炉机械不完全燃烧热损失，%（5%～15%，取10%）；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ηs——脱硫效率，%（0%）；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K——燃料中的硫燃烧后氧化成二氧化硫的份额，量纲一的量（0.30～0.50，取0.40）。</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计算可知本项目生物质锅炉</w:t>
            </w:r>
            <w:r>
              <w:rPr>
                <w:rFonts w:hint="eastAsia" w:ascii="Times New Roman" w:cs="Times New Roman"/>
                <w:color w:val="auto"/>
                <w:sz w:val="24"/>
                <w:szCs w:val="24"/>
                <w:highlight w:val="none"/>
                <w:lang w:val="en-US" w:eastAsia="zh-CN"/>
              </w:rPr>
              <w:t>二氧化硫</w:t>
            </w:r>
            <w:r>
              <w:rPr>
                <w:rFonts w:hint="default" w:ascii="Times New Roman" w:hAnsi="Times New Roman" w:eastAsia="宋体" w:cs="Times New Roman"/>
                <w:color w:val="auto"/>
                <w:sz w:val="24"/>
                <w:szCs w:val="24"/>
                <w:highlight w:val="none"/>
              </w:rPr>
              <w:t>排放量为0.</w:t>
            </w:r>
            <w:r>
              <w:rPr>
                <w:rFonts w:hint="eastAsia" w:ascii="Times New Roman" w:cs="Times New Roman"/>
                <w:color w:val="auto"/>
                <w:sz w:val="24"/>
                <w:szCs w:val="24"/>
                <w:highlight w:val="none"/>
                <w:lang w:val="en-US" w:eastAsia="zh-CN"/>
              </w:rPr>
              <w:t>266</w:t>
            </w:r>
            <w:r>
              <w:rPr>
                <w:rFonts w:hint="default" w:ascii="Times New Roman" w:hAnsi="Times New Roman" w:eastAsia="宋体" w:cs="Times New Roman"/>
                <w:color w:val="auto"/>
                <w:sz w:val="24"/>
                <w:szCs w:val="24"/>
                <w:highlight w:val="none"/>
              </w:rPr>
              <w:t>t/钻井期，排放速率为0.07kg/h，排放浓度为21</w:t>
            </w:r>
            <w:r>
              <w:rPr>
                <w:rFonts w:hint="eastAsia" w:ascii="Times New Roman"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④氮氧化物</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氮氧化物利用《排放源统计调查产排污核算方法和系数手册》中系数1.02kg/t燃料计算，生物质锅炉烟气采取低氮燃烧技术去除氮氧化物，去除效率为30%，则本项目生物质锅炉氮氧化物排放量为</w:t>
            </w:r>
            <w:r>
              <w:rPr>
                <w:rFonts w:hint="eastAsia" w:ascii="Times New Roman" w:cs="Times New Roman"/>
                <w:color w:val="auto"/>
                <w:sz w:val="24"/>
                <w:szCs w:val="24"/>
                <w:highlight w:val="none"/>
                <w:lang w:val="en-US" w:eastAsia="zh-CN"/>
              </w:rPr>
              <w:t>1.26</w:t>
            </w:r>
            <w:r>
              <w:rPr>
                <w:rFonts w:hint="default" w:ascii="Times New Roman" w:hAnsi="Times New Roman" w:eastAsia="宋体" w:cs="Times New Roman"/>
                <w:color w:val="auto"/>
                <w:sz w:val="24"/>
                <w:szCs w:val="24"/>
                <w:highlight w:val="none"/>
              </w:rPr>
              <w:t>t/钻井期，排放速率为0.3</w:t>
            </w:r>
            <w:r>
              <w:rPr>
                <w:rFonts w:hint="eastAsia" w:asci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kg/h，排放浓度为99.</w:t>
            </w:r>
            <w:r>
              <w:rPr>
                <w:rFonts w:hint="eastAsia" w:asci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，满足《锅炉大气污染物排放标准》（GB13271-2014）中表2燃气锅炉标准限值要求。</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综上钻井期生物质锅炉烟气各污染物均满足《锅炉大气污染物排放标准》（GB13271-2014）中表2燃气锅炉标准限值要求；钻井期生物质锅炉烟气中二氧化硫排放量为0.</w:t>
            </w:r>
            <w:r>
              <w:rPr>
                <w:rFonts w:hint="eastAsia" w:ascii="Times New Roman" w:cs="Times New Roman"/>
                <w:color w:val="auto"/>
                <w:sz w:val="24"/>
                <w:szCs w:val="24"/>
                <w:highlight w:val="none"/>
                <w:lang w:val="en-US" w:eastAsia="zh-CN"/>
              </w:rPr>
              <w:t>266</w:t>
            </w:r>
            <w:r>
              <w:rPr>
                <w:rFonts w:hint="default" w:ascii="Times New Roman" w:hAnsi="Times New Roman" w:eastAsia="宋体" w:cs="Times New Roman"/>
                <w:color w:val="auto"/>
                <w:sz w:val="24"/>
                <w:szCs w:val="24"/>
                <w:highlight w:val="none"/>
              </w:rPr>
              <w:t>t、颗粒物排放量为0.</w:t>
            </w:r>
            <w:r>
              <w:rPr>
                <w:rFonts w:hint="eastAsia" w:ascii="Times New Roman" w:cs="Times New Roman"/>
                <w:color w:val="auto"/>
                <w:sz w:val="24"/>
                <w:szCs w:val="24"/>
                <w:highlight w:val="none"/>
                <w:lang w:val="en-US" w:eastAsia="zh-CN"/>
              </w:rPr>
              <w:t>222</w:t>
            </w:r>
            <w:r>
              <w:rPr>
                <w:rFonts w:hint="default" w:ascii="Times New Roman" w:hAnsi="Times New Roman" w:eastAsia="宋体" w:cs="Times New Roman"/>
                <w:color w:val="auto"/>
                <w:sz w:val="24"/>
                <w:szCs w:val="24"/>
                <w:highlight w:val="none"/>
              </w:rPr>
              <w:t>t、氮氧化物排放量为</w:t>
            </w:r>
            <w:r>
              <w:rPr>
                <w:rFonts w:hint="eastAsia" w:ascii="Times New Roman" w:cs="Times New Roman"/>
                <w:color w:val="auto"/>
                <w:sz w:val="24"/>
                <w:szCs w:val="24"/>
                <w:highlight w:val="none"/>
                <w:lang w:val="en-US" w:eastAsia="zh-CN"/>
              </w:rPr>
              <w:t>1.26</w:t>
            </w:r>
            <w:r>
              <w:rPr>
                <w:rFonts w:hint="default" w:ascii="Times New Roman" w:hAnsi="Times New Roman" w:eastAsia="宋体" w:cs="Times New Roman"/>
                <w:color w:val="auto"/>
                <w:sz w:val="24"/>
                <w:szCs w:val="24"/>
                <w:highlight w:val="none"/>
              </w:rPr>
              <w:t>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82" w:firstLineChars="200"/>
              <w:textAlignment w:val="auto"/>
              <w:rPr>
                <w:rFonts w:hint="eastAsia" w:ascii="Times New Roman" w:hAnsi="Times New Roman" w:eastAsia="宋体" w:cs="Times New Roman"/>
                <w:b/>
                <w:bCs/>
                <w:color w:val="auto"/>
                <w:spacing w:val="0"/>
                <w:position w:val="0"/>
                <w:sz w:val="24"/>
                <w:szCs w:val="24"/>
                <w:highlight w:val="none"/>
                <w:lang w:val="en-US" w:eastAsia="zh-CN"/>
              </w:rPr>
            </w:pPr>
            <w:r>
              <w:rPr>
                <w:rFonts w:hint="eastAsia" w:ascii="Times New Roman" w:cs="Times New Roman"/>
                <w:b/>
                <w:bCs/>
                <w:color w:val="auto"/>
                <w:spacing w:val="0"/>
                <w:position w:val="0"/>
                <w:sz w:val="24"/>
                <w:szCs w:val="24"/>
                <w:highlight w:val="none"/>
                <w:lang w:val="en-US" w:eastAsia="zh-CN"/>
              </w:rPr>
              <w:t xml:space="preserve">表4-2    </w:t>
            </w:r>
            <w:r>
              <w:rPr>
                <w:rFonts w:hint="eastAsia" w:ascii="Times New Roman" w:hAnsi="Times New Roman" w:eastAsia="宋体" w:cs="Times New Roman"/>
                <w:b/>
                <w:bCs/>
                <w:color w:val="auto"/>
                <w:spacing w:val="0"/>
                <w:position w:val="0"/>
                <w:sz w:val="24"/>
                <w:szCs w:val="24"/>
                <w:highlight w:val="none"/>
                <w:lang w:val="en-US" w:eastAsia="zh-CN"/>
              </w:rPr>
              <w:t>锅炉烟气污染</w:t>
            </w:r>
            <w:r>
              <w:rPr>
                <w:rFonts w:hint="eastAsia" w:ascii="Times New Roman" w:cs="Times New Roman"/>
                <w:b/>
                <w:bCs/>
                <w:color w:val="auto"/>
                <w:spacing w:val="0"/>
                <w:position w:val="0"/>
                <w:sz w:val="24"/>
                <w:szCs w:val="24"/>
                <w:highlight w:val="none"/>
                <w:lang w:val="en-US" w:eastAsia="zh-CN"/>
              </w:rPr>
              <w:t>源源强核算结果及相关</w:t>
            </w:r>
            <w:r>
              <w:rPr>
                <w:rFonts w:hint="eastAsia" w:ascii="Times New Roman" w:hAnsi="Times New Roman" w:eastAsia="宋体" w:cs="Times New Roman"/>
                <w:b/>
                <w:bCs/>
                <w:color w:val="auto"/>
                <w:spacing w:val="0"/>
                <w:position w:val="0"/>
                <w:sz w:val="24"/>
                <w:szCs w:val="24"/>
                <w:highlight w:val="none"/>
                <w:lang w:val="en-US" w:eastAsia="zh-CN"/>
              </w:rPr>
              <w:t>参数一览表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775"/>
              <w:gridCol w:w="735"/>
              <w:gridCol w:w="737"/>
              <w:gridCol w:w="653"/>
              <w:gridCol w:w="697"/>
              <w:gridCol w:w="861"/>
              <w:gridCol w:w="737"/>
              <w:gridCol w:w="737"/>
              <w:gridCol w:w="815"/>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废气来源及名称</w:t>
                  </w:r>
                </w:p>
              </w:tc>
              <w:tc>
                <w:tcPr>
                  <w:tcW w:w="77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污染物</w:t>
                  </w:r>
                </w:p>
              </w:tc>
              <w:tc>
                <w:tcPr>
                  <w:tcW w:w="73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燃料消耗量（t/钻井期）</w:t>
                  </w:r>
                </w:p>
              </w:tc>
              <w:tc>
                <w:tcPr>
                  <w:tcW w:w="139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治理措施</w:t>
                  </w:r>
                </w:p>
              </w:tc>
              <w:tc>
                <w:tcPr>
                  <w:tcW w:w="3847" w:type="dxa"/>
                  <w:gridSpan w:val="5"/>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排放情况</w:t>
                  </w:r>
                </w:p>
              </w:tc>
              <w:tc>
                <w:tcPr>
                  <w:tcW w:w="661"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运行时间（h）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7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工艺</w:t>
                  </w: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效率（%）</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核算方法</w:t>
                  </w:r>
                </w:p>
              </w:tc>
              <w:tc>
                <w:tcPr>
                  <w:tcW w:w="86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烟气量（</w:t>
                  </w:r>
                  <w:r>
                    <w:rPr>
                      <w:rFonts w:hint="default" w:ascii="Times New Roman" w:hAnsi="Times New Roman" w:eastAsia="宋体" w:cs="Times New Roman"/>
                      <w:color w:val="auto"/>
                      <w:spacing w:val="0"/>
                      <w:position w:val="0"/>
                      <w:sz w:val="21"/>
                      <w:szCs w:val="21"/>
                      <w:highlight w:val="none"/>
                    </w:rPr>
                    <w:t>Nm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rPr>
                    <w:t>/h</w:t>
                  </w:r>
                  <w:r>
                    <w:rPr>
                      <w:rFonts w:hint="default" w:ascii="Times New Roman" w:hAnsi="Times New Roman" w:eastAsia="宋体" w:cs="Times New Roman"/>
                      <w:color w:val="auto"/>
                      <w:spacing w:val="0"/>
                      <w:position w:val="0"/>
                      <w:sz w:val="21"/>
                      <w:szCs w:val="21"/>
                      <w:highlight w:val="none"/>
                      <w:lang w:eastAsia="zh-CN"/>
                    </w:rPr>
                    <w:t>）</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浓度（</w:t>
                  </w:r>
                  <w:r>
                    <w:rPr>
                      <w:rFonts w:hint="default" w:ascii="Times New Roman" w:hAnsi="Times New Roman" w:eastAsia="宋体" w:cs="Times New Roman"/>
                      <w:color w:val="auto"/>
                      <w:spacing w:val="0"/>
                      <w:position w:val="0"/>
                      <w:sz w:val="21"/>
                      <w:szCs w:val="21"/>
                      <w:highlight w:val="none"/>
                    </w:rPr>
                    <w:t>mg/m</w:t>
                  </w:r>
                  <w:r>
                    <w:rPr>
                      <w:rFonts w:hint="default" w:ascii="Times New Roman" w:hAnsi="Times New Roman" w:eastAsia="宋体" w:cs="Times New Roman"/>
                      <w:color w:val="auto"/>
                      <w:spacing w:val="0"/>
                      <w:position w:val="0"/>
                      <w:sz w:val="21"/>
                      <w:szCs w:val="21"/>
                      <w:highlight w:val="none"/>
                      <w:vertAlign w:val="superscript"/>
                    </w:rPr>
                    <w:t>3</w:t>
                  </w:r>
                  <w:r>
                    <w:rPr>
                      <w:rFonts w:hint="default" w:ascii="Times New Roman" w:hAnsi="Times New Roman" w:eastAsia="宋体" w:cs="Times New Roman"/>
                      <w:color w:val="auto"/>
                      <w:spacing w:val="0"/>
                      <w:position w:val="0"/>
                      <w:sz w:val="21"/>
                      <w:szCs w:val="21"/>
                      <w:highlight w:val="none"/>
                      <w:vertAlign w:val="baseline"/>
                      <w:lang w:eastAsia="zh-CN"/>
                    </w:rPr>
                    <w:t>）</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速率（</w:t>
                  </w:r>
                  <w:r>
                    <w:rPr>
                      <w:rFonts w:hint="default" w:ascii="Times New Roman" w:hAnsi="Times New Roman" w:eastAsia="宋体" w:cs="Times New Roman"/>
                      <w:color w:val="auto"/>
                      <w:spacing w:val="0"/>
                      <w:position w:val="0"/>
                      <w:sz w:val="21"/>
                      <w:szCs w:val="21"/>
                      <w:highlight w:val="none"/>
                    </w:rPr>
                    <w:t>kg/h</w:t>
                  </w:r>
                  <w:r>
                    <w:rPr>
                      <w:rFonts w:hint="default" w:ascii="Times New Roman" w:hAnsi="Times New Roman" w:eastAsia="宋体" w:cs="Times New Roman"/>
                      <w:color w:val="auto"/>
                      <w:spacing w:val="0"/>
                      <w:position w:val="0"/>
                      <w:sz w:val="21"/>
                      <w:szCs w:val="21"/>
                      <w:highlight w:val="none"/>
                      <w:lang w:eastAsia="zh-CN"/>
                    </w:rPr>
                    <w:t>）</w:t>
                  </w:r>
                </w:p>
              </w:tc>
              <w:tc>
                <w:tcPr>
                  <w:tcW w:w="81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kern w:val="2"/>
                      <w:position w:val="0"/>
                      <w:sz w:val="21"/>
                      <w:szCs w:val="21"/>
                      <w:highlight w:val="none"/>
                      <w:vertAlign w:val="baseline"/>
                      <w:lang w:val="en-US" w:eastAsia="zh-CN" w:bidi="ar-SA"/>
                    </w:rPr>
                  </w:pPr>
                  <w:r>
                    <w:rPr>
                      <w:rFonts w:hint="default" w:ascii="Times New Roman" w:hAnsi="Times New Roman" w:eastAsia="宋体" w:cs="Times New Roman"/>
                      <w:color w:val="auto"/>
                      <w:spacing w:val="0"/>
                      <w:position w:val="0"/>
                      <w:sz w:val="21"/>
                      <w:szCs w:val="21"/>
                      <w:highlight w:val="none"/>
                      <w:vertAlign w:val="baseline"/>
                      <w:lang w:val="en-US" w:eastAsia="zh-CN"/>
                    </w:rPr>
                    <w:t>排放量（t/钻井期）</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锅炉烟气</w:t>
                  </w: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颗粒物</w:t>
                  </w:r>
                </w:p>
              </w:tc>
              <w:tc>
                <w:tcPr>
                  <w:tcW w:w="73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eastAsia" w:ascii="Times New Roman" w:hAnsi="Times New Roman" w:eastAsia="宋体" w:cs="Times New Roman"/>
                      <w:color w:val="auto"/>
                      <w:spacing w:val="0"/>
                      <w:position w:val="0"/>
                      <w:sz w:val="21"/>
                      <w:szCs w:val="21"/>
                      <w:highlight w:val="none"/>
                      <w:vertAlign w:val="baseline"/>
                      <w:lang w:val="en-US" w:eastAsia="zh-CN"/>
                    </w:rPr>
                    <w:t>1870</w:t>
                  </w:r>
                </w:p>
              </w:tc>
              <w:tc>
                <w:tcPr>
                  <w:tcW w:w="737"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低氮燃烧器+袋式除尘器+</w:t>
                  </w:r>
                  <w:r>
                    <w:rPr>
                      <w:rFonts w:hint="eastAsia" w:ascii="Times New Roman" w:cs="Times New Roman"/>
                      <w:color w:val="auto"/>
                      <w:spacing w:val="0"/>
                      <w:position w:val="0"/>
                      <w:sz w:val="21"/>
                      <w:szCs w:val="21"/>
                      <w:highlight w:val="none"/>
                      <w:vertAlign w:val="baseline"/>
                      <w:lang w:val="en-US" w:eastAsia="zh-CN"/>
                    </w:rPr>
                    <w:t>30</w:t>
                  </w:r>
                  <w:r>
                    <w:rPr>
                      <w:rFonts w:hint="default" w:ascii="Times New Roman" w:hAnsi="Times New Roman" w:eastAsia="宋体" w:cs="Times New Roman"/>
                      <w:color w:val="auto"/>
                      <w:spacing w:val="0"/>
                      <w:position w:val="0"/>
                      <w:sz w:val="21"/>
                      <w:szCs w:val="21"/>
                      <w:highlight w:val="none"/>
                      <w:vertAlign w:val="baseline"/>
                      <w:lang w:val="en-US" w:eastAsia="zh-CN"/>
                    </w:rPr>
                    <w:t>m高排气筒</w:t>
                  </w: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99.7</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物料衡算法</w:t>
                  </w:r>
                </w:p>
              </w:tc>
              <w:tc>
                <w:tcPr>
                  <w:tcW w:w="861"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330</w:t>
                  </w:r>
                  <w:r>
                    <w:rPr>
                      <w:rFonts w:hint="eastAsia" w:ascii="Times New Roman" w:hAnsi="Times New Roman" w:eastAsia="宋体" w:cs="Times New Roman"/>
                      <w:color w:val="auto"/>
                      <w:spacing w:val="0"/>
                      <w:position w:val="0"/>
                      <w:sz w:val="21"/>
                      <w:szCs w:val="21"/>
                      <w:highlight w:val="none"/>
                      <w:vertAlign w:val="baseline"/>
                      <w:lang w:val="en-US" w:eastAsia="zh-CN"/>
                    </w:rPr>
                    <w:t>0</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17.</w:t>
                  </w:r>
                  <w:r>
                    <w:rPr>
                      <w:rFonts w:hint="eastAsia" w:ascii="Times New Roman" w:hAnsi="Times New Roman" w:eastAsia="宋体" w:cs="Times New Roman"/>
                      <w:color w:val="auto"/>
                      <w:spacing w:val="0"/>
                      <w:position w:val="0"/>
                      <w:sz w:val="21"/>
                      <w:szCs w:val="21"/>
                      <w:highlight w:val="none"/>
                      <w:vertAlign w:val="baseline"/>
                      <w:lang w:val="en-US" w:eastAsia="zh-CN"/>
                    </w:rPr>
                    <w:t>5</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0.058</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0.2</w:t>
                  </w:r>
                  <w:r>
                    <w:rPr>
                      <w:rFonts w:hint="eastAsia" w:ascii="Times New Roman" w:hAnsi="Times New Roman" w:eastAsia="宋体" w:cs="Times New Roman"/>
                      <w:color w:val="auto"/>
                      <w:spacing w:val="0"/>
                      <w:position w:val="0"/>
                      <w:sz w:val="21"/>
                      <w:szCs w:val="21"/>
                      <w:highlight w:val="none"/>
                      <w:vertAlign w:val="baseline"/>
                      <w:lang w:val="en-US" w:eastAsia="zh-CN"/>
                    </w:rPr>
                    <w:t>22</w:t>
                  </w:r>
                </w:p>
              </w:tc>
              <w:tc>
                <w:tcPr>
                  <w:tcW w:w="661"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eastAsia" w:ascii="Times New Roman" w:hAnsi="Times New Roman" w:eastAsia="宋体" w:cs="Times New Roman"/>
                      <w:color w:val="auto"/>
                      <w:spacing w:val="0"/>
                      <w:position w:val="0"/>
                      <w:sz w:val="21"/>
                      <w:szCs w:val="21"/>
                      <w:highlight w:val="none"/>
                      <w:vertAlign w:val="baseline"/>
                      <w:lang w:val="en-US" w:eastAsia="zh-CN"/>
                    </w:rPr>
                    <w:t>3840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二氧化硫</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物料衡算法</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eastAsia" w:ascii="Times New Roman" w:hAnsi="Times New Roman" w:eastAsia="宋体" w:cs="Times New Roman"/>
                      <w:color w:val="auto"/>
                      <w:spacing w:val="0"/>
                      <w:position w:val="0"/>
                      <w:sz w:val="21"/>
                      <w:szCs w:val="21"/>
                      <w:highlight w:val="none"/>
                      <w:vertAlign w:val="baseline"/>
                      <w:lang w:val="en-US" w:eastAsia="zh-CN"/>
                    </w:rPr>
                    <w:t>21.0</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0.0</w:t>
                  </w:r>
                  <w:r>
                    <w:rPr>
                      <w:rFonts w:hint="eastAsia" w:ascii="Times New Roman" w:hAnsi="Times New Roman" w:eastAsia="宋体" w:cs="Times New Roman"/>
                      <w:color w:val="auto"/>
                      <w:spacing w:val="0"/>
                      <w:position w:val="0"/>
                      <w:sz w:val="21"/>
                      <w:szCs w:val="21"/>
                      <w:highlight w:val="none"/>
                      <w:vertAlign w:val="baseline"/>
                      <w:lang w:val="en-US" w:eastAsia="zh-CN"/>
                    </w:rPr>
                    <w:t>7</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0.2</w:t>
                  </w:r>
                  <w:r>
                    <w:rPr>
                      <w:rFonts w:hint="eastAsia" w:ascii="Times New Roman" w:hAnsi="Times New Roman" w:eastAsia="宋体" w:cs="Times New Roman"/>
                      <w:color w:val="auto"/>
                      <w:spacing w:val="0"/>
                      <w:position w:val="0"/>
                      <w:sz w:val="21"/>
                      <w:szCs w:val="21"/>
                      <w:highlight w:val="none"/>
                      <w:vertAlign w:val="baseline"/>
                      <w:lang w:val="en-US" w:eastAsia="zh-CN"/>
                    </w:rPr>
                    <w:t>66</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氮氧化物</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30</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产污系数法</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99.</w:t>
                  </w:r>
                  <w:r>
                    <w:rPr>
                      <w:rFonts w:hint="eastAsia" w:ascii="Times New Roman" w:hAnsi="Times New Roman" w:eastAsia="宋体" w:cs="Times New Roman"/>
                      <w:color w:val="auto"/>
                      <w:spacing w:val="0"/>
                      <w:position w:val="0"/>
                      <w:sz w:val="21"/>
                      <w:szCs w:val="21"/>
                      <w:highlight w:val="none"/>
                      <w:vertAlign w:val="baseline"/>
                      <w:lang w:val="en-US" w:eastAsia="zh-CN"/>
                    </w:rPr>
                    <w:t>2</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0.3</w:t>
                  </w:r>
                  <w:r>
                    <w:rPr>
                      <w:rFonts w:hint="eastAsia" w:ascii="Times New Roman" w:hAnsi="Times New Roman" w:eastAsia="宋体" w:cs="Times New Roman"/>
                      <w:color w:val="auto"/>
                      <w:spacing w:val="0"/>
                      <w:position w:val="0"/>
                      <w:sz w:val="21"/>
                      <w:szCs w:val="21"/>
                      <w:highlight w:val="none"/>
                      <w:vertAlign w:val="baseline"/>
                      <w:lang w:val="en-US" w:eastAsia="zh-CN"/>
                    </w:rPr>
                    <w:t>3</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1.</w:t>
                  </w:r>
                  <w:r>
                    <w:rPr>
                      <w:rFonts w:hint="eastAsia" w:ascii="Times New Roman" w:hAnsi="Times New Roman" w:eastAsia="宋体" w:cs="Times New Roman"/>
                      <w:color w:val="auto"/>
                      <w:spacing w:val="0"/>
                      <w:position w:val="0"/>
                      <w:sz w:val="21"/>
                      <w:szCs w:val="21"/>
                      <w:highlight w:val="none"/>
                      <w:vertAlign w:val="baseline"/>
                      <w:lang w:val="en-US" w:eastAsia="zh-CN"/>
                    </w:rPr>
                    <w:t>26</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烟气黑度</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&lt;1</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汞及其化合物</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11"/>
                      <w:sz w:val="21"/>
                      <w:szCs w:val="21"/>
                      <w:lang w:val="en-US" w:eastAsia="zh-CN"/>
                    </w:rPr>
                  </w:pPr>
                  <w:r>
                    <w:rPr>
                      <w:rFonts w:hint="default" w:ascii="Times New Roman" w:hAnsi="Times New Roman" w:eastAsia="宋体" w:cs="Times New Roman"/>
                      <w:color w:val="auto"/>
                      <w:spacing w:val="-11"/>
                      <w:sz w:val="21"/>
                      <w:szCs w:val="21"/>
                      <w:lang w:val="en-US" w:eastAsia="zh-CN"/>
                    </w:rPr>
                    <w:t>--</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11"/>
                      <w:sz w:val="21"/>
                      <w:szCs w:val="21"/>
                      <w:lang w:val="en-US" w:eastAsia="zh-CN"/>
                    </w:rPr>
                  </w:pPr>
                  <w:r>
                    <w:rPr>
                      <w:rFonts w:hint="default" w:ascii="Times New Roman" w:hAnsi="Times New Roman" w:eastAsia="宋体" w:cs="Times New Roman"/>
                      <w:color w:val="auto"/>
                      <w:spacing w:val="-11"/>
                      <w:sz w:val="21"/>
                      <w:szCs w:val="21"/>
                      <w:lang w:val="en-US" w:eastAsia="zh-CN"/>
                    </w:rPr>
                    <w:t>--</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r>
          </w:tbl>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position w:val="0"/>
                <w:sz w:val="24"/>
                <w:szCs w:val="24"/>
                <w:highlight w:val="none"/>
              </w:rPr>
              <w:t>钻井结束后生物质锅炉随井队搬迁，从影响范围和程度来看，生物质锅炉对周围大气环境的影响是有限的</w:t>
            </w:r>
            <w:r>
              <w:rPr>
                <w:rFonts w:hint="eastAsia" w:ascii="Times New Roman" w:eastAsia="宋体" w:cs="Times New Roman"/>
                <w:color w:val="auto"/>
                <w:spacing w:val="0"/>
                <w:position w:val="0"/>
                <w:sz w:val="24"/>
                <w:szCs w:val="24"/>
                <w:highlight w:val="none"/>
                <w:lang w:eastAsia="zh-CN"/>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井场、生活区、道路施工废气进行土方施工、物料运输、场地建设，该过程中将产生一定的施工扬尘。主要来自施工和运输产生的粉尘、车辆运输二次扬尘以及地面物料堆放时的遇风扬尘，施工扬尘的产生及影响程度跟施工季节、施工管理和风力等气候因素有一定关系，如遇干旱大风天气扬尘影响则较为严重。</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（5）机械设备和车辆尾气</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在工程施工中使用多种燃油机动设备和运输车辆，会产生机械设备和车辆内燃机燃料废气，其污染物主要有颗粒物、SO</w:t>
            </w:r>
            <w:r>
              <w:rPr>
                <w:rFonts w:hint="default" w:ascii="Times New Roman" w:hAnsi="Times New Roman" w:eastAsia="宋体" w:cs="Times New Roman"/>
                <w:color w:val="auto"/>
                <w:kern w:val="2"/>
                <w:sz w:val="24"/>
                <w:szCs w:val="24"/>
                <w:highlight w:val="none"/>
                <w:vertAlign w:val="subscript"/>
                <w:lang w:val="en-US" w:eastAsia="zh-CN"/>
              </w:rPr>
              <w:t>2</w:t>
            </w:r>
            <w:r>
              <w:rPr>
                <w:rFonts w:hint="default" w:ascii="Times New Roman" w:hAnsi="Times New Roman" w:eastAsia="宋体" w:cs="Times New Roman"/>
                <w:color w:val="auto"/>
                <w:kern w:val="2"/>
                <w:sz w:val="24"/>
                <w:szCs w:val="24"/>
                <w:highlight w:val="none"/>
                <w:lang w:val="en-US" w:eastAsia="zh-CN"/>
              </w:rPr>
              <w:t>、NO</w:t>
            </w:r>
            <w:r>
              <w:rPr>
                <w:rFonts w:hint="default" w:ascii="Times New Roman" w:hAnsi="Times New Roman" w:eastAsia="宋体" w:cs="Times New Roman"/>
                <w:color w:val="auto"/>
                <w:kern w:val="2"/>
                <w:sz w:val="24"/>
                <w:szCs w:val="24"/>
                <w:highlight w:val="none"/>
                <w:vertAlign w:val="subscript"/>
                <w:lang w:val="en-US" w:eastAsia="zh-CN"/>
              </w:rPr>
              <w:t>x</w:t>
            </w:r>
            <w:r>
              <w:rPr>
                <w:rFonts w:hint="default" w:ascii="Times New Roman" w:hAnsi="Times New Roman" w:eastAsia="宋体" w:cs="Times New Roman"/>
                <w:color w:val="auto"/>
                <w:kern w:val="2"/>
                <w:sz w:val="24"/>
                <w:szCs w:val="24"/>
                <w:highlight w:val="none"/>
                <w:lang w:val="en-US" w:eastAsia="zh-CN"/>
              </w:rPr>
              <w:t>、烃类等。</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（6）环境影响分析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由现场踏勘可知，工程施工活动范围周边无环境敏感点，且区域开阔，废气污染物气相扩散条件好。施工前期准备过程中应检修设备和车辆，保证设备正常稳定运行，燃用合格的燃料，设备和车辆不超负荷运行，从而从源头减少设备和车辆废气对环境的影响。</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因此，施工扬尘、测试废气、锅炉烟气、机械设备车辆尾气等不会对区域环境空气产生明显影响，且这种影响是局部的、短期的，工程建设完成之后影响就会消失。</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3、地表水环境影响分析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工程钻井过程中产生的废水有钻井废水、酸化压裂返排液、锅炉排污水和生活污水。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（1）钻井废水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根据《排放源统计调查产排污核算方法和系数手册》中石油和天然气开采专业及辅助性活动行业系数手册钻井作业废水（≥4km）产污系数52.64t/100m。项目井深为</w:t>
            </w:r>
            <w:r>
              <w:rPr>
                <w:rFonts w:hint="eastAsia" w:ascii="Times New Roman" w:eastAsia="宋体" w:cs="Times New Roman"/>
                <w:color w:val="auto"/>
                <w:kern w:val="2"/>
                <w:sz w:val="24"/>
                <w:szCs w:val="24"/>
                <w:highlight w:val="none"/>
                <w:lang w:val="en-US" w:eastAsia="zh-CN"/>
              </w:rPr>
              <w:t>8650</w:t>
            </w:r>
            <w:r>
              <w:rPr>
                <w:rFonts w:hint="default" w:ascii="Times New Roman" w:hAnsi="Times New Roman" w:eastAsia="宋体" w:cs="Times New Roman"/>
                <w:color w:val="auto"/>
                <w:kern w:val="2"/>
                <w:sz w:val="24"/>
                <w:szCs w:val="24"/>
                <w:highlight w:val="none"/>
                <w:lang w:val="en-US" w:eastAsia="zh-CN"/>
              </w:rPr>
              <w:t>m，则钻井废水</w:t>
            </w:r>
            <w:r>
              <w:rPr>
                <w:rFonts w:hint="default" w:ascii="Times New Roman" w:hAnsi="Times New Roman" w:eastAsia="宋体" w:cs="Times New Roman"/>
                <w:color w:val="auto"/>
                <w:sz w:val="24"/>
                <w:szCs w:val="21"/>
                <w:highlight w:val="none"/>
              </w:rPr>
              <w:t>产生量为</w:t>
            </w:r>
            <w:r>
              <w:rPr>
                <w:rFonts w:hint="eastAsia" w:ascii="Times New Roman" w:eastAsia="宋体" w:cs="Times New Roman"/>
                <w:bCs/>
                <w:color w:val="auto"/>
                <w:sz w:val="24"/>
                <w:highlight w:val="none"/>
                <w:lang w:val="en-US" w:eastAsia="zh-CN"/>
              </w:rPr>
              <w:t>4553</w:t>
            </w:r>
            <w:r>
              <w:rPr>
                <w:rFonts w:hint="default" w:ascii="Times New Roman" w:hAnsi="Times New Roman" w:eastAsia="宋体" w:cs="Times New Roman"/>
                <w:color w:val="auto"/>
                <w:sz w:val="24"/>
                <w:szCs w:val="21"/>
                <w:highlight w:val="none"/>
              </w:rPr>
              <w:t>t</w:t>
            </w:r>
            <w:r>
              <w:rPr>
                <w:rFonts w:hint="default" w:ascii="Times New Roman" w:hAnsi="Times New Roman" w:eastAsia="宋体" w:cs="Times New Roman"/>
                <w:color w:val="auto"/>
                <w:sz w:val="24"/>
                <w:szCs w:val="21"/>
                <w:highlight w:val="none"/>
                <w:lang w:val="en-US" w:eastAsia="zh-CN"/>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钻井废水与钻井泥浆、岩屑一同进入不落地系统处理，处理后的液相全部回用于钻井液配制，不外排。</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（2）酸化压裂返排液</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szCs w:val="21"/>
                <w:highlight w:val="none"/>
                <w:lang w:val="en-US" w:eastAsia="zh-CN"/>
              </w:rPr>
              <w:t>本工程酸化压裂液不在现场配制，储层改造时需进行酸化压裂作业时，可采用罐车将酸化压裂液直接运至作业区域。</w:t>
            </w:r>
            <w:r>
              <w:rPr>
                <w:rFonts w:hint="default" w:ascii="Times New Roman" w:hAnsi="Times New Roman" w:eastAsia="宋体" w:cs="Times New Roman"/>
                <w:color w:val="auto"/>
                <w:kern w:val="2"/>
                <w:sz w:val="24"/>
                <w:szCs w:val="24"/>
                <w:highlight w:val="none"/>
                <w:lang w:val="en-US" w:eastAsia="zh-CN" w:bidi="ar-SA"/>
              </w:rPr>
              <w:t>根据类比调查，如遇含油气层则少部分（约20%）酸化压裂返排液从井口返排，如未遇含油气地层，则大部分（70%～80%）酸化压裂返排液从井口返排。根据设计单位提供的资料</w:t>
            </w:r>
            <w:r>
              <w:rPr>
                <w:rFonts w:hint="default" w:ascii="Times New Roman" w:hAnsi="Times New Roman" w:eastAsia="宋体" w:cs="Times New Roman"/>
                <w:color w:val="auto"/>
                <w:sz w:val="24"/>
                <w:szCs w:val="21"/>
                <w:highlight w:val="none"/>
                <w:lang w:val="en-US" w:eastAsia="zh-CN"/>
              </w:rPr>
              <w:t>，储层改造期间酸化压裂废水的最大产生量约为</w:t>
            </w:r>
            <w:r>
              <w:rPr>
                <w:rFonts w:hint="eastAsia" w:ascii="Times New Roman" w:eastAsia="宋体" w:cs="Times New Roman"/>
                <w:color w:val="auto"/>
                <w:sz w:val="24"/>
                <w:szCs w:val="21"/>
                <w:highlight w:val="none"/>
                <w:lang w:val="en-US" w:eastAsia="zh-CN"/>
              </w:rPr>
              <w:t>1000</w:t>
            </w:r>
            <w:r>
              <w:rPr>
                <w:rFonts w:hint="default" w:ascii="Times New Roman" w:hAnsi="Times New Roman" w:eastAsia="宋体" w:cs="Times New Roman"/>
                <w:color w:val="auto"/>
                <w:sz w:val="24"/>
                <w:szCs w:val="21"/>
                <w:highlight w:val="none"/>
                <w:lang w:val="en-US" w:eastAsia="zh-CN"/>
              </w:rPr>
              <w:t>m</w:t>
            </w:r>
            <w:r>
              <w:rPr>
                <w:rFonts w:hint="default" w:ascii="Times New Roman" w:hAnsi="Times New Roman" w:eastAsia="宋体" w:cs="Times New Roman"/>
                <w:color w:val="auto"/>
                <w:sz w:val="24"/>
                <w:szCs w:val="21"/>
                <w:highlight w:val="none"/>
                <w:vertAlign w:val="superscript"/>
                <w:lang w:val="en-US" w:eastAsia="zh-CN"/>
              </w:rPr>
              <w:t>3</w:t>
            </w:r>
            <w:r>
              <w:rPr>
                <w:rFonts w:hint="default" w:ascii="Times New Roman" w:hAnsi="Times New Roman" w:eastAsia="宋体" w:cs="Times New Roman"/>
                <w:color w:val="auto"/>
                <w:kern w:val="2"/>
                <w:sz w:val="24"/>
                <w:szCs w:val="24"/>
                <w:highlight w:val="none"/>
                <w:lang w:val="en-US" w:eastAsia="zh-CN"/>
              </w:rPr>
              <w:t>，在井场加碱中和后，暂存于废液收集罐，运至富源7环保处理站处置。</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（3）锅炉排污水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拟建工程锅炉排污水水量为0.3m</w:t>
            </w:r>
            <w:r>
              <w:rPr>
                <w:rFonts w:hint="default" w:ascii="Times New Roman" w:hAnsi="Times New Roman" w:eastAsia="宋体" w:cs="Times New Roman"/>
                <w:color w:val="auto"/>
                <w:kern w:val="2"/>
                <w:sz w:val="24"/>
                <w:szCs w:val="24"/>
                <w:highlight w:val="none"/>
                <w:vertAlign w:val="superscript"/>
                <w:lang w:val="en-US" w:eastAsia="zh-CN"/>
              </w:rPr>
              <w:t>3</w:t>
            </w:r>
            <w:r>
              <w:rPr>
                <w:rFonts w:hint="default" w:ascii="Times New Roman" w:hAnsi="Times New Roman" w:eastAsia="宋体" w:cs="Times New Roman"/>
                <w:color w:val="auto"/>
                <w:kern w:val="2"/>
                <w:sz w:val="24"/>
                <w:szCs w:val="24"/>
                <w:highlight w:val="none"/>
                <w:lang w:val="en-US" w:eastAsia="zh-CN"/>
              </w:rPr>
              <w:t>/d，水质简单，污染物主要为SS、COD及含盐量，用于井区周边洒水抑尘。</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（4）生活污水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pacing w:val="0"/>
                <w:kern w:val="2"/>
                <w:sz w:val="24"/>
                <w:szCs w:val="24"/>
              </w:rPr>
              <w:t>施工期常驻井场人员按60人计，施工总天数</w:t>
            </w:r>
            <w:r>
              <w:rPr>
                <w:rFonts w:hint="eastAsia" w:ascii="Times New Roman" w:eastAsia="宋体" w:cs="Times New Roman"/>
                <w:color w:val="auto"/>
                <w:spacing w:val="0"/>
                <w:kern w:val="2"/>
                <w:sz w:val="24"/>
                <w:szCs w:val="24"/>
                <w:lang w:eastAsia="zh-CN"/>
              </w:rPr>
              <w:t>180</w:t>
            </w:r>
            <w:r>
              <w:rPr>
                <w:rFonts w:hint="default" w:ascii="Times New Roman" w:hAnsi="Times New Roman" w:eastAsia="宋体" w:cs="Times New Roman"/>
                <w:color w:val="auto"/>
                <w:spacing w:val="0"/>
                <w:kern w:val="2"/>
                <w:sz w:val="24"/>
                <w:szCs w:val="24"/>
              </w:rPr>
              <w:t>d，按生活用水量100L/d·人计，生活用水量约</w:t>
            </w:r>
            <w:r>
              <w:rPr>
                <w:rFonts w:hint="eastAsia" w:ascii="Times New Roman" w:eastAsia="宋体" w:cs="Times New Roman"/>
                <w:color w:val="auto"/>
                <w:spacing w:val="0"/>
                <w:kern w:val="2"/>
                <w:sz w:val="24"/>
                <w:szCs w:val="24"/>
                <w:lang w:eastAsia="zh-CN"/>
              </w:rPr>
              <w:t>1080</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6m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/d</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。生活污水产生量按用水量80%计，生活污水产生量为</w:t>
            </w:r>
            <w:r>
              <w:rPr>
                <w:rFonts w:hint="eastAsia" w:ascii="Times New Roman" w:eastAsia="宋体" w:cs="Times New Roman"/>
                <w:color w:val="auto"/>
                <w:spacing w:val="0"/>
                <w:kern w:val="2"/>
                <w:sz w:val="24"/>
                <w:szCs w:val="24"/>
                <w:lang w:eastAsia="zh-CN"/>
              </w:rPr>
              <w:t>864</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eastAsia" w:asci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4.8m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/d</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，经井场撬装式污水处理装置处理后，水质达到《农村生活污水处理排放标准》（DB65 4275-2019）表2的B级标准，用于荒漠生态恢复。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4、地下水环境影响分析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本项目钻井目的层穿过地下水含水层，且钻井过程中使用泥浆、钻井液等特点，为保护地下水，本评价对地下水环境影响分析并提出减缓措施。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施工钻井过程中泥浆循环使用，可避免对地下水水质影响，施工过程采用下套管注水泥固井完井方式进行了水泥固井，同时严格要求套管下入深度，可有效控制钻井液在地层中的漏失，减轻对地层的影响。工程在施工过程中产生废水不与当地水体发生水力联系，同时对产生的废水进行严格管理并采取相应地下水环境保护措施与对策。</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非正常状况下如发生井喷等事故时，放喷池防渗层出现裂缝，暂存岩屑和暂存井喷液中污染物对地下水环境造成污染。本项目采取“钢板池”阻隔，通过类比分析可知非正常状况下可见污染物的污染范围可以控制井场范围内，柴油罐采用定期巡检及下设托盘可防止泄漏污染土壤及地下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（1）落地油对地下水环境的影响</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过程中产生的落地原油及时回收，不会对地下水环境产生不良影响。根据油田环境保护的要求，对落地油必须进行100%的回收。本工程地处干旱少雨地区，地表干燥，落地原油主要污染表层土壤。由于土壤对石油分子的吸附作用，下渗对地下水影响可接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（2）井喷事故对地下水的影响</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井喷事故一旦发生，大量的油气喷出井口，散落于井场周围，除造成重大经济损失外，还会造成严重的环境污染。根据测算，井喷发生后，一般需要1～2天才能得以控制。井喷范围内土壤表层可见有蜡状的喷散物，主要影响形式为渗透污染，通过包气带渗透到潜水含水层而污染地下水的。包气带厚度愈薄，透水性愈好，就愈造成潜水污染，反之，包气带愈厚、透水性愈差，则其隔污能力就愈强，则潜水污染就愈轻。泄漏产生的污染物以点源形式通过土壤表层下渗进入地下含水层。因而泄漏事故对地下水环境的影响程度主要取决于原油的物理性质、泄漏量、泄漏方式、多孔介质特征及地下水位埋深等因素。污染物进入地下后，污染物向地下水系统的迁移途径为：入渗污染物→表土层→包气带→含水层→迁移。</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由于各种土壤的不同土层对石油类均有吸附能力，石油类污染物主要集中在表层，随着时间的推移，包气带土壤对石油类物质的吸附将趋向饱和，吸附能力将逐渐降低。一般来讲，土壤表层0～20cm的滞留石油类物质的含量至少是下层（1m以下）石油类物质含量的35倍；且石油类多在地表1m以内积聚，1m以下土壤中含油量甚少。由于泄漏事故为短期大量排放，污染物的泄漏以地表扩展为主，一般能及时发现，并可很快加以控制，石油烃多属疏水性有机污染物，难溶于水而容易被土壤有机质吸附，当土壤中有机质含量较高时，石油烃等污染物在其中迁移的阻滞作用较强，迁移及衰减速度较慢，其影响范围不大，对地下水环境不易产生不利影响。且一旦发生泄漏，建设单位及当地环境保护部门会组织专门力量进行污染物的清除工作，将在最短的时间内清除地面及地下的石油类物质，因而，石油类污染物进入地下潜水的可能性较小。若及时采取有效措施治理污染，井喷不会造成地下水污染。</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（3）油水窜层对地下水的影响分析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钻井完井后油水窜层污染（包括生产井的窜层）的主要原因是：固井质量差；工艺措施不合理或未实施。因此，为预防污染的发生和污染源的形成，表层套管必须严格封闭含水层，固井质量应符合环保要求。</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（4）井漏事故的泥浆对地下水的影响</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井漏事故对地下水的污染是钻井泥浆漏失于地下水含水层中，由于其含Ca</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lang w:val="en-US" w:eastAsia="zh-CN"/>
              </w:rPr>
              <w:t>、Na</w:t>
            </w:r>
            <w:r>
              <w:rPr>
                <w:rFonts w:hint="default" w:ascii="Times New Roman" w:hAnsi="Times New Roman" w:eastAsia="宋体" w:cs="Times New Roman"/>
                <w:color w:val="auto"/>
                <w:kern w:val="2"/>
                <w:sz w:val="24"/>
                <w:szCs w:val="24"/>
                <w:highlight w:val="none"/>
                <w:vertAlign w:val="superscript"/>
                <w:lang w:val="en-US" w:eastAsia="zh-CN"/>
              </w:rPr>
              <w:t>+</w:t>
            </w:r>
            <w:r>
              <w:rPr>
                <w:rFonts w:hint="default" w:ascii="Times New Roman" w:hAnsi="Times New Roman" w:eastAsia="宋体" w:cs="Times New Roman"/>
                <w:color w:val="auto"/>
                <w:kern w:val="2"/>
                <w:sz w:val="24"/>
                <w:szCs w:val="24"/>
                <w:highlight w:val="none"/>
                <w:lang w:val="en-US" w:eastAsia="zh-CN"/>
              </w:rPr>
              <w:t>等离子，盐分较多，造成地下含水层水质污染。因此，推广使用清洁无害的泥浆，严格控制使用有毒有害泥浆及化学处理剂，同时严格要求套管下入深度、选用合理的钻井液密度等措施，可以有效控制钻井液在含水层中的漏失，减轻对地下水环境的影响。</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正常情况下，污染源从源头上可以得到控制，对地下水环境产生的影响可接受；非正常情况下，如发生井喷等事故时，启动相关应急预案，及时采取井控措施，首先利用放喷池等设施作为一级污染防控措施，避免固废及废水直接排入外环境，渗入地下污染地下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5、施工噪声影响分析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b w:val="0"/>
                <w:bCs/>
                <w:color w:val="auto"/>
                <w:sz w:val="24"/>
                <w:szCs w:val="20"/>
                <w:highlight w:val="none"/>
              </w:rPr>
              <w:t>（1）噪声源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噪声主要为柴油发电机噪声、钻机噪声、泥浆泵噪声、压裂车噪声、锅炉风机噪声等。对环境影响大的主要为钻井过程中柴油发电机噪声、钻机噪声、泥浆泵噪声、压裂车噪声、泥浆不落地系统噪声、固液分离器噪声等连续性噪声。</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参照《环境噪声与振动控制工程技术导则》（HJ 2034-2013）中表A.2，本项目拟采用的各类施工设备产噪值见</w:t>
            </w:r>
            <w:r>
              <w:rPr>
                <w:rFonts w:hint="eastAsia" w:ascii="Times New Roman" w:eastAsia="宋体" w:cs="Times New Roman"/>
                <w:color w:val="auto"/>
                <w:kern w:val="2"/>
                <w:sz w:val="24"/>
                <w:szCs w:val="24"/>
                <w:highlight w:val="none"/>
                <w:lang w:val="en-US" w:eastAsia="zh-CN"/>
              </w:rPr>
              <w:t>下表</w:t>
            </w:r>
            <w:r>
              <w:rPr>
                <w:rFonts w:hint="default" w:ascii="Times New Roman" w:hAnsi="Times New Roman" w:eastAsia="宋体" w:cs="Times New Roman"/>
                <w:color w:val="auto"/>
                <w:kern w:val="2"/>
                <w:sz w:val="24"/>
                <w:szCs w:val="24"/>
                <w:highlight w:val="none"/>
                <w:lang w:val="en-US" w:eastAsia="zh-CN"/>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钻井期噪声源强调查清单（室外声源）   单位：dB</w:t>
            </w:r>
            <w:r>
              <w:rPr>
                <w:rFonts w:hint="eastAsia" w:ascii="Times New Roman"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lang w:val="en-US" w:eastAsia="zh-CN"/>
              </w:rPr>
              <w:t>A</w:t>
            </w:r>
            <w:r>
              <w:rPr>
                <w:rFonts w:hint="eastAsia" w:ascii="Times New Roman" w:cs="Times New Roman"/>
                <w:b/>
                <w:bCs/>
                <w:color w:val="auto"/>
                <w:sz w:val="24"/>
                <w:highlight w:val="none"/>
                <w:lang w:val="en-US" w:eastAsia="zh-CN"/>
              </w:rPr>
              <w:t>）</w:t>
            </w:r>
          </w:p>
          <w:tbl>
            <w:tblPr>
              <w:tblStyle w:val="32"/>
              <w:tblW w:w="491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0"/>
              <w:gridCol w:w="1121"/>
              <w:gridCol w:w="735"/>
              <w:gridCol w:w="653"/>
              <w:gridCol w:w="590"/>
              <w:gridCol w:w="543"/>
              <w:gridCol w:w="1385"/>
              <w:gridCol w:w="746"/>
              <w:gridCol w:w="1021"/>
              <w:gridCol w:w="7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5" w:hRule="atLeast"/>
                <w:jc w:val="center"/>
              </w:trPr>
              <w:tc>
                <w:tcPr>
                  <w:tcW w:w="282"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703"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声源</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名称</w:t>
                  </w:r>
                </w:p>
              </w:tc>
              <w:tc>
                <w:tcPr>
                  <w:tcW w:w="461"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型号</w:t>
                  </w:r>
                </w:p>
              </w:tc>
              <w:tc>
                <w:tcPr>
                  <w:tcW w:w="1121" w:type="pct"/>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空间相对位置/m</w:t>
                  </w:r>
                </w:p>
              </w:tc>
              <w:tc>
                <w:tcPr>
                  <w:tcW w:w="869"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声压级/距离〔dB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/m〕</w:t>
                  </w:r>
                </w:p>
              </w:tc>
              <w:tc>
                <w:tcPr>
                  <w:tcW w:w="468"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声源控制措施</w:t>
                  </w:r>
                </w:p>
              </w:tc>
              <w:tc>
                <w:tcPr>
                  <w:tcW w:w="641" w:type="pct"/>
                  <w:vMerge w:val="restar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治理后声源源强dB</w:t>
                  </w:r>
                  <w:r>
                    <w:rPr>
                      <w:rFonts w:hint="eastAsia" w:ascii="Times New Roman" w:cs="Times New Roman"/>
                      <w:color w:val="auto"/>
                      <w:sz w:val="21"/>
                      <w:szCs w:val="21"/>
                      <w:lang w:eastAsia="zh-CN"/>
                    </w:rPr>
                    <w:t>（</w:t>
                  </w:r>
                  <w:r>
                    <w:rPr>
                      <w:rFonts w:hint="default" w:ascii="Times New Roman" w:hAnsi="Times New Roman" w:eastAsia="宋体" w:cs="Times New Roman"/>
                      <w:color w:val="auto"/>
                      <w:sz w:val="21"/>
                      <w:szCs w:val="21"/>
                    </w:rPr>
                    <w:t>A</w:t>
                  </w:r>
                  <w:r>
                    <w:rPr>
                      <w:rFonts w:hint="eastAsia" w:ascii="Times New Roman" w:cs="Times New Roman"/>
                      <w:color w:val="auto"/>
                      <w:sz w:val="21"/>
                      <w:szCs w:val="21"/>
                      <w:lang w:eastAsia="zh-CN"/>
                    </w:rPr>
                    <w:t>）</w:t>
                  </w:r>
                </w:p>
              </w:tc>
              <w:tc>
                <w:tcPr>
                  <w:tcW w:w="451"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运行</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时段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703"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61"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X</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Y</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Z</w:t>
                  </w:r>
                </w:p>
              </w:tc>
              <w:tc>
                <w:tcPr>
                  <w:tcW w:w="869"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41"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51"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柴油发电机</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57</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80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102/5</w:t>
                  </w:r>
                </w:p>
              </w:tc>
              <w:tc>
                <w:tcPr>
                  <w:tcW w:w="468" w:type="pct"/>
                  <w:vMerge w:val="restart"/>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lang w:val="zh-CN"/>
                    </w:rPr>
                    <w:t>基础</w:t>
                  </w:r>
                </w:p>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zh-CN" w:eastAsia="zh-CN" w:bidi="ar-SA"/>
                    </w:rPr>
                  </w:pPr>
                  <w:r>
                    <w:rPr>
                      <w:rFonts w:hint="default" w:ascii="Times New Roman" w:hAnsi="Times New Roman" w:eastAsia="宋体" w:cs="Times New Roman"/>
                      <w:color w:val="auto"/>
                      <w:spacing w:val="-10"/>
                      <w:sz w:val="21"/>
                      <w:szCs w:val="21"/>
                      <w:highlight w:val="none"/>
                      <w:lang w:val="zh-CN"/>
                    </w:rPr>
                    <w:t>减振</w:t>
                  </w: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92</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钻机</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bCs/>
                      <w:color w:val="auto"/>
                      <w:spacing w:val="-10"/>
                      <w:sz w:val="21"/>
                      <w:szCs w:val="21"/>
                      <w:highlight w:val="none"/>
                      <w:lang w:val="en-US" w:eastAsia="zh-CN"/>
                    </w:rPr>
                    <w:t>90D</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55</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64</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110</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100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3</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57</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56</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105</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95</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56</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105</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95</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63</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56</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105/</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95</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压裂车</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55</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110/5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100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泥浆不落地系统</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90/5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80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8</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固液分离器</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90/5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80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9</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锅炉风机</w:t>
                  </w:r>
                </w:p>
              </w:tc>
              <w:tc>
                <w:tcPr>
                  <w:tcW w:w="461"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w:t>
                  </w:r>
                </w:p>
              </w:tc>
              <w:tc>
                <w:tcPr>
                  <w:tcW w:w="410"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40</w:t>
                  </w:r>
                </w:p>
              </w:tc>
              <w:tc>
                <w:tcPr>
                  <w:tcW w:w="370"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50</w:t>
                  </w:r>
                </w:p>
              </w:tc>
              <w:tc>
                <w:tcPr>
                  <w:tcW w:w="340"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10</w:t>
                  </w:r>
                </w:p>
              </w:tc>
              <w:tc>
                <w:tcPr>
                  <w:tcW w:w="869"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95/5</w:t>
                  </w:r>
                </w:p>
              </w:tc>
              <w:tc>
                <w:tcPr>
                  <w:tcW w:w="468" w:type="pct"/>
                  <w:vMerge w:val="continue"/>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zh-CN" w:eastAsia="zh-CN" w:bidi="ar-SA"/>
                    </w:rPr>
                  </w:pPr>
                </w:p>
              </w:tc>
              <w:tc>
                <w:tcPr>
                  <w:tcW w:w="641"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lang w:val="en-US" w:eastAsia="zh-CN"/>
                    </w:rPr>
                  </w:pPr>
                  <w:r>
                    <w:rPr>
                      <w:rFonts w:hint="eastAsia" w:ascii="Times New Roman" w:cs="Times New Roman"/>
                      <w:color w:val="auto"/>
                      <w:spacing w:val="-10"/>
                      <w:szCs w:val="21"/>
                      <w:lang w:val="en-US" w:eastAsia="zh-CN"/>
                    </w:rPr>
                    <w:t>85</w:t>
                  </w:r>
                </w:p>
              </w:tc>
              <w:tc>
                <w:tcPr>
                  <w:tcW w:w="451"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昼夜</w:t>
                  </w:r>
                </w:p>
              </w:tc>
            </w:tr>
          </w:tbl>
          <w:p>
            <w:pPr>
              <w:keepNext w:val="0"/>
              <w:keepLines w:val="0"/>
              <w:suppressLineNumbers w:val="0"/>
              <w:spacing w:before="0" w:beforeAutospacing="0" w:after="0" w:afterAutospacing="0" w:line="440" w:lineRule="exact"/>
              <w:ind w:left="0" w:right="0" w:firstLine="480"/>
              <w:textAlignment w:val="baseline"/>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预测模式</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施工噪声源可以近似作为点声源处理，根据点声源噪声衰减模式，可估算其施工期间离噪声源在不同距离处的噪声值，预测模式如下：</w:t>
            </w:r>
          </w:p>
          <w:p>
            <w:pPr>
              <w:keepNext w:val="0"/>
              <w:keepLines w:val="0"/>
              <w:suppressLineNumbers w:val="0"/>
              <w:spacing w:before="0" w:beforeAutospacing="0" w:after="0" w:afterAutospacing="0" w:line="440" w:lineRule="exact"/>
              <w:ind w:left="0" w:right="0" w:firstLine="1200" w:firstLineChars="500"/>
              <w:textAlignment w:val="baseline"/>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Lr=Lro-20lg</w:t>
            </w:r>
            <w:r>
              <w:rPr>
                <w:rFonts w:hint="eastAsia" w:ascii="Times New Roman" w:cs="Times New Roman"/>
                <w:color w:val="auto"/>
                <w:sz w:val="24"/>
                <w:lang w:eastAsia="zh-CN"/>
              </w:rPr>
              <w:t>（</w:t>
            </w:r>
            <w:r>
              <w:rPr>
                <w:rFonts w:hint="default" w:ascii="Times New Roman" w:hAnsi="Times New Roman" w:eastAsia="宋体" w:cs="Times New Roman"/>
                <w:color w:val="auto"/>
                <w:sz w:val="24"/>
              </w:rPr>
              <w:t>r/ro</w:t>
            </w:r>
            <w:r>
              <w:rPr>
                <w:rFonts w:hint="eastAsia" w:ascii="Times New Roman" w:cs="Times New Roman"/>
                <w:color w:val="auto"/>
                <w:sz w:val="24"/>
                <w:lang w:eastAsia="zh-CN"/>
              </w:rPr>
              <w:t>）</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式中：Lr——距声源r处的A声压级，dB</w:t>
            </w:r>
            <w:r>
              <w:rPr>
                <w:rFonts w:hint="eastAsia" w:cs="Times New Roman"/>
                <w:color w:val="auto"/>
                <w:sz w:val="24"/>
                <w:lang w:eastAsia="zh-CN"/>
              </w:rPr>
              <w:t>（</w:t>
            </w:r>
            <w:r>
              <w:rPr>
                <w:rFonts w:hint="default" w:ascii="Times New Roman" w:hAnsi="Times New Roman" w:eastAsia="宋体" w:cs="Times New Roman"/>
                <w:color w:val="auto"/>
                <w:sz w:val="24"/>
              </w:rPr>
              <w:t>A</w:t>
            </w:r>
            <w:r>
              <w:rPr>
                <w:rFonts w:hint="eastAsia" w:cs="Times New Roman"/>
                <w:color w:val="auto"/>
                <w:sz w:val="24"/>
                <w:lang w:eastAsia="zh-CN"/>
              </w:rPr>
              <w:t>）</w:t>
            </w:r>
            <w:r>
              <w:rPr>
                <w:rFonts w:hint="default" w:ascii="Times New Roman" w:hAnsi="Times New Roman" w:eastAsia="宋体" w:cs="Times New Roman"/>
                <w:color w:val="auto"/>
                <w:sz w:val="24"/>
              </w:rPr>
              <w:t>；</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Lro——距声源ro处的A声压级，dB</w:t>
            </w:r>
            <w:r>
              <w:rPr>
                <w:rFonts w:hint="eastAsia" w:cs="Times New Roman"/>
                <w:color w:val="auto"/>
                <w:sz w:val="24"/>
                <w:lang w:eastAsia="zh-CN"/>
              </w:rPr>
              <w:t>（</w:t>
            </w:r>
            <w:r>
              <w:rPr>
                <w:rFonts w:hint="default" w:ascii="Times New Roman" w:hAnsi="Times New Roman" w:eastAsia="宋体" w:cs="Times New Roman"/>
                <w:color w:val="auto"/>
                <w:sz w:val="24"/>
              </w:rPr>
              <w:t>A</w:t>
            </w:r>
            <w:r>
              <w:rPr>
                <w:rFonts w:hint="eastAsia" w:cs="Times New Roman"/>
                <w:color w:val="auto"/>
                <w:sz w:val="24"/>
                <w:lang w:eastAsia="zh-CN"/>
              </w:rPr>
              <w:t>）</w:t>
            </w:r>
            <w:r>
              <w:rPr>
                <w:rFonts w:hint="default" w:ascii="Times New Roman" w:hAnsi="Times New Roman" w:eastAsia="宋体" w:cs="Times New Roman"/>
                <w:color w:val="auto"/>
                <w:sz w:val="24"/>
              </w:rPr>
              <w:t>；</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r ——预测点与声源的距离，m；</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ro——监测设备噪声时的距离，m。</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预测结果与评价</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rPr>
              <w:t>主要施工机械在不同距离处的衰减值预测结果见</w:t>
            </w:r>
            <w:r>
              <w:rPr>
                <w:rFonts w:hint="eastAsia" w:ascii="Times New Roman" w:eastAsia="宋体" w:cs="Times New Roman"/>
                <w:color w:val="auto"/>
                <w:sz w:val="24"/>
                <w:lang w:val="en-US" w:eastAsia="zh-CN"/>
              </w:rPr>
              <w:t>下表</w:t>
            </w:r>
            <w:r>
              <w:rPr>
                <w:rFonts w:hint="default" w:ascii="Times New Roman" w:hAnsi="Times New Roman" w:eastAsia="宋体" w:cs="Times New Roman"/>
                <w:color w:val="auto"/>
                <w:sz w:val="24"/>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color w:val="auto"/>
                <w:sz w:val="24"/>
              </w:rPr>
              <w:t>距声源不同距离处的噪声预测值</w:t>
            </w:r>
            <w:r>
              <w:rPr>
                <w:rFonts w:hint="eastAsia" w:ascii="Times New Roman" w:hAnsi="Times New Roman" w:eastAsia="宋体" w:cs="Times New Roman"/>
                <w:b/>
                <w:color w:val="auto"/>
                <w:sz w:val="24"/>
              </w:rPr>
              <w:t xml:space="preserve">    </w:t>
            </w:r>
            <w:r>
              <w:rPr>
                <w:rFonts w:hint="eastAsia" w:ascii="Times New Roman" w:cs="Times New Roman"/>
                <w:b/>
                <w:color w:val="auto"/>
                <w:sz w:val="24"/>
                <w:lang w:val="en-US" w:eastAsia="zh-CN"/>
              </w:rPr>
              <w:t xml:space="preserve">     </w:t>
            </w:r>
            <w:r>
              <w:rPr>
                <w:rFonts w:hint="eastAsia" w:ascii="Times New Roman" w:hAnsi="Times New Roman" w:eastAsia="宋体" w:cs="Times New Roman"/>
                <w:b/>
                <w:color w:val="auto"/>
                <w:sz w:val="24"/>
              </w:rPr>
              <w:t xml:space="preserve">    </w:t>
            </w:r>
            <w:r>
              <w:rPr>
                <w:rFonts w:hint="default" w:ascii="Times New Roman" w:hAnsi="Times New Roman" w:eastAsia="宋体" w:cs="Times New Roman"/>
                <w:b/>
                <w:color w:val="auto"/>
                <w:sz w:val="24"/>
              </w:rPr>
              <w:t>单位：dB(A)</w:t>
            </w:r>
          </w:p>
          <w:tbl>
            <w:tblPr>
              <w:tblStyle w:val="32"/>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818"/>
              <w:gridCol w:w="838"/>
              <w:gridCol w:w="840"/>
              <w:gridCol w:w="836"/>
              <w:gridCol w:w="833"/>
              <w:gridCol w:w="817"/>
              <w:gridCol w:w="783"/>
              <w:gridCol w:w="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vMerge w:val="restart"/>
                  <w:tcBorders>
                    <w:top w:val="single" w:color="auto" w:sz="4" w:space="0"/>
                    <w:left w:val="single" w:color="auto" w:sz="4" w:space="0"/>
                    <w:bottom w:val="single" w:color="auto" w:sz="4" w:space="0"/>
                    <w:right w:val="single" w:color="auto" w:sz="4" w:space="0"/>
                    <w:tl2br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bookmarkStart w:id="46" w:name="_Hlk107246902"/>
                  <w:r>
                    <w:rPr>
                      <w:rFonts w:hint="default" w:ascii="Times New Roman" w:hAnsi="Times New Roman" w:eastAsia="宋体" w:cs="Times New Roman"/>
                      <w:color w:val="auto"/>
                      <w:sz w:val="21"/>
                      <w:szCs w:val="21"/>
                    </w:rPr>
                    <w:t>声级</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w:t>
                  </w:r>
                </w:p>
              </w:tc>
              <w:tc>
                <w:tcPr>
                  <w:tcW w:w="4086"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测点声源距离</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1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5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52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5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5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5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4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5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柴油发电机</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67.9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66.0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钻机</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10"/>
                      <w:sz w:val="21"/>
                      <w:szCs w:val="21"/>
                      <w:highlight w:val="none"/>
                    </w:rPr>
                    <w:t>泥浆泵</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泥浆泵</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泥浆泵</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压裂车</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泥浆不落地系统</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固液分离器</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锅炉风机</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53.0</w:t>
                  </w:r>
                </w:p>
              </w:tc>
            </w:tr>
            <w:bookmarkEnd w:id="46"/>
          </w:tbl>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从上表可以看出，施工机械噪声在200m处昼间预测结果满足《建筑施工噪声排放标准》（GB12523-2025）相关标准限值，夜间预测结果不满足《建筑施工噪声排放标准》（GB12523-2025）场界噪声限值要求</w:t>
            </w:r>
            <w:r>
              <w:rPr>
                <w:rFonts w:hint="eastAsia" w:asci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本项目位于</w:t>
            </w:r>
            <w:r>
              <w:rPr>
                <w:rFonts w:hint="eastAsia" w:ascii="Times New Roman" w:eastAsia="宋体" w:cs="Times New Roman"/>
                <w:color w:val="auto"/>
                <w:kern w:val="2"/>
                <w:sz w:val="24"/>
                <w:szCs w:val="24"/>
                <w:highlight w:val="none"/>
                <w:lang w:val="en-US" w:eastAsia="zh-CN"/>
              </w:rPr>
              <w:t>沙漠</w:t>
            </w:r>
            <w:r>
              <w:rPr>
                <w:rFonts w:hint="default" w:ascii="Times New Roman" w:hAnsi="Times New Roman" w:eastAsia="宋体" w:cs="Times New Roman"/>
                <w:color w:val="auto"/>
                <w:kern w:val="2"/>
                <w:sz w:val="24"/>
                <w:szCs w:val="24"/>
                <w:highlight w:val="none"/>
                <w:lang w:val="en-US" w:eastAsia="zh-CN"/>
              </w:rPr>
              <w:t>，井场周边及邻近区域无居民区、村庄等环境敏感点。施工期间通过采取对设备定期保养维护、基础减振等措施可减少噪声对周边环境的影响，且随着施工结束，对周边声环境影响将逐渐消失。</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过程为连续作业过程，钻井噪声处理难度较大，在基础减振措施基础上，进一步提出以下噪声防治要求：对柴油发电机、泥浆泵、钻机、压裂车等高噪声设备安装减振基础，必要时加装隔声罩或消声器；合理布置设备位置，将高噪声设备尽量布置于井场中部、远离场界；夜间尽量避免高噪声作业。采取上述措施后，昼间可稳定达标；夜间虽仍有一定超标风险，但鉴于井场周边无敏感点，施工噪声对周边声环境影响总体可控，施工结束后影响即行消除。</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en-US" w:eastAsia="zh-CN"/>
              </w:rPr>
              <w:t>6、</w:t>
            </w:r>
            <w:r>
              <w:rPr>
                <w:rFonts w:hint="default" w:ascii="Times New Roman" w:hAnsi="Times New Roman" w:eastAsia="宋体" w:cs="Times New Roman"/>
                <w:b/>
                <w:color w:val="auto"/>
                <w:sz w:val="24"/>
                <w:szCs w:val="20"/>
                <w:highlight w:val="none"/>
                <w:lang w:val="zh-CN" w:eastAsia="zh-CN"/>
              </w:rPr>
              <w:t>施工期固体废物影响分析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val="0"/>
                <w:color w:val="auto"/>
                <w:spacing w:val="0"/>
                <w:kern w:val="2"/>
                <w:sz w:val="24"/>
                <w:szCs w:val="24"/>
              </w:rPr>
            </w:pPr>
            <w:r>
              <w:rPr>
                <w:rFonts w:hint="default" w:ascii="Times New Roman" w:hAnsi="Times New Roman" w:eastAsia="宋体" w:cs="Times New Roman"/>
                <w:b/>
                <w:bCs w:val="0"/>
                <w:color w:val="auto"/>
                <w:spacing w:val="0"/>
                <w:kern w:val="2"/>
                <w:sz w:val="24"/>
                <w:szCs w:val="24"/>
              </w:rPr>
              <w:t>6.1固体废物产生及处置情况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w:t>
            </w: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lang w:val="zh-CN" w:eastAsia="zh-CN"/>
              </w:rPr>
              <w:t>）固体废物产生及处置情况</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完井与搬迁后要进行固体废弃物处理，整个钻井作业及测试放喷过程中产生的固体废弃物主要有泥浆、钻井岩屑、</w:t>
            </w:r>
            <w:r>
              <w:rPr>
                <w:rFonts w:hint="default" w:ascii="Times New Roman" w:hAnsi="Times New Roman" w:eastAsia="宋体" w:cs="Times New Roman"/>
                <w:color w:val="auto"/>
                <w:szCs w:val="21"/>
              </w:rPr>
              <w:t>锅炉灰渣、除尘灰、废布袋、</w:t>
            </w:r>
            <w:r>
              <w:rPr>
                <w:rFonts w:hint="default" w:ascii="Times New Roman" w:hAnsi="Times New Roman" w:eastAsia="宋体" w:cs="Times New Roman"/>
                <w:color w:val="auto"/>
                <w:kern w:val="2"/>
                <w:sz w:val="24"/>
                <w:szCs w:val="24"/>
                <w:highlight w:val="none"/>
                <w:lang w:val="en-US" w:eastAsia="zh-CN" w:bidi="ar-SA"/>
              </w:rPr>
              <w:t>生活垃圾、污水处理站污泥、建筑垃圾以及沾油废物、废烧碱包装袋、废防渗材料、废矿物油及其包装物等。一般固体废物执行《一般工业固体废物管理台账制定指南（试行）》，一般工业固体废物管理台账实施分级管理。如实记录产生工业固体废物的种类、数量、流向、贮存、利用、处置等信息，实现工业固体废物可追溯、可查询，并采取防治工业固体废物污染环境的措施。危险废物根据《危险废物贮存污染控制标准》（GB18597-2023</w:t>
            </w:r>
            <w:r>
              <w:rPr>
                <w:rFonts w:hint="eastAsia" w:ascii="Times New Roman" w:eastAsia="宋体" w:cs="Times New Roman"/>
                <w:color w:val="auto"/>
                <w:kern w:val="2"/>
                <w:sz w:val="24"/>
                <w:szCs w:val="24"/>
                <w:highlight w:val="none"/>
                <w:lang w:val="en-US" w:eastAsia="zh-CN" w:bidi="ar-SA"/>
              </w:rPr>
              <w:t>）和</w:t>
            </w:r>
            <w:r>
              <w:rPr>
                <w:rFonts w:hint="default" w:ascii="Times New Roman" w:hAnsi="Times New Roman" w:eastAsia="宋体" w:cs="Times New Roman"/>
                <w:color w:val="auto"/>
                <w:kern w:val="2"/>
                <w:sz w:val="24"/>
                <w:szCs w:val="24"/>
                <w:highlight w:val="none"/>
                <w:lang w:val="en-US" w:eastAsia="zh-CN" w:bidi="ar-SA"/>
              </w:rPr>
              <w:t>《危险废物环境管理指南 陆上石油天然气开采》（生态环境部公告 2021年 第74号）以及《石油天然气开采业固体废物污染控制技术规范（试行）》（HJ1461-2026）中相关管理要求，落实危险废物识别标志制度，对危险废物的容器和包装物以及收集、运输危险废物的设施设置危险废物识别标志。填写危险废物的收集记录、转运记录表，并将记录表作为危险废物管理的重要档案妥善保存</w:t>
            </w:r>
            <w:r>
              <w:rPr>
                <w:rFonts w:hint="default" w:ascii="Times New Roman" w:hAnsi="Times New Roman" w:eastAsia="宋体" w:cs="Times New Roman"/>
                <w:color w:val="auto"/>
                <w:kern w:val="0"/>
                <w:szCs w:val="21"/>
                <w:highlight w:val="none"/>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①泥浆</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泥浆采用“泥浆不落地”工艺收集，排入泥浆罐循环使用，完井后拉运至下一口井再利用。</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（2）废弃钻井泥浆及岩屑</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①废弃钻井泥浆</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废弃钻井泥浆是指在钻井过程中无法利用或钻井完工后剩余的泥浆，其产生量随井深和井径的不同而改变。钻井泥浆产生量可按照经验公式推算：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1440" w:firstLineChars="60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position w:val="-28"/>
                <w:highlight w:val="none"/>
                <w:lang w:val="en-US" w:eastAsia="zh-CN"/>
              </w:rPr>
              <w:object>
                <v:shape id="_x0000_i1025" o:spt="75" type="#_x0000_t75" style="height:34pt;width:159pt;" o:ole="t" filled="f" o:preferrelative="t" stroked="f" coordsize="21600,21600">
                  <v:path/>
                  <v:fill on="f" focussize="0,0"/>
                  <v:stroke on="f"/>
                  <v:imagedata r:id="rId25" o:title=""/>
                  <o:lock v:ext="edit" aspectratio="t"/>
                  <w10:wrap type="none"/>
                  <w10:anchorlock/>
                </v:shape>
                <o:OLEObject Type="Embed" ProgID="Equation.KSEE3" ShapeID="_x0000_i1025" DrawAspect="Content" ObjectID="_1468075727" r:id="rId24">
                  <o:LockedField>false</o:LockedField>
                </o:OLEObject>
              </w:objec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式中：</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0" w:firstLineChars="50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4"/>
                <w:szCs w:val="24"/>
                <w:highlight w:val="none"/>
                <w:lang w:val="en-US" w:eastAsia="zh-CN" w:bidi="ar-SA"/>
              </w:rPr>
              <w:t>V—废弃钻井泥浆产生量，m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0" w:firstLineChars="5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D—钻井的直径，m；</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0" w:firstLineChars="5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h—钻井的深度，m；</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rPr>
              <w:t>根据计算，本项目废弃钻井泥浆产生量为</w:t>
            </w:r>
            <w:r>
              <w:rPr>
                <w:rFonts w:hint="eastAsia" w:ascii="Times New Roman" w:eastAsia="宋体" w:cs="Times New Roman"/>
                <w:color w:val="auto"/>
                <w:spacing w:val="0"/>
                <w:kern w:val="2"/>
                <w:sz w:val="24"/>
                <w:szCs w:val="24"/>
                <w:lang w:val="en-US" w:eastAsia="zh-CN"/>
              </w:rPr>
              <w:t>1320.44</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，其中膨润土体系废弃泥浆产生量为</w:t>
            </w:r>
            <w:r>
              <w:rPr>
                <w:rFonts w:hint="eastAsia" w:ascii="Times New Roman" w:eastAsia="宋体" w:cs="Times New Roman"/>
                <w:color w:val="auto"/>
                <w:spacing w:val="0"/>
                <w:kern w:val="2"/>
                <w:sz w:val="24"/>
                <w:szCs w:val="24"/>
                <w:lang w:val="en-US" w:eastAsia="zh-CN"/>
              </w:rPr>
              <w:t>597.39</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，磺化体系废弃泥浆产生量为</w:t>
            </w:r>
            <w:r>
              <w:rPr>
                <w:rFonts w:hint="eastAsia" w:ascii="Times New Roman" w:eastAsia="宋体" w:cs="Times New Roman"/>
                <w:color w:val="auto"/>
                <w:spacing w:val="0"/>
                <w:kern w:val="2"/>
                <w:sz w:val="24"/>
                <w:szCs w:val="24"/>
                <w:lang w:val="en-US" w:eastAsia="zh-CN"/>
              </w:rPr>
              <w:t>723.05</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②废弃钻井岩屑</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钻井过程中钻头破坏岩层形成岩屑，后通过泥浆循环带出地面，其中混杂有泥浆、石油类物质。钻井岩屑产生量与井眼长度、井径及岩石密度有关，可用下式计算：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rPr>
              <w:drawing>
                <wp:anchor distT="0" distB="0" distL="114300" distR="114300" simplePos="0" relativeHeight="251664384" behindDoc="0" locked="0" layoutInCell="1" allowOverlap="1">
                  <wp:simplePos x="0" y="0"/>
                  <wp:positionH relativeFrom="page">
                    <wp:posOffset>309245</wp:posOffset>
                  </wp:positionH>
                  <wp:positionV relativeFrom="paragraph">
                    <wp:posOffset>90170</wp:posOffset>
                  </wp:positionV>
                  <wp:extent cx="1562100" cy="346710"/>
                  <wp:effectExtent l="0" t="0" r="0" b="15240"/>
                  <wp:wrapSquare wrapText="bothSides"/>
                  <wp:docPr id="10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6"/>
                          <pic:cNvPicPr>
                            <a:picLocks noChangeAspect="1"/>
                          </pic:cNvPicPr>
                        </pic:nvPicPr>
                        <pic:blipFill>
                          <a:blip r:embed="rId26"/>
                          <a:stretch>
                            <a:fillRect/>
                          </a:stretch>
                        </pic:blipFill>
                        <pic:spPr>
                          <a:xfrm>
                            <a:off x="0" y="0"/>
                            <a:ext cx="1562100" cy="346710"/>
                          </a:xfrm>
                          <a:prstGeom prst="rect">
                            <a:avLst/>
                          </a:prstGeom>
                          <a:noFill/>
                          <a:ln>
                            <a:noFill/>
                          </a:ln>
                        </pic:spPr>
                      </pic:pic>
                    </a:graphicData>
                  </a:graphic>
                </wp:anchor>
              </w:drawing>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式中：W——废弃钻井岩屑排放量，m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；（水基钻井液体系膨胀系数取 2.2，岩屑密度为2.5g/cm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 xml:space="preserve">      D——井的直径，m；</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 xml:space="preserve">      h——井深，m；</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5" w:firstLineChars="5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sz w:val="24"/>
                <w:szCs w:val="21"/>
                <w:highlight w:val="none"/>
              </w:rPr>
              <w:t>α</w:t>
            </w:r>
            <w:r>
              <w:rPr>
                <w:rFonts w:hint="default" w:ascii="Times New Roman" w:hAnsi="Times New Roman" w:eastAsia="宋体" w:cs="Times New Roman"/>
                <w:color w:val="auto"/>
                <w:sz w:val="24"/>
                <w:szCs w:val="21"/>
                <w:highlight w:val="none"/>
                <w:lang w:val="en-US" w:eastAsia="zh-CN"/>
              </w:rPr>
              <w:t>--膨胀系数，水基为2.2</w:t>
            </w:r>
            <w:r>
              <w:rPr>
                <w:rFonts w:hint="default" w:ascii="Times New Roman" w:hAnsi="Times New Roman" w:eastAsia="宋体" w:cs="Times New Roman"/>
                <w:color w:val="auto"/>
                <w:kern w:val="2"/>
                <w:sz w:val="24"/>
                <w:szCs w:val="24"/>
                <w:highlight w:val="none"/>
                <w:lang w:val="en-US" w:eastAsia="zh-CN" w:bidi="ar-SA"/>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rPr>
              <w:t>根据不同孔径分段求和计算，本工程总岩屑产量为</w:t>
            </w:r>
            <w:r>
              <w:rPr>
                <w:rFonts w:hint="eastAsia" w:ascii="Times New Roman" w:eastAsia="宋体" w:cs="Times New Roman"/>
                <w:color w:val="auto"/>
                <w:spacing w:val="0"/>
                <w:kern w:val="2"/>
                <w:sz w:val="24"/>
                <w:szCs w:val="24"/>
                <w:lang w:val="en-US" w:eastAsia="zh-CN"/>
              </w:rPr>
              <w:t>2327.79</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。其中膨润土体系钻井岩屑产量为</w:t>
            </w:r>
            <w:r>
              <w:rPr>
                <w:rFonts w:hint="eastAsia" w:ascii="Times New Roman" w:eastAsia="宋体" w:cs="Times New Roman"/>
                <w:color w:val="auto"/>
                <w:spacing w:val="0"/>
                <w:kern w:val="2"/>
                <w:sz w:val="24"/>
                <w:szCs w:val="24"/>
                <w:lang w:val="en-US" w:eastAsia="zh-CN"/>
              </w:rPr>
              <w:t>1385.97</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，排入膨润土岩屑池干化，经检测</w:t>
            </w:r>
            <w:r>
              <w:rPr>
                <w:rFonts w:hint="default" w:ascii="Times New Roman" w:hAnsi="Times New Roman" w:eastAsia="宋体" w:cs="Times New Roman"/>
                <w:color w:val="auto"/>
                <w:spacing w:val="0"/>
                <w:kern w:val="2"/>
                <w:sz w:val="24"/>
                <w:szCs w:val="24"/>
                <w:lang w:val="en-US" w:eastAsia="zh-CN"/>
              </w:rPr>
              <w:t>达到《油气田钻井固体废物综合利用污染控制要求》（DB65/T 3997-2017）及《石油天然气开采业固体废物污染控制技术规范（试行）》（HJ1461-2026）标准后，</w:t>
            </w:r>
            <w:r>
              <w:rPr>
                <w:rFonts w:hint="default" w:ascii="Times New Roman" w:hAnsi="Times New Roman" w:eastAsia="宋体" w:cs="Times New Roman"/>
                <w:color w:val="auto"/>
                <w:spacing w:val="0"/>
                <w:kern w:val="2"/>
                <w:sz w:val="24"/>
                <w:szCs w:val="24"/>
              </w:rPr>
              <w:t>用于井场平整；磺化泥浆钻井岩屑产生量为</w:t>
            </w:r>
            <w:r>
              <w:rPr>
                <w:rFonts w:hint="eastAsia" w:ascii="Times New Roman" w:eastAsia="宋体" w:cs="Times New Roman"/>
                <w:color w:val="auto"/>
                <w:spacing w:val="0"/>
                <w:kern w:val="2"/>
                <w:sz w:val="24"/>
                <w:szCs w:val="24"/>
                <w:lang w:val="en-US" w:eastAsia="zh-CN"/>
              </w:rPr>
              <w:t>941.82</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，井场环保罐暂存，定期转运至</w:t>
            </w:r>
            <w:r>
              <w:rPr>
                <w:rFonts w:hint="eastAsia" w:ascii="Times New Roman" w:eastAsia="宋体" w:cs="Times New Roman"/>
                <w:color w:val="auto"/>
                <w:spacing w:val="0"/>
                <w:kern w:val="2"/>
                <w:sz w:val="24"/>
                <w:szCs w:val="24"/>
                <w:lang w:val="en-US" w:eastAsia="zh-CN"/>
              </w:rPr>
              <w:t>塔中</w:t>
            </w:r>
            <w:r>
              <w:rPr>
                <w:rFonts w:hint="default" w:ascii="Times New Roman" w:hAnsi="Times New Roman" w:eastAsia="宋体" w:cs="Times New Roman"/>
                <w:color w:val="auto"/>
                <w:spacing w:val="0"/>
                <w:kern w:val="2"/>
                <w:sz w:val="24"/>
                <w:szCs w:val="24"/>
              </w:rPr>
              <w:t>钻试修废弃物环保处理站处置，处理达标后还原土用于铺垫油区内的井场、道路。</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（3）生活垃圾</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井队人数为60人，工程预计钻井施工期为</w:t>
            </w:r>
            <w:r>
              <w:rPr>
                <w:rFonts w:hint="eastAsia" w:ascii="Times New Roman" w:eastAsia="宋体" w:cs="Times New Roman"/>
                <w:color w:val="auto"/>
                <w:kern w:val="2"/>
                <w:sz w:val="24"/>
                <w:szCs w:val="24"/>
                <w:highlight w:val="none"/>
                <w:lang w:val="en-US" w:eastAsia="zh-CN" w:bidi="ar-SA"/>
              </w:rPr>
              <w:t>180</w:t>
            </w:r>
            <w:r>
              <w:rPr>
                <w:rFonts w:hint="default" w:ascii="Times New Roman" w:hAnsi="Times New Roman" w:eastAsia="宋体" w:cs="Times New Roman"/>
                <w:color w:val="auto"/>
                <w:kern w:val="2"/>
                <w:sz w:val="24"/>
                <w:szCs w:val="24"/>
                <w:highlight w:val="none"/>
                <w:lang w:val="en-US" w:eastAsia="zh-CN" w:bidi="ar-SA"/>
              </w:rPr>
              <w:t>天，按生活垃圾产生量每人1kg/d计，生活垃圾产生量</w:t>
            </w:r>
            <w:r>
              <w:rPr>
                <w:rFonts w:hint="eastAsia" w:ascii="Times New Roman" w:eastAsia="宋体" w:cs="Times New Roman"/>
                <w:color w:val="auto"/>
                <w:kern w:val="2"/>
                <w:sz w:val="24"/>
                <w:szCs w:val="24"/>
                <w:highlight w:val="none"/>
                <w:lang w:val="en-US" w:eastAsia="zh-CN" w:bidi="ar-SA"/>
              </w:rPr>
              <w:t>10.8</w:t>
            </w:r>
            <w:r>
              <w:rPr>
                <w:rFonts w:hint="default" w:ascii="Times New Roman" w:hAnsi="Times New Roman" w:eastAsia="宋体" w:cs="Times New Roman"/>
                <w:color w:val="auto"/>
                <w:kern w:val="2"/>
                <w:sz w:val="24"/>
                <w:szCs w:val="24"/>
                <w:highlight w:val="none"/>
                <w:lang w:val="en-US" w:eastAsia="zh-CN" w:bidi="ar-SA"/>
              </w:rPr>
              <w:t>t，收集后统一清运至</w:t>
            </w:r>
            <w:r>
              <w:rPr>
                <w:rFonts w:hint="eastAsia" w:ascii="Times New Roman" w:eastAsia="宋体" w:cs="Times New Roman"/>
                <w:color w:val="auto"/>
                <w:kern w:val="2"/>
                <w:sz w:val="24"/>
                <w:szCs w:val="24"/>
                <w:highlight w:val="none"/>
                <w:lang w:val="en-US" w:eastAsia="zh-CN" w:bidi="ar-SA"/>
              </w:rPr>
              <w:t>塔中镇生活垃圾填埋场处理</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32"/>
                <w:highlight w:val="none"/>
                <w:lang w:val="en-US" w:eastAsia="zh-CN"/>
              </w:rPr>
              <w:t>（4）</w:t>
            </w:r>
            <w:r>
              <w:rPr>
                <w:rFonts w:hint="default" w:ascii="Times New Roman" w:hAnsi="Times New Roman" w:eastAsia="宋体" w:cs="Times New Roman"/>
                <w:color w:val="auto"/>
                <w:kern w:val="2"/>
                <w:sz w:val="24"/>
                <w:szCs w:val="24"/>
                <w:highlight w:val="none"/>
                <w:lang w:val="en-US" w:eastAsia="zh-CN" w:bidi="ar-SA"/>
              </w:rPr>
              <w:t>撬装式污水处理站产生污泥</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撬装式污水处理站污泥定期排入污泥池，通过泵打入小型叠螺式污泥脱水机，其脱水原理为污泥在浓缩部经过重力浓缩后，被运输到脱水部，在前进的过程中随着滤缝及螺距的逐渐变小，以及背压板的阻挡作用下，产生极大的内压，容积不断缩小，达到充分脱水的目的。经叠螺式污泥脱水机脱水后可确保污泥含水率低于60%，满足垃圾填埋场进场污泥含水率要求。</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撬装式污水处理站污泥经脱水装置脱水后，产生量为0.12t，收集、合规暂存，定期送至</w:t>
            </w:r>
            <w:r>
              <w:rPr>
                <w:rFonts w:hint="eastAsia" w:ascii="Times New Roman" w:cs="Times New Roman"/>
                <w:color w:val="auto"/>
                <w:kern w:val="2"/>
                <w:sz w:val="24"/>
                <w:szCs w:val="24"/>
                <w:highlight w:val="none"/>
                <w:lang w:val="en-US" w:eastAsia="zh-CN" w:bidi="ar-SA"/>
              </w:rPr>
              <w:t>塔中镇生活垃圾填埋场处理</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）锅炉灰渣及除尘灰</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锅炉灰渣、除尘灰属于一般固体废物，锅炉灰渣根据《污染源源强核算技术指南 锅炉》（HJ991-2018）中8.1物料核算法计算：</w:t>
            </w:r>
          </w:p>
          <w:p>
            <w:pPr>
              <w:keepNext/>
              <w:keepLines w:val="0"/>
              <w:suppressLineNumbers w:val="0"/>
              <w:adjustRightInd w:val="0"/>
              <w:spacing w:before="0" w:beforeAutospacing="0" w:after="0" w:afterAutospacing="0" w:line="360" w:lineRule="auto"/>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object>
                <v:shape id="_x0000_i1026" o:spt="75" type="#_x0000_t75" style="height:36pt;width:147pt;" o:ole="t" filled="f" o:preferrelative="t" stroked="f" coordsize="21600,21600">
                  <v:path/>
                  <v:fill on="f" focussize="0,0"/>
                  <v:stroke on="f"/>
                  <v:imagedata r:id="rId28" o:title=""/>
                  <o:lock v:ext="edit" aspectratio="t"/>
                  <w10:wrap type="none"/>
                  <w10:anchorlock/>
                </v:shape>
                <o:OLEObject Type="Embed" ProgID="Equation.KSEE3" ShapeID="_x0000_i1026" DrawAspect="Content" ObjectID="_1468075728" r:id="rId27">
                  <o:LockedField>false</o:LockedField>
                </o:OLEObject>
              </w:objec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式中：Ehc——核算时段内灰渣产生量，t，根据飞灰份额d</w:t>
            </w:r>
            <w:r>
              <w:rPr>
                <w:rFonts w:hint="default" w:ascii="Times New Roman" w:hAnsi="Times New Roman" w:eastAsia="宋体" w:cs="Times New Roman"/>
                <w:color w:val="auto"/>
                <w:sz w:val="24"/>
                <w:szCs w:val="24"/>
                <w:vertAlign w:val="subscript"/>
              </w:rPr>
              <w:t>fh</w:t>
            </w:r>
            <w:r>
              <w:rPr>
                <w:rFonts w:hint="default" w:ascii="Times New Roman" w:hAnsi="Times New Roman" w:eastAsia="宋体" w:cs="Times New Roman"/>
                <w:color w:val="auto"/>
                <w:sz w:val="24"/>
                <w:szCs w:val="24"/>
              </w:rPr>
              <w:t>可分别核算飞灰、炉渣产生量；</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R——核算时段内锅炉燃</w:t>
            </w:r>
            <w:r>
              <w:rPr>
                <w:rFonts w:hint="default" w:ascii="Times New Roman" w:hAnsi="Times New Roman" w:eastAsia="宋体" w:cs="Times New Roman"/>
                <w:color w:val="auto"/>
                <w:sz w:val="24"/>
                <w:szCs w:val="24"/>
                <w:lang w:eastAsia="zh-CN"/>
              </w:rPr>
              <w:t>料消</w:t>
            </w:r>
            <w:r>
              <w:rPr>
                <w:rFonts w:hint="default" w:ascii="Times New Roman" w:hAnsi="Times New Roman" w:eastAsia="宋体" w:cs="Times New Roman"/>
                <w:color w:val="auto"/>
                <w:sz w:val="24"/>
                <w:szCs w:val="24"/>
              </w:rPr>
              <w:t>耗量，t；本项目燃料使用量为</w:t>
            </w:r>
            <w:r>
              <w:rPr>
                <w:rFonts w:hint="eastAsia" w:ascii="Times New Roman" w:cs="Times New Roman"/>
                <w:color w:val="auto"/>
                <w:sz w:val="24"/>
                <w:szCs w:val="24"/>
                <w:lang w:val="en-US" w:eastAsia="zh-CN"/>
              </w:rPr>
              <w:t>1760</w:t>
            </w:r>
            <w:r>
              <w:rPr>
                <w:rFonts w:hint="default" w:ascii="Times New Roman" w:hAnsi="Times New Roman" w:eastAsia="宋体" w:cs="Times New Roman"/>
                <w:color w:val="auto"/>
                <w:sz w:val="24"/>
                <w:szCs w:val="24"/>
              </w:rPr>
              <w:t>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vertAlign w:val="subscript"/>
              </w:rPr>
              <w:t>ar</w:t>
            </w:r>
            <w:r>
              <w:rPr>
                <w:rFonts w:hint="default" w:ascii="Times New Roman" w:hAnsi="Times New Roman" w:eastAsia="宋体" w:cs="Times New Roman"/>
                <w:color w:val="auto"/>
                <w:sz w:val="24"/>
                <w:szCs w:val="24"/>
              </w:rPr>
              <w:t>——收到基灰分的质量分数，%，本项目为7.22；</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——锅炉机械不完全燃烧热损失，%；本项目为10；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w:t>
            </w:r>
            <w:r>
              <w:rPr>
                <w:rFonts w:hint="default" w:ascii="Times New Roman" w:hAnsi="Times New Roman" w:eastAsia="宋体" w:cs="Times New Roman"/>
                <w:color w:val="auto"/>
                <w:sz w:val="24"/>
                <w:szCs w:val="24"/>
                <w:vertAlign w:val="subscript"/>
              </w:rPr>
              <w:t>net，ar</w:t>
            </w:r>
            <w:r>
              <w:rPr>
                <w:rFonts w:hint="default" w:ascii="Times New Roman" w:hAnsi="Times New Roman" w:eastAsia="宋体" w:cs="Times New Roman"/>
                <w:color w:val="auto"/>
                <w:sz w:val="24"/>
                <w:szCs w:val="24"/>
              </w:rPr>
              <w:t>——收到基低位发热量，kJ/kg燃料热值为16.11MJ/kg；</w:t>
            </w:r>
          </w:p>
          <w:p>
            <w:pPr>
              <w:pStyle w:val="2"/>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0"/>
                <w:position w:val="0"/>
                <w:sz w:val="24"/>
                <w:szCs w:val="24"/>
              </w:rPr>
              <w:t>经计算得出灰渣产生量约为</w:t>
            </w:r>
            <w:r>
              <w:rPr>
                <w:rFonts w:hint="eastAsia" w:ascii="Times New Roman" w:hAnsi="Times New Roman" w:cs="Times New Roman"/>
                <w:color w:val="auto"/>
                <w:spacing w:val="0"/>
                <w:position w:val="0"/>
                <w:sz w:val="24"/>
                <w:szCs w:val="24"/>
                <w:lang w:val="en-US" w:eastAsia="zh-CN"/>
              </w:rPr>
              <w:t>210.8</w:t>
            </w:r>
            <w:r>
              <w:rPr>
                <w:rFonts w:hint="default" w:ascii="Times New Roman" w:hAnsi="Times New Roman" w:eastAsia="宋体" w:cs="Times New Roman"/>
                <w:color w:val="auto"/>
                <w:spacing w:val="0"/>
                <w:position w:val="0"/>
                <w:sz w:val="24"/>
                <w:szCs w:val="24"/>
              </w:rPr>
              <w:t>t/钻井期，除尘效率按99.7%计，除尘灰产生量约为</w:t>
            </w:r>
            <w:r>
              <w:rPr>
                <w:rFonts w:hint="eastAsia" w:ascii="Times New Roman" w:hAnsi="Times New Roman" w:cs="Times New Roman"/>
                <w:color w:val="auto"/>
                <w:spacing w:val="0"/>
                <w:position w:val="0"/>
                <w:sz w:val="24"/>
                <w:szCs w:val="24"/>
                <w:lang w:val="en-US" w:eastAsia="zh-CN"/>
              </w:rPr>
              <w:t>73.6</w:t>
            </w:r>
            <w:r>
              <w:rPr>
                <w:rFonts w:hint="default" w:ascii="Times New Roman" w:hAnsi="Times New Roman" w:eastAsia="宋体" w:cs="Times New Roman"/>
                <w:color w:val="auto"/>
                <w:spacing w:val="0"/>
                <w:position w:val="0"/>
                <w:sz w:val="24"/>
                <w:szCs w:val="24"/>
              </w:rPr>
              <w:t>t/钻井期，</w:t>
            </w:r>
            <w:r>
              <w:rPr>
                <w:rFonts w:hint="default" w:ascii="Times New Roman" w:hAnsi="Times New Roman" w:eastAsia="宋体" w:cs="Times New Roman"/>
                <w:color w:val="auto"/>
                <w:sz w:val="24"/>
                <w:szCs w:val="24"/>
              </w:rPr>
              <w:t>统一收集后送至周边固废填埋场处理。</w:t>
            </w:r>
          </w:p>
          <w:p>
            <w:pPr>
              <w:pStyle w:val="31"/>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（6）废布袋</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用作颗粒物除尘的布袋除尘器破损时需更换布袋，产生量约为0.1t，产生后由厂家回收处理。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pacing w:val="0"/>
                <w:kern w:val="0"/>
                <w:position w:val="0"/>
                <w:sz w:val="24"/>
                <w:szCs w:val="21"/>
                <w:highlight w:val="none"/>
                <w:lang w:val="en-US" w:eastAsia="zh-CN" w:bidi="ar-SA"/>
              </w:rPr>
            </w:pPr>
            <w:r>
              <w:rPr>
                <w:rFonts w:hint="default" w:ascii="Times New Roman" w:hAnsi="Times New Roman" w:eastAsia="宋体" w:cs="Times New Roman"/>
                <w:color w:val="auto"/>
                <w:spacing w:val="0"/>
                <w:kern w:val="2"/>
                <w:position w:val="0"/>
                <w:sz w:val="24"/>
                <w:szCs w:val="24"/>
                <w:highlight w:val="none"/>
                <w:lang w:val="en-US" w:eastAsia="zh-CN" w:bidi="ar-SA"/>
              </w:rPr>
              <w:t>（7）沾油废物</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pacing w:val="0"/>
                <w:kern w:val="2"/>
                <w:position w:val="0"/>
                <w:sz w:val="24"/>
                <w:szCs w:val="24"/>
                <w:highlight w:val="none"/>
                <w:lang w:val="en-US" w:eastAsia="zh-CN" w:bidi="ar-SA"/>
              </w:rPr>
              <w:t>本项目钻井期和测试放喷期间可能产生少量原油，由于非正常原因导致原油散落地面形成的油土混合物，含油污泥产生量约0.01t。按照《国家危险废物名录（2025年版）》，废油划分为废矿物油与含矿物油废物类，其危险废物编号为HW08，</w:t>
            </w:r>
            <w:r>
              <w:rPr>
                <w:rFonts w:hint="default" w:ascii="Times New Roman" w:hAnsi="Times New Roman" w:eastAsia="宋体" w:cs="Times New Roman"/>
                <w:color w:val="auto"/>
                <w:spacing w:val="0"/>
                <w:kern w:val="0"/>
                <w:position w:val="0"/>
                <w:sz w:val="24"/>
                <w:szCs w:val="21"/>
                <w:highlight w:val="none"/>
                <w:lang w:val="en-US" w:eastAsia="zh-CN" w:bidi="ar-SA"/>
              </w:rPr>
              <w:t>危险废物代码为900-249-08</w:t>
            </w:r>
            <w:r>
              <w:rPr>
                <w:rFonts w:hint="default" w:ascii="Times New Roman" w:hAnsi="Times New Roman" w:eastAsia="宋体" w:cs="Times New Roman"/>
                <w:color w:val="auto"/>
                <w:spacing w:val="0"/>
                <w:kern w:val="2"/>
                <w:position w:val="0"/>
                <w:sz w:val="24"/>
                <w:szCs w:val="24"/>
                <w:highlight w:val="none"/>
                <w:lang w:val="en-US" w:eastAsia="zh-CN" w:bidi="ar-SA"/>
              </w:rPr>
              <w:t>。</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含油污泥桶装收集后暂存于撬装式危废暂存间（8m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）中，定期委托有资质的单位进行处理处置。根据油田公司环境保护管理制度规定，落地油要求100%回收，并且采取严格的防控措施，一般不会产生落地油。</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（9）废烧碱包装袋</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钻井施工过程中配制钻井泥浆时会产生少量烧碱等危险化学品废弃包装袋属于危险废物，根据《国家危险废物名录（2025年版）》，危险化学品废弃包装袋其危险废物编号为HW49，危险废物代码为900-04</w:t>
            </w:r>
            <w:r>
              <w:rPr>
                <w:rFonts w:hint="eastAsia" w:asci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-49。类比同类钻井工程，钻井期间产生的废包装袋约为0.1t/口，及时回收废包装袋，暂存于撬装式危废暂存间（8m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）中，定期委托具有危废处置资质的单位接收处置。</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pacing w:val="0"/>
                <w:kern w:val="2"/>
                <w:position w:val="0"/>
                <w:sz w:val="24"/>
                <w:szCs w:val="24"/>
                <w:highlight w:val="none"/>
                <w:lang w:val="en-US" w:eastAsia="zh-CN" w:bidi="ar-SA"/>
              </w:rPr>
            </w:pPr>
            <w:r>
              <w:rPr>
                <w:rFonts w:hint="default" w:ascii="Times New Roman" w:hAnsi="Times New Roman" w:eastAsia="宋体" w:cs="Times New Roman"/>
                <w:color w:val="auto"/>
                <w:spacing w:val="0"/>
                <w:kern w:val="2"/>
                <w:position w:val="0"/>
                <w:sz w:val="24"/>
                <w:szCs w:val="24"/>
                <w:highlight w:val="none"/>
                <w:lang w:val="en-US" w:eastAsia="zh-CN" w:bidi="ar-SA"/>
              </w:rPr>
              <w:t>（10）废矿物油及其包装物</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color w:val="auto"/>
                <w:spacing w:val="0"/>
                <w:kern w:val="2"/>
                <w:position w:val="0"/>
                <w:sz w:val="24"/>
                <w:szCs w:val="24"/>
                <w:highlight w:val="none"/>
                <w:lang w:val="en-US" w:eastAsia="zh-CN" w:bidi="ar-SA"/>
              </w:rPr>
              <w:t>钻井期间使用的机械设备运行过程中需进行维护、保养、维修等工作，以使其能正常运转，此过程中将产生少量的废矿物油，如废液压油、废机油等，按照《国家危险废物名录（2025年版）》，废油划分为废矿物油与含矿物油废物类，其危险废物编号为HW08，危险废物代码为900-249-08。产生量约0.1t，采用专用容器盛装。废包装物为与矿物油同步产生，其危险废物编号为HW08，危险废物代码为900-249-08。产生量约0.02t。废矿物油、废包装物暂存于撬装式危废暂存间（8m</w:t>
            </w:r>
            <w:r>
              <w:rPr>
                <w:rFonts w:hint="default" w:ascii="Times New Roman" w:hAnsi="Times New Roman" w:eastAsia="宋体" w:cs="Times New Roman"/>
                <w:color w:val="auto"/>
                <w:spacing w:val="0"/>
                <w:kern w:val="2"/>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kern w:val="2"/>
                <w:position w:val="0"/>
                <w:sz w:val="24"/>
                <w:szCs w:val="24"/>
                <w:highlight w:val="none"/>
                <w:lang w:val="en-US" w:eastAsia="zh-CN" w:bidi="ar-SA"/>
              </w:rPr>
              <w:t>）中，定期委托具有危废处置资质的单位接收处置。</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根据《固体废物分类与代码目录》（生态环境部公告 2024年第4号）、《固体废物污染环境防治信息发布指南》（环办固体函〔2024〕37号）、《一般工业固体废物台账管理指南》《危险废物环境管理指南 陆上石油天然气开采》（生态环境部公告 2021年第74号）及《国家危险废物名录（2025年版）》，本项目固体废物类别及处置措施见表4-</w:t>
            </w:r>
            <w:r>
              <w:rPr>
                <w:rFonts w:hint="eastAsia" w:asci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，危险废物类别及处置措施见表4-</w:t>
            </w:r>
            <w:r>
              <w:rPr>
                <w:rFonts w:hint="eastAsia" w:asci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lang w:val="en-US" w:eastAsia="zh-CN"/>
              </w:rPr>
              <w:t xml:space="preserve">    工程固体废物产生、处置及防治措施情况一览表</w:t>
            </w:r>
          </w:p>
          <w:tbl>
            <w:tblPr>
              <w:tblStyle w:val="32"/>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03"/>
              <w:gridCol w:w="1176"/>
              <w:gridCol w:w="785"/>
              <w:gridCol w:w="796"/>
              <w:gridCol w:w="496"/>
              <w:gridCol w:w="312"/>
              <w:gridCol w:w="40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属性</w:t>
                  </w:r>
                </w:p>
              </w:tc>
              <w:tc>
                <w:tcPr>
                  <w:tcW w:w="726"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废物代码</w:t>
                  </w:r>
                </w:p>
              </w:tc>
              <w:tc>
                <w:tcPr>
                  <w:tcW w:w="484"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固体废物名称</w:t>
                  </w:r>
                </w:p>
              </w:tc>
              <w:tc>
                <w:tcPr>
                  <w:tcW w:w="491"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环节</w:t>
                  </w:r>
                </w:p>
              </w:tc>
              <w:tc>
                <w:tcPr>
                  <w:tcW w:w="306"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产生量</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单位</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处理措施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w:t>
                  </w: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SW12 071-001-S12</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废弃钻井泥浆及岩屑</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钻井过程</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eastAsia" w:ascii="Times New Roman" w:cs="Times New Roman"/>
                      <w:color w:val="auto"/>
                      <w:spacing w:val="0"/>
                      <w:position w:val="0"/>
                      <w:sz w:val="21"/>
                      <w:szCs w:val="21"/>
                      <w:highlight w:val="none"/>
                      <w:lang w:val="en-US" w:eastAsia="zh-CN"/>
                    </w:rPr>
                    <w:t>3648.23</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岩屑随钻井泥浆带出，泥浆排入泥浆罐循环使用，完井后拉运至下一口井再利用，膨润土体系废弃钻井岩屑排入膨润土岩屑池干化，达到《油气田钻井固体废物综合利用污染控制要求》（DB65/T 3997-2017）及《石油天然气开采业固体废物污染控制技术规范（试行）》（HJ1461-2026</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标准</w:t>
                  </w:r>
                  <w:r>
                    <w:rPr>
                      <w:rFonts w:hint="eastAsia" w:ascii="Times New Roman" w:cs="Times New Roman"/>
                      <w:color w:val="auto"/>
                      <w:sz w:val="21"/>
                      <w:szCs w:val="21"/>
                      <w:highlight w:val="none"/>
                      <w:lang w:val="en-US" w:eastAsia="zh-CN"/>
                    </w:rPr>
                    <w:t>（含水率＜60%、石油烃＜4500mg/kg）</w:t>
                  </w:r>
                  <w:r>
                    <w:rPr>
                      <w:rFonts w:hint="default" w:ascii="Times New Roman" w:hAnsi="Times New Roman" w:eastAsia="宋体" w:cs="Times New Roman"/>
                      <w:color w:val="auto"/>
                      <w:sz w:val="21"/>
                      <w:szCs w:val="21"/>
                      <w:highlight w:val="none"/>
                      <w:lang w:val="en-US" w:eastAsia="zh-CN"/>
                    </w:rPr>
                    <w:t>后，用于井场平整；</w:t>
                  </w:r>
                  <w:r>
                    <w:rPr>
                      <w:rFonts w:hint="eastAsia" w:ascii="Times New Roman" w:cs="Times New Roman"/>
                      <w:color w:val="auto"/>
                      <w:sz w:val="21"/>
                      <w:szCs w:val="21"/>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z w:val="21"/>
                      <w:szCs w:val="21"/>
                      <w:highlight w:val="none"/>
                      <w:lang w:val="en-US" w:eastAsia="zh-CN"/>
                    </w:rPr>
                    <w:t>，处理后</w:t>
                  </w:r>
                  <w:r>
                    <w:rPr>
                      <w:rFonts w:hint="eastAsia" w:ascii="Times New Roman" w:cs="Times New Roman"/>
                      <w:color w:val="auto"/>
                      <w:sz w:val="21"/>
                      <w:szCs w:val="21"/>
                      <w:highlight w:val="none"/>
                      <w:lang w:val="en-US" w:eastAsia="zh-CN"/>
                    </w:rPr>
                    <w:t>还原土</w:t>
                  </w:r>
                  <w:r>
                    <w:rPr>
                      <w:rFonts w:hint="default" w:ascii="Times New Roman" w:hAnsi="Times New Roman" w:eastAsia="宋体" w:cs="Times New Roman"/>
                      <w:color w:val="auto"/>
                      <w:sz w:val="21"/>
                      <w:szCs w:val="21"/>
                      <w:highlight w:val="none"/>
                      <w:lang w:val="en-US" w:eastAsia="zh-CN"/>
                    </w:rPr>
                    <w:t>用于铺垫油区内的井场、道路。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SW90 462-001-S90</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污水处理站污泥</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污水处理站</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0.12</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定期送至</w:t>
                  </w:r>
                  <w:r>
                    <w:rPr>
                      <w:rFonts w:hint="eastAsia" w:ascii="Times New Roman" w:cs="Times New Roman"/>
                      <w:color w:val="auto"/>
                      <w:sz w:val="21"/>
                      <w:szCs w:val="21"/>
                      <w:highlight w:val="none"/>
                      <w:lang w:val="en-US" w:eastAsia="zh-CN"/>
                    </w:rPr>
                    <w:t>塔中镇生活垃圾填埋场处理</w:t>
                  </w:r>
                  <w:r>
                    <w:rPr>
                      <w:rFonts w:hint="default" w:ascii="Times New Roman" w:hAnsi="Times New Roman" w:eastAsia="宋体" w:cs="Times New Roman"/>
                      <w:color w:val="auto"/>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SW03</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900-001-S03</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锅炉灰渣</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供热</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pacing w:val="0"/>
                      <w:kern w:val="2"/>
                      <w:position w:val="0"/>
                      <w:sz w:val="21"/>
                      <w:szCs w:val="21"/>
                      <w:highlight w:val="none"/>
                      <w:lang w:val="en-US" w:eastAsia="zh-CN" w:bidi="ar-SA"/>
                    </w:rPr>
                    <w:t>210.8</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w:t>
                  </w:r>
                </w:p>
              </w:tc>
              <w:tc>
                <w:tcPr>
                  <w:tcW w:w="2487"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统一收集后送至周边固废填埋场处理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SW02</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900-001-S02</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供热</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pacing w:val="0"/>
                      <w:kern w:val="2"/>
                      <w:position w:val="0"/>
                      <w:sz w:val="21"/>
                      <w:szCs w:val="21"/>
                      <w:highlight w:val="none"/>
                      <w:lang w:val="en-US" w:eastAsia="zh-CN" w:bidi="ar-SA"/>
                    </w:rPr>
                    <w:t>73.6</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w:t>
                  </w:r>
                </w:p>
              </w:tc>
              <w:tc>
                <w:tcPr>
                  <w:tcW w:w="2487"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SW59</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900-099-S59</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废布袋</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废气处理</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bidi="ar-SA"/>
                    </w:rPr>
                    <w:t>0.1</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厂家回收处理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SW64 900-099-S64</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生活垃圾</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施工人员生活</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10.8</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定期送至</w:t>
                  </w:r>
                  <w:r>
                    <w:rPr>
                      <w:rFonts w:hint="eastAsia" w:ascii="Times New Roman" w:cs="Times New Roman"/>
                      <w:color w:val="auto"/>
                      <w:sz w:val="21"/>
                      <w:szCs w:val="21"/>
                      <w:highlight w:val="none"/>
                      <w:lang w:val="en-US" w:eastAsia="zh-CN"/>
                    </w:rPr>
                    <w:t>塔中镇生活垃圾填埋场处理</w:t>
                  </w:r>
                  <w:r>
                    <w:rPr>
                      <w:rFonts w:hint="default" w:ascii="Times New Roman" w:hAnsi="Times New Roman" w:eastAsia="宋体" w:cs="Times New Roman"/>
                      <w:color w:val="auto"/>
                      <w:sz w:val="21"/>
                      <w:szCs w:val="21"/>
                      <w:highlight w:val="none"/>
                      <w:lang w:val="en-US" w:eastAsia="zh-CN"/>
                    </w:rPr>
                    <w:t>。</w:t>
                  </w:r>
                </w:p>
              </w:tc>
            </w:tr>
          </w:tbl>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6</w:t>
            </w:r>
            <w:r>
              <w:rPr>
                <w:rFonts w:hint="default" w:ascii="Times New Roman" w:hAnsi="Times New Roman" w:eastAsia="宋体" w:cs="Times New Roman"/>
                <w:b/>
                <w:bCs/>
                <w:color w:val="auto"/>
                <w:sz w:val="24"/>
                <w:highlight w:val="none"/>
                <w:lang w:val="en-US" w:eastAsia="zh-CN"/>
              </w:rPr>
              <w:t xml:space="preserve">    工程危险废物产生、处置及防治措施情况一览表</w:t>
            </w:r>
          </w:p>
          <w:tbl>
            <w:tblPr>
              <w:tblStyle w:val="32"/>
              <w:tblW w:w="499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0"/>
              <w:gridCol w:w="461"/>
              <w:gridCol w:w="561"/>
              <w:gridCol w:w="1716"/>
              <w:gridCol w:w="915"/>
              <w:gridCol w:w="658"/>
              <w:gridCol w:w="401"/>
              <w:gridCol w:w="527"/>
              <w:gridCol w:w="598"/>
              <w:gridCol w:w="507"/>
              <w:gridCol w:w="541"/>
              <w:gridCol w:w="7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危险废物名称</w:t>
                  </w:r>
                </w:p>
              </w:tc>
              <w:tc>
                <w:tcPr>
                  <w:tcW w:w="28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废物</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类别</w:t>
                  </w:r>
                </w:p>
              </w:tc>
              <w:tc>
                <w:tcPr>
                  <w:tcW w:w="347"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废物</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代码</w:t>
                  </w:r>
                </w:p>
              </w:tc>
              <w:tc>
                <w:tcPr>
                  <w:tcW w:w="1061"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危险废物</w:t>
                  </w:r>
                </w:p>
              </w:tc>
              <w:tc>
                <w:tcPr>
                  <w:tcW w:w="56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产生量</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w:t>
                  </w:r>
                  <w:r>
                    <w:rPr>
                      <w:rFonts w:hint="default" w:ascii="Times New Roman" w:hAnsi="Times New Roman" w:eastAsia="宋体" w:cs="Times New Roman"/>
                      <w:color w:val="auto"/>
                      <w:spacing w:val="-10"/>
                      <w:kern w:val="2"/>
                      <w:sz w:val="21"/>
                      <w:szCs w:val="21"/>
                      <w:highlight w:val="none"/>
                      <w:lang w:val="en-US" w:eastAsia="zh-CN"/>
                    </w:rPr>
                    <w:t>t/</w:t>
                  </w:r>
                  <w:r>
                    <w:rPr>
                      <w:rFonts w:hint="eastAsia" w:ascii="Times New Roman" w:eastAsia="宋体" w:cs="Times New Roman"/>
                      <w:color w:val="auto"/>
                      <w:spacing w:val="-10"/>
                      <w:kern w:val="2"/>
                      <w:sz w:val="21"/>
                      <w:szCs w:val="21"/>
                      <w:highlight w:val="none"/>
                      <w:lang w:val="en-US" w:eastAsia="zh-CN"/>
                    </w:rPr>
                    <w:t>钻井期）</w:t>
                  </w:r>
                </w:p>
              </w:tc>
              <w:tc>
                <w:tcPr>
                  <w:tcW w:w="407"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产生工序及装置</w:t>
                  </w:r>
                </w:p>
              </w:tc>
              <w:tc>
                <w:tcPr>
                  <w:tcW w:w="24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形态</w:t>
                  </w:r>
                </w:p>
              </w:tc>
              <w:tc>
                <w:tcPr>
                  <w:tcW w:w="32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主要成分</w:t>
                  </w:r>
                </w:p>
              </w:tc>
              <w:tc>
                <w:tcPr>
                  <w:tcW w:w="369"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有害</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成分</w:t>
                  </w:r>
                </w:p>
              </w:tc>
              <w:tc>
                <w:tcPr>
                  <w:tcW w:w="31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产废周期</w:t>
                  </w:r>
                </w:p>
              </w:tc>
              <w:tc>
                <w:tcPr>
                  <w:tcW w:w="33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危废特性</w:t>
                  </w:r>
                </w:p>
              </w:tc>
              <w:tc>
                <w:tcPr>
                  <w:tcW w:w="45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污染防治</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废烧碱包装袋</w:t>
                  </w:r>
                </w:p>
              </w:tc>
              <w:tc>
                <w:tcPr>
                  <w:tcW w:w="28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HW49</w:t>
                  </w:r>
                </w:p>
              </w:tc>
              <w:tc>
                <w:tcPr>
                  <w:tcW w:w="347"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900-04</w:t>
                  </w:r>
                  <w:r>
                    <w:rPr>
                      <w:rFonts w:hint="eastAsia" w:ascii="Times New Roman" w:eastAsia="宋体" w:cs="Times New Roman"/>
                      <w:color w:val="auto"/>
                      <w:spacing w:val="-10"/>
                      <w:kern w:val="2"/>
                      <w:sz w:val="21"/>
                      <w:szCs w:val="21"/>
                      <w:highlight w:val="none"/>
                      <w:lang w:val="en-US" w:eastAsia="zh-CN"/>
                    </w:rPr>
                    <w:t>1</w:t>
                  </w:r>
                  <w:r>
                    <w:rPr>
                      <w:rFonts w:hint="default" w:ascii="Times New Roman" w:hAnsi="Times New Roman" w:eastAsia="宋体" w:cs="Times New Roman"/>
                      <w:color w:val="auto"/>
                      <w:spacing w:val="-10"/>
                      <w:kern w:val="2"/>
                      <w:sz w:val="21"/>
                      <w:szCs w:val="21"/>
                      <w:highlight w:val="none"/>
                      <w:lang w:val="en-US" w:eastAsia="zh-CN"/>
                    </w:rPr>
                    <w:t>-49</w:t>
                  </w:r>
                </w:p>
              </w:tc>
              <w:tc>
                <w:tcPr>
                  <w:tcW w:w="1061"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含有或者沾染毒性、感染性危险废物的废弃的包装物、容器、过滤吸附介质</w:t>
                  </w:r>
                </w:p>
              </w:tc>
              <w:tc>
                <w:tcPr>
                  <w:tcW w:w="566" w:type="pct"/>
                  <w:noWrap w:val="0"/>
                  <w:tcMar>
                    <w:left w:w="28" w:type="dxa"/>
                    <w:right w:w="28" w:type="dxa"/>
                  </w:tcMar>
                  <w:vAlign w:val="center"/>
                </w:tcPr>
                <w:p>
                  <w:pPr>
                    <w:pStyle w:val="3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snapToGrid w:val="0"/>
                      <w:color w:val="auto"/>
                      <w:spacing w:val="-10"/>
                      <w:sz w:val="21"/>
                      <w:szCs w:val="21"/>
                      <w:highlight w:val="none"/>
                      <w:lang w:val="en-US" w:eastAsia="zh-CN"/>
                    </w:rPr>
                  </w:pPr>
                  <w:r>
                    <w:rPr>
                      <w:rFonts w:hint="default" w:ascii="Times New Roman" w:hAnsi="Times New Roman" w:eastAsia="宋体" w:cs="Times New Roman"/>
                      <w:snapToGrid w:val="0"/>
                      <w:color w:val="auto"/>
                      <w:spacing w:val="-10"/>
                      <w:sz w:val="21"/>
                      <w:szCs w:val="21"/>
                      <w:highlight w:val="none"/>
                      <w:lang w:val="en-US" w:eastAsia="zh-CN"/>
                    </w:rPr>
                    <w:t>0.1</w:t>
                  </w:r>
                </w:p>
              </w:tc>
              <w:tc>
                <w:tcPr>
                  <w:tcW w:w="407"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使用烧碱过程对应产生</w:t>
                  </w:r>
                </w:p>
              </w:tc>
              <w:tc>
                <w:tcPr>
                  <w:tcW w:w="24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固体</w:t>
                  </w:r>
                </w:p>
              </w:tc>
              <w:tc>
                <w:tcPr>
                  <w:tcW w:w="32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NaOH</w:t>
                  </w:r>
                </w:p>
              </w:tc>
              <w:tc>
                <w:tcPr>
                  <w:tcW w:w="369"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NaOH</w:t>
                  </w:r>
                </w:p>
              </w:tc>
              <w:tc>
                <w:tcPr>
                  <w:tcW w:w="31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w:t>
                  </w:r>
                </w:p>
              </w:tc>
              <w:tc>
                <w:tcPr>
                  <w:tcW w:w="33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T/C/I/R</w:t>
                  </w:r>
                </w:p>
              </w:tc>
              <w:tc>
                <w:tcPr>
                  <w:tcW w:w="455" w:type="pct"/>
                  <w:vMerge w:val="restar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收集后，由有危废处置资质单位接收处置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废矿物油</w:t>
                  </w:r>
                  <w:r>
                    <w:rPr>
                      <w:rFonts w:hint="eastAsia" w:ascii="Times New Roman" w:eastAsia="宋体" w:cs="Times New Roman"/>
                      <w:color w:val="auto"/>
                      <w:spacing w:val="-10"/>
                      <w:kern w:val="2"/>
                      <w:sz w:val="21"/>
                      <w:szCs w:val="21"/>
                      <w:highlight w:val="none"/>
                      <w:lang w:val="en-US" w:eastAsia="zh-CN"/>
                    </w:rPr>
                    <w:t>及其包装物</w:t>
                  </w:r>
                </w:p>
              </w:tc>
              <w:tc>
                <w:tcPr>
                  <w:tcW w:w="285" w:type="pct"/>
                  <w:vMerge w:val="restar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HW08</w:t>
                  </w:r>
                </w:p>
              </w:tc>
              <w:tc>
                <w:tcPr>
                  <w:tcW w:w="347" w:type="pct"/>
                  <w:vMerge w:val="restar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900-249-08</w:t>
                  </w:r>
                </w:p>
              </w:tc>
              <w:tc>
                <w:tcPr>
                  <w:tcW w:w="1061" w:type="pct"/>
                  <w:vMerge w:val="restar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其他生产、销售、使用过程中产生的废矿物油及沾染矿物油的废弃包装物</w:t>
                  </w:r>
                </w:p>
              </w:tc>
              <w:tc>
                <w:tcPr>
                  <w:tcW w:w="566" w:type="pct"/>
                  <w:shd w:val="clear" w:color="auto" w:fill="auto"/>
                  <w:noWrap w:val="0"/>
                  <w:tcMar>
                    <w:left w:w="28" w:type="dxa"/>
                    <w:right w:w="28" w:type="dxa"/>
                  </w:tcMar>
                  <w:vAlign w:val="center"/>
                </w:tcPr>
                <w:p>
                  <w:pPr>
                    <w:pStyle w:val="31"/>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rPr>
                      <w:rFonts w:hint="default" w:ascii="Times New Roman" w:hAnsi="Times New Roman" w:eastAsia="宋体" w:cs="Times New Roman"/>
                      <w:snapToGrid w:val="0"/>
                      <w:color w:val="auto"/>
                      <w:spacing w:val="0"/>
                      <w:kern w:val="0"/>
                      <w:position w:val="0"/>
                      <w:sz w:val="21"/>
                      <w:szCs w:val="21"/>
                      <w:highlight w:val="none"/>
                      <w:lang w:val="en-US" w:eastAsia="zh-CN" w:bidi="ar-SA"/>
                    </w:rPr>
                  </w:pPr>
                  <w:r>
                    <w:rPr>
                      <w:rFonts w:hint="default" w:ascii="Times New Roman" w:hAnsi="Times New Roman" w:eastAsia="宋体" w:cs="Times New Roman"/>
                      <w:snapToGrid w:val="0"/>
                      <w:color w:val="auto"/>
                      <w:spacing w:val="0"/>
                      <w:position w:val="0"/>
                      <w:sz w:val="21"/>
                      <w:szCs w:val="21"/>
                      <w:highlight w:val="none"/>
                      <w:lang w:val="en-US" w:eastAsia="zh-CN"/>
                    </w:rPr>
                    <w:t>0.1</w:t>
                  </w:r>
                </w:p>
              </w:tc>
              <w:tc>
                <w:tcPr>
                  <w:tcW w:w="407"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钻井过程</w:t>
                  </w:r>
                </w:p>
              </w:tc>
              <w:tc>
                <w:tcPr>
                  <w:tcW w:w="248"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固态</w:t>
                  </w:r>
                </w:p>
              </w:tc>
              <w:tc>
                <w:tcPr>
                  <w:tcW w:w="326"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废矿物油</w:t>
                  </w:r>
                </w:p>
              </w:tc>
              <w:tc>
                <w:tcPr>
                  <w:tcW w:w="369"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油类</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物质</w:t>
                  </w:r>
                </w:p>
              </w:tc>
              <w:tc>
                <w:tcPr>
                  <w:tcW w:w="313"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w:t>
                  </w:r>
                </w:p>
              </w:tc>
              <w:tc>
                <w:tcPr>
                  <w:tcW w:w="334"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T，I</w:t>
                  </w:r>
                </w:p>
              </w:tc>
              <w:tc>
                <w:tcPr>
                  <w:tcW w:w="455" w:type="pct"/>
                  <w:vMerge w:val="continue"/>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沾油废物</w:t>
                  </w:r>
                </w:p>
              </w:tc>
              <w:tc>
                <w:tcPr>
                  <w:tcW w:w="285" w:type="pct"/>
                  <w:vMerge w:val="continue"/>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p>
              </w:tc>
              <w:tc>
                <w:tcPr>
                  <w:tcW w:w="347" w:type="pct"/>
                  <w:vMerge w:val="continue"/>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p>
              </w:tc>
              <w:tc>
                <w:tcPr>
                  <w:tcW w:w="1061" w:type="pct"/>
                  <w:vMerge w:val="continue"/>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p>
              </w:tc>
              <w:tc>
                <w:tcPr>
                  <w:tcW w:w="566" w:type="pct"/>
                  <w:shd w:val="clear" w:color="auto" w:fill="auto"/>
                  <w:noWrap w:val="0"/>
                  <w:tcMar>
                    <w:left w:w="28" w:type="dxa"/>
                    <w:right w:w="28" w:type="dxa"/>
                  </w:tcMar>
                  <w:vAlign w:val="center"/>
                </w:tcPr>
                <w:p>
                  <w:pPr>
                    <w:pStyle w:val="31"/>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宋体" w:cs="Times New Roman"/>
                      <w:snapToGrid w:val="0"/>
                      <w:color w:val="auto"/>
                      <w:spacing w:val="0"/>
                      <w:kern w:val="0"/>
                      <w:position w:val="0"/>
                      <w:sz w:val="21"/>
                      <w:szCs w:val="21"/>
                      <w:highlight w:val="none"/>
                      <w:lang w:val="en-US" w:eastAsia="zh-CN" w:bidi="ar-SA"/>
                    </w:rPr>
                  </w:pPr>
                  <w:r>
                    <w:rPr>
                      <w:rFonts w:hint="default" w:ascii="Times New Roman" w:hAnsi="Times New Roman" w:eastAsia="宋体" w:cs="Times New Roman"/>
                      <w:snapToGrid w:val="0"/>
                      <w:color w:val="auto"/>
                      <w:spacing w:val="0"/>
                      <w:position w:val="0"/>
                      <w:sz w:val="21"/>
                      <w:szCs w:val="21"/>
                      <w:highlight w:val="none"/>
                      <w:lang w:val="en-US" w:eastAsia="zh-CN"/>
                    </w:rPr>
                    <w:t>0.01</w:t>
                  </w:r>
                </w:p>
              </w:tc>
              <w:tc>
                <w:tcPr>
                  <w:tcW w:w="407"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钻井过程</w:t>
                  </w:r>
                </w:p>
              </w:tc>
              <w:tc>
                <w:tcPr>
                  <w:tcW w:w="248"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固态</w:t>
                  </w:r>
                </w:p>
              </w:tc>
              <w:tc>
                <w:tcPr>
                  <w:tcW w:w="326"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废矿物油</w:t>
                  </w:r>
                </w:p>
              </w:tc>
              <w:tc>
                <w:tcPr>
                  <w:tcW w:w="369"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油类</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物质</w:t>
                  </w:r>
                </w:p>
              </w:tc>
              <w:tc>
                <w:tcPr>
                  <w:tcW w:w="313"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w:t>
                  </w:r>
                </w:p>
              </w:tc>
              <w:tc>
                <w:tcPr>
                  <w:tcW w:w="334"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T,I</w:t>
                  </w:r>
                </w:p>
              </w:tc>
              <w:tc>
                <w:tcPr>
                  <w:tcW w:w="455" w:type="pct"/>
                  <w:vMerge w:val="continue"/>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6.2固体废物污染控制要求</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根据《石油天然气开采业固体废物污染控制技术规范（试行）》（HJ1461-2026），本项目固体废物的收集、贮存、转移污染控制要求见</w:t>
            </w:r>
            <w:r>
              <w:rPr>
                <w:rFonts w:hint="eastAsia" w:ascii="Times New Roman" w:eastAsia="宋体" w:cs="Times New Roman"/>
                <w:color w:val="auto"/>
                <w:kern w:val="2"/>
                <w:sz w:val="24"/>
                <w:szCs w:val="24"/>
                <w:highlight w:val="none"/>
                <w:lang w:val="en-US" w:eastAsia="zh-CN" w:bidi="ar-SA"/>
              </w:rPr>
              <w:t>下表</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7</w:t>
            </w:r>
            <w:r>
              <w:rPr>
                <w:rFonts w:hint="default" w:ascii="Times New Roman" w:hAnsi="Times New Roman" w:eastAsia="宋体" w:cs="Times New Roman"/>
                <w:b/>
                <w:bCs/>
                <w:color w:val="auto"/>
                <w:sz w:val="24"/>
                <w:highlight w:val="none"/>
                <w:lang w:val="en-US" w:eastAsia="zh-CN"/>
              </w:rPr>
              <w:t xml:space="preserve">    固体废物收集、贮存、转移污染控制要求</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960"/>
              <w:gridCol w:w="3388"/>
              <w:gridCol w:w="7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收集、贮存、转移污染控制要求</w:t>
                  </w:r>
                </w:p>
              </w:tc>
              <w:tc>
                <w:tcPr>
                  <w:tcW w:w="2091"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本项目情况</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5.1 含油废物应与水基岩屑分开收集。水基岩屑中磺化钻井岩屑应单独收集处理，特殊工段（造斜井段和目的层井段）及非正常工况产生的聚合物岩屑应单独收集处理。</w:t>
                  </w:r>
                </w:p>
              </w:tc>
              <w:tc>
                <w:tcPr>
                  <w:tcW w:w="3388" w:type="dxa"/>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含油废物与水基岩屑分开收集。特殊工段</w:t>
                  </w:r>
                  <w:r>
                    <w:rPr>
                      <w:rFonts w:hint="eastAsia" w:ascii="Times New Roman" w:hAnsi="Times New Roman" w:eastAsia="宋体" w:cs="Times New Roman"/>
                      <w:color w:val="auto"/>
                      <w:spacing w:val="-10"/>
                      <w:kern w:val="2"/>
                      <w:sz w:val="21"/>
                      <w:szCs w:val="21"/>
                      <w:highlight w:val="none"/>
                      <w:lang w:val="en-US" w:eastAsia="zh-CN"/>
                    </w:rPr>
                    <w:t>及非正常工况产生</w:t>
                  </w:r>
                  <w:r>
                    <w:rPr>
                      <w:rFonts w:hint="default" w:ascii="Times New Roman" w:hAnsi="Times New Roman" w:eastAsia="宋体" w:cs="Times New Roman"/>
                      <w:color w:val="auto"/>
                      <w:spacing w:val="-10"/>
                      <w:kern w:val="2"/>
                      <w:sz w:val="21"/>
                      <w:szCs w:val="21"/>
                      <w:highlight w:val="none"/>
                      <w:lang w:val="en-US" w:eastAsia="zh-CN"/>
                    </w:rPr>
                    <w:t>膨润土体系废弃钻井岩屑</w:t>
                  </w:r>
                  <w:r>
                    <w:rPr>
                      <w:rFonts w:hint="eastAsia" w:ascii="Times New Roman" w:hAnsi="Times New Roman" w:eastAsia="宋体" w:cs="Times New Roman"/>
                      <w:color w:val="auto"/>
                      <w:spacing w:val="-10"/>
                      <w:kern w:val="2"/>
                      <w:sz w:val="21"/>
                      <w:szCs w:val="21"/>
                      <w:highlight w:val="none"/>
                      <w:lang w:val="en-US" w:eastAsia="zh-CN"/>
                    </w:rPr>
                    <w:t>分区</w:t>
                  </w:r>
                  <w:r>
                    <w:rPr>
                      <w:rFonts w:hint="default" w:ascii="Times New Roman" w:hAnsi="Times New Roman" w:eastAsia="宋体" w:cs="Times New Roman"/>
                      <w:color w:val="auto"/>
                      <w:spacing w:val="-10"/>
                      <w:kern w:val="2"/>
                      <w:sz w:val="21"/>
                      <w:szCs w:val="21"/>
                      <w:highlight w:val="none"/>
                      <w:lang w:val="en-US" w:eastAsia="zh-CN"/>
                    </w:rPr>
                    <w:t>排入防渗岩屑池干化，经检测达标后，用于井场平整；聚磺体系废弃钻井岩屑</w:t>
                  </w:r>
                  <w:r>
                    <w:rPr>
                      <w:rFonts w:hint="eastAsia" w:ascii="Times New Roman" w:hAnsi="Times New Roman" w:eastAsia="宋体" w:cs="Times New Roman"/>
                      <w:color w:val="auto"/>
                      <w:spacing w:val="-10"/>
                      <w:kern w:val="2"/>
                      <w:sz w:val="21"/>
                      <w:szCs w:val="21"/>
                      <w:highlight w:val="none"/>
                      <w:lang w:val="en-US" w:eastAsia="zh-CN"/>
                    </w:rPr>
                    <w:t>单独收集</w:t>
                  </w:r>
                  <w:r>
                    <w:rPr>
                      <w:rFonts w:hint="default" w:ascii="Times New Roman" w:hAnsi="Times New Roman" w:eastAsia="宋体" w:cs="Times New Roman"/>
                      <w:color w:val="auto"/>
                      <w:spacing w:val="-10"/>
                      <w:kern w:val="2"/>
                      <w:sz w:val="21"/>
                      <w:szCs w:val="21"/>
                      <w:highlight w:val="none"/>
                      <w:lang w:val="en-US" w:eastAsia="zh-CN"/>
                    </w:rPr>
                    <w:t>，定期</w:t>
                  </w:r>
                  <w:r>
                    <w:rPr>
                      <w:rFonts w:hint="eastAsia" w:ascii="Times New Roman" w:eastAsia="宋体" w:cs="Times New Roman"/>
                      <w:color w:val="auto"/>
                      <w:spacing w:val="-10"/>
                      <w:kern w:val="2"/>
                      <w:sz w:val="21"/>
                      <w:szCs w:val="21"/>
                      <w:highlight w:val="none"/>
                      <w:lang w:val="en-US" w:eastAsia="zh-CN"/>
                    </w:rPr>
                    <w:t>拉</w:t>
                  </w:r>
                  <w:r>
                    <w:rPr>
                      <w:rFonts w:hint="default" w:ascii="Times New Roman" w:hAnsi="Times New Roman" w:eastAsia="宋体" w:cs="Times New Roman"/>
                      <w:color w:val="auto"/>
                      <w:spacing w:val="-10"/>
                      <w:kern w:val="2"/>
                      <w:sz w:val="21"/>
                      <w:szCs w:val="21"/>
                      <w:highlight w:val="none"/>
                      <w:lang w:val="en-US" w:eastAsia="zh-CN"/>
                    </w:rPr>
                    <w:t>运至塔中钻试修废弃物环保处理站处置，处理达标后还原土用于铺垫油区内的井场、道路。</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5.2 水基岩屑应随钻固液分离后收集，其中磺化钻井岩屑应脱胶脱稳和固液分离后收集，分离后的水基岩屑含水率宜小于 60%。固液分离后的液相应优先在钻井现场循环利用；不能利用的，应收集处理。</w:t>
                  </w:r>
                </w:p>
              </w:tc>
              <w:tc>
                <w:tcPr>
                  <w:tcW w:w="3388" w:type="dxa"/>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岩屑随钻井泥浆带出，采用“泥浆不落地”工艺收集，泥浆排入泥浆罐循环使用，完井后拉运至下一口井再利用</w:t>
                  </w:r>
                  <w:r>
                    <w:rPr>
                      <w:rFonts w:hint="eastAsia" w:ascii="Times New Roman" w:hAnsi="Times New Roman" w:eastAsia="宋体" w:cs="Times New Roman"/>
                      <w:color w:val="auto"/>
                      <w:spacing w:val="-10"/>
                      <w:kern w:val="2"/>
                      <w:sz w:val="21"/>
                      <w:szCs w:val="21"/>
                      <w:highlight w:val="none"/>
                      <w:lang w:val="en-US" w:eastAsia="zh-CN"/>
                    </w:rPr>
                    <w:t>；</w:t>
                  </w:r>
                  <w:r>
                    <w:rPr>
                      <w:rFonts w:hint="default" w:ascii="Times New Roman" w:hAnsi="Times New Roman" w:eastAsia="宋体" w:cs="Times New Roman"/>
                      <w:color w:val="auto"/>
                      <w:spacing w:val="-10"/>
                      <w:kern w:val="2"/>
                      <w:sz w:val="21"/>
                      <w:szCs w:val="21"/>
                      <w:highlight w:val="none"/>
                      <w:lang w:val="en-US" w:eastAsia="zh-CN"/>
                    </w:rPr>
                    <w:t>“泥浆不落地”</w:t>
                  </w:r>
                  <w:r>
                    <w:rPr>
                      <w:rFonts w:hint="eastAsia" w:ascii="Times New Roman" w:hAnsi="Times New Roman" w:eastAsia="宋体" w:cs="Times New Roman"/>
                      <w:color w:val="auto"/>
                      <w:spacing w:val="-10"/>
                      <w:kern w:val="2"/>
                      <w:sz w:val="21"/>
                      <w:szCs w:val="21"/>
                      <w:highlight w:val="none"/>
                      <w:lang w:val="en-US" w:eastAsia="zh-CN"/>
                    </w:rPr>
                    <w:t>系统固液分离出的岩屑含水率小于60%，</w:t>
                  </w:r>
                  <w:r>
                    <w:rPr>
                      <w:rFonts w:hint="eastAsia" w:ascii="Times New Roman" w:eastAsia="宋体" w:cs="Times New Roman"/>
                      <w:color w:val="auto"/>
                      <w:spacing w:val="-10"/>
                      <w:kern w:val="2"/>
                      <w:sz w:val="21"/>
                      <w:szCs w:val="21"/>
                      <w:highlight w:val="none"/>
                      <w:lang w:val="en-US" w:eastAsia="zh-CN"/>
                    </w:rPr>
                    <w:t>原材料中</w:t>
                  </w:r>
                  <w:r>
                    <w:rPr>
                      <w:rFonts w:hint="default" w:ascii="Times New Roman" w:hAnsi="Times New Roman" w:eastAsia="宋体" w:cs="Times New Roman"/>
                      <w:color w:val="auto"/>
                      <w:spacing w:val="-10"/>
                      <w:kern w:val="2"/>
                      <w:sz w:val="21"/>
                      <w:szCs w:val="21"/>
                      <w:highlight w:val="none"/>
                      <w:lang w:val="en-US" w:eastAsia="zh-CN"/>
                    </w:rPr>
                    <w:t>破胶剂组分A210t</w:t>
                  </w:r>
                  <w:r>
                    <w:rPr>
                      <w:rFonts w:hint="eastAsia" w:ascii="Times New Roman" w:eastAsia="宋体" w:cs="Times New Roman"/>
                      <w:color w:val="auto"/>
                      <w:spacing w:val="-10"/>
                      <w:kern w:val="2"/>
                      <w:sz w:val="21"/>
                      <w:szCs w:val="21"/>
                      <w:highlight w:val="none"/>
                      <w:lang w:val="en-US" w:eastAsia="zh-CN"/>
                    </w:rPr>
                    <w:t>及</w:t>
                  </w:r>
                  <w:r>
                    <w:rPr>
                      <w:rFonts w:hint="default" w:ascii="Times New Roman" w:hAnsi="Times New Roman" w:eastAsia="宋体" w:cs="Times New Roman"/>
                      <w:color w:val="auto"/>
                      <w:spacing w:val="-10"/>
                      <w:kern w:val="2"/>
                      <w:sz w:val="21"/>
                      <w:szCs w:val="21"/>
                      <w:highlight w:val="none"/>
                      <w:lang w:val="en-US" w:eastAsia="zh-CN"/>
                    </w:rPr>
                    <w:t>组分B42t用于磺化泥浆及岩屑脱胶脱稳处理。</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5.3 水基岩屑需要在作业现场临时贮存的，贮存场地的防渗性能应满足 GB18599 的要求。综合考虑降雨量、蒸发量等因素，因地制宜采取必要的防雨、防尘措施。转移过程中应采取防遗撒、防扬尘、防泄漏的措施。</w:t>
                  </w:r>
                </w:p>
              </w:tc>
              <w:tc>
                <w:tcPr>
                  <w:tcW w:w="2091"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岩屑池防渗要求满足GB18599 的要求，转移过程中采取防遗撒、防扬尘、防泄漏的措施。</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5.4 含油废物的收集、贮存、转移等环节应采取防雨、防渗、防泄漏等措施，挥发性有机物无组织排放应符合 GB 37822 的相关要求。</w:t>
                  </w:r>
                </w:p>
              </w:tc>
              <w:tc>
                <w:tcPr>
                  <w:tcW w:w="2091"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危险废物贮存设施符合GB18597-2023相关要求。项目边界非甲烷总烃无组织排放满足符合GB 37822的相关要求</w:t>
                  </w:r>
                  <w:r>
                    <w:rPr>
                      <w:rFonts w:hint="eastAsia" w:ascii="Times New Roman" w:eastAsia="宋体" w:cs="Times New Roman"/>
                      <w:color w:val="auto"/>
                      <w:spacing w:val="-10"/>
                      <w:kern w:val="2"/>
                      <w:sz w:val="21"/>
                      <w:szCs w:val="21"/>
                      <w:highlight w:val="none"/>
                      <w:lang w:val="en-US" w:eastAsia="zh-CN"/>
                    </w:rPr>
                    <w:t>。</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5.5 剩余固相的转移应采取防遗撒、防扬尘、防泄漏的措施。</w:t>
                  </w:r>
                </w:p>
              </w:tc>
              <w:tc>
                <w:tcPr>
                  <w:tcW w:w="2091"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采用专用容器盛装，并暂存于井场撬装化危废暂存间内。危险废物的收集、转移过程按照《危险废物收集 贮存 运输技术规范》（HJ2025-2012）中的相关要求进行。</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eastAsia="宋体" w:cs="Times New Roman"/>
                      <w:color w:val="auto"/>
                      <w:spacing w:val="-10"/>
                      <w:kern w:val="2"/>
                      <w:sz w:val="21"/>
                      <w:szCs w:val="21"/>
                      <w:highlight w:val="none"/>
                      <w:lang w:val="en-US" w:eastAsia="zh-CN"/>
                    </w:rPr>
                    <w:t xml:space="preserve">5.6 </w:t>
                  </w:r>
                  <w:r>
                    <w:rPr>
                      <w:rFonts w:hint="eastAsia" w:ascii="Times New Roman" w:hAnsi="Times New Roman" w:eastAsia="宋体" w:cs="Times New Roman"/>
                      <w:color w:val="auto"/>
                      <w:spacing w:val="-10"/>
                      <w:kern w:val="2"/>
                      <w:sz w:val="21"/>
                      <w:szCs w:val="21"/>
                      <w:highlight w:val="none"/>
                      <w:lang w:val="en-US" w:eastAsia="zh-CN"/>
                    </w:rPr>
                    <w:t>水基岩屑用于油气开采生产作业区的井场铺垫、道路铺设时，使用自然土、砂石等进行表面覆盖，覆盖层厚度在</w:t>
                  </w:r>
                  <w:r>
                    <w:rPr>
                      <w:rFonts w:hint="default" w:ascii="Times New Roman" w:hAnsi="Times New Roman" w:eastAsia="宋体" w:cs="Times New Roman"/>
                      <w:color w:val="auto"/>
                      <w:spacing w:val="-10"/>
                      <w:kern w:val="2"/>
                      <w:sz w:val="21"/>
                      <w:szCs w:val="21"/>
                      <w:highlight w:val="none"/>
                      <w:lang w:val="en-US" w:eastAsia="zh-CN"/>
                    </w:rPr>
                    <w:t>20 cm</w:t>
                  </w:r>
                  <w:r>
                    <w:rPr>
                      <w:rFonts w:hint="eastAsia" w:ascii="Times New Roman" w:hAnsi="Times New Roman" w:eastAsia="宋体" w:cs="Times New Roman"/>
                      <w:color w:val="auto"/>
                      <w:spacing w:val="-10"/>
                      <w:kern w:val="2"/>
                      <w:sz w:val="21"/>
                      <w:szCs w:val="21"/>
                      <w:highlight w:val="none"/>
                      <w:lang w:val="en-US" w:eastAsia="zh-CN"/>
                    </w:rPr>
                    <w:t>以上。当水基岩屑（不包括造斜井段和目的层井段等特殊工段以及非正常工况下产生的聚合物钻井岩屑）中石油烃含量小于4500mg/kg且满足以下要求时，可用于回填材料。</w:t>
                  </w:r>
                </w:p>
              </w:tc>
              <w:tc>
                <w:tcPr>
                  <w:tcW w:w="2091"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hAnsi="Times New Roman" w:eastAsia="宋体" w:cs="Times New Roman"/>
                      <w:color w:val="auto"/>
                      <w:spacing w:val="-10"/>
                      <w:kern w:val="2"/>
                      <w:sz w:val="21"/>
                      <w:szCs w:val="21"/>
                      <w:highlight w:val="none"/>
                      <w:lang w:val="en-US" w:eastAsia="zh-CN"/>
                    </w:rPr>
                    <w:t>井场铺垫、道路铺设时，使用</w:t>
                  </w:r>
                  <w:r>
                    <w:rPr>
                      <w:rFonts w:hint="eastAsia" w:ascii="Times New Roman" w:eastAsia="宋体" w:cs="Times New Roman"/>
                      <w:color w:val="auto"/>
                      <w:spacing w:val="-10"/>
                      <w:kern w:val="2"/>
                      <w:sz w:val="21"/>
                      <w:szCs w:val="21"/>
                      <w:highlight w:val="none"/>
                      <w:lang w:val="en-US" w:eastAsia="zh-CN"/>
                    </w:rPr>
                    <w:t>自然土、</w:t>
                  </w:r>
                  <w:r>
                    <w:rPr>
                      <w:rFonts w:hint="eastAsia" w:ascii="Times New Roman" w:hAnsi="Times New Roman" w:eastAsia="宋体" w:cs="Times New Roman"/>
                      <w:color w:val="auto"/>
                      <w:spacing w:val="-10"/>
                      <w:kern w:val="2"/>
                      <w:sz w:val="21"/>
                      <w:szCs w:val="21"/>
                      <w:highlight w:val="none"/>
                      <w:lang w:val="en-US" w:eastAsia="zh-CN"/>
                    </w:rPr>
                    <w:t>砂石进行表面覆盖，覆盖层厚度在</w:t>
                  </w:r>
                  <w:r>
                    <w:rPr>
                      <w:rFonts w:hint="default" w:ascii="Times New Roman" w:hAnsi="Times New Roman" w:eastAsia="宋体" w:cs="Times New Roman"/>
                      <w:color w:val="auto"/>
                      <w:spacing w:val="-10"/>
                      <w:kern w:val="2"/>
                      <w:sz w:val="21"/>
                      <w:szCs w:val="21"/>
                      <w:highlight w:val="none"/>
                      <w:lang w:val="en-US" w:eastAsia="zh-CN"/>
                    </w:rPr>
                    <w:t>20 cm</w:t>
                  </w:r>
                  <w:r>
                    <w:rPr>
                      <w:rFonts w:hint="eastAsia" w:ascii="Times New Roman" w:hAnsi="Times New Roman" w:eastAsia="宋体" w:cs="Times New Roman"/>
                      <w:color w:val="auto"/>
                      <w:spacing w:val="-10"/>
                      <w:kern w:val="2"/>
                      <w:sz w:val="21"/>
                      <w:szCs w:val="21"/>
                      <w:highlight w:val="none"/>
                      <w:lang w:val="en-US" w:eastAsia="zh-CN"/>
                    </w:rPr>
                    <w:t>以上</w:t>
                  </w:r>
                  <w:r>
                    <w:rPr>
                      <w:rFonts w:hint="eastAsia" w:ascii="Times New Roman" w:eastAsia="宋体" w:cs="Times New Roman"/>
                      <w:color w:val="auto"/>
                      <w:spacing w:val="-10"/>
                      <w:kern w:val="2"/>
                      <w:sz w:val="21"/>
                      <w:szCs w:val="21"/>
                      <w:highlight w:val="none"/>
                      <w:lang w:val="en-US" w:eastAsia="zh-CN"/>
                    </w:rPr>
                    <w:t>。</w:t>
                  </w:r>
                  <w:r>
                    <w:rPr>
                      <w:rFonts w:hint="eastAsia" w:ascii="Times New Roman" w:hAnsi="Times New Roman" w:eastAsia="宋体" w:cs="Times New Roman"/>
                      <w:color w:val="auto"/>
                      <w:spacing w:val="-10"/>
                      <w:kern w:val="2"/>
                      <w:sz w:val="21"/>
                      <w:szCs w:val="21"/>
                      <w:highlight w:val="none"/>
                      <w:lang w:val="en-US" w:eastAsia="zh-CN"/>
                    </w:rPr>
                    <w:t>水基岩屑</w:t>
                  </w:r>
                  <w:r>
                    <w:rPr>
                      <w:rFonts w:hint="eastAsia" w:ascii="Times New Roman" w:eastAsia="宋体" w:cs="Times New Roman"/>
                      <w:color w:val="auto"/>
                      <w:spacing w:val="-10"/>
                      <w:kern w:val="2"/>
                      <w:sz w:val="21"/>
                      <w:szCs w:val="21"/>
                      <w:highlight w:val="none"/>
                      <w:lang w:val="en-US" w:eastAsia="zh-CN"/>
                    </w:rPr>
                    <w:t>回填石油烃含量小于4500mg/kg。</w:t>
                  </w:r>
                </w:p>
              </w:tc>
              <w:tc>
                <w:tcPr>
                  <w:tcW w:w="463"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rPr>
                    <w:t>5.</w:t>
                  </w:r>
                  <w:r>
                    <w:rPr>
                      <w:rFonts w:hint="eastAsia" w:ascii="Times New Roman" w:eastAsia="宋体" w:cs="Times New Roman"/>
                      <w:color w:val="auto"/>
                      <w:spacing w:val="-10"/>
                      <w:kern w:val="2"/>
                      <w:sz w:val="21"/>
                      <w:szCs w:val="21"/>
                      <w:highlight w:val="none"/>
                      <w:lang w:val="en-US" w:eastAsia="zh-CN"/>
                    </w:rPr>
                    <w:t>7</w:t>
                  </w:r>
                  <w:r>
                    <w:rPr>
                      <w:rFonts w:hint="default" w:ascii="Times New Roman" w:hAnsi="Times New Roman" w:eastAsia="宋体" w:cs="Times New Roman"/>
                      <w:color w:val="auto"/>
                      <w:spacing w:val="-10"/>
                      <w:kern w:val="2"/>
                      <w:sz w:val="21"/>
                      <w:szCs w:val="21"/>
                      <w:highlight w:val="none"/>
                      <w:lang w:val="en-US" w:eastAsia="zh-CN"/>
                    </w:rPr>
                    <w:t xml:space="preserve"> 剩余固相和回收的矿物油收集、贮存、转移过程的其他要求，应根据其管理属性分别执行相关环境保护规定和标准的要求。</w:t>
                  </w:r>
                </w:p>
              </w:tc>
              <w:tc>
                <w:tcPr>
                  <w:tcW w:w="2091"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rPr>
                    <w:t>采用专用容器盛装，并暂存于井场撬装化危险废物暂存间（危险废物贮存点）内。危险废物的收集、转移过程按照《危险废物收集 贮存 运输技术规范》（HJ2025-2012）中的相关要求进行。</w:t>
                  </w:r>
                </w:p>
              </w:tc>
              <w:tc>
                <w:tcPr>
                  <w:tcW w:w="463"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445"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eastAsia="宋体" w:cs="Times New Roman"/>
                      <w:color w:val="auto"/>
                      <w:spacing w:val="-10"/>
                      <w:kern w:val="2"/>
                      <w:sz w:val="21"/>
                      <w:szCs w:val="21"/>
                      <w:highlight w:val="none"/>
                      <w:lang w:val="en-US" w:eastAsia="zh-CN"/>
                    </w:rPr>
                    <w:t xml:space="preserve">5.8 </w:t>
                  </w:r>
                  <w:r>
                    <w:rPr>
                      <w:rFonts w:hint="default" w:ascii="Times New Roman" w:hAnsi="Times New Roman" w:eastAsia="宋体" w:cs="Times New Roman"/>
                      <w:color w:val="auto"/>
                      <w:spacing w:val="-10"/>
                      <w:kern w:val="2"/>
                      <w:sz w:val="21"/>
                      <w:szCs w:val="21"/>
                      <w:highlight w:val="none"/>
                      <w:lang w:val="en-US" w:eastAsia="zh-CN"/>
                    </w:rPr>
                    <w:t>水基岩屑、剩余固相根据相关国家生态环境标准或技术文件等要求开展环境风险定量评价，评价结果为可接受时，可用于油气开采区内基础设施建设场地铺垫、管线覆盖土等其他利用方式。</w:t>
                  </w:r>
                </w:p>
              </w:tc>
              <w:tc>
                <w:tcPr>
                  <w:tcW w:w="2091"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rPr>
                    <w:t>水基岩屑、剩余固相根据相关国家生态环境标准或技术文件等要求开展环境风险定量评价</w:t>
                  </w:r>
                  <w:r>
                    <w:rPr>
                      <w:rFonts w:hint="eastAsia" w:ascii="Times New Roman" w:eastAsia="宋体" w:cs="Times New Roman"/>
                      <w:color w:val="auto"/>
                      <w:spacing w:val="-10"/>
                      <w:kern w:val="2"/>
                      <w:sz w:val="21"/>
                      <w:szCs w:val="21"/>
                      <w:highlight w:val="none"/>
                      <w:lang w:val="en-US" w:eastAsia="zh-CN"/>
                    </w:rPr>
                    <w:t>，评价结果可接受。</w:t>
                  </w:r>
                </w:p>
              </w:tc>
              <w:tc>
                <w:tcPr>
                  <w:tcW w:w="463" w:type="pct"/>
                  <w:shd w:val="clear" w:color="auto" w:fill="auto"/>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eastAsia="宋体" w:cs="Times New Roman"/>
                      <w:color w:val="auto"/>
                      <w:spacing w:val="-10"/>
                      <w:kern w:val="2"/>
                      <w:sz w:val="21"/>
                      <w:szCs w:val="21"/>
                      <w:highlight w:val="none"/>
                      <w:lang w:val="en-US" w:eastAsia="zh-CN"/>
                    </w:rPr>
                    <w:t>符合</w:t>
                  </w:r>
                </w:p>
              </w:tc>
            </w:tr>
          </w:tbl>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综上所述，固体废物经妥善处理后，不会对周围环境产生不利影响。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6.2.1 一般工业固体废物影响分析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（1）贮存场所选址分析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一般工业固体废物贮存场所应满足《一般工业固体废物贮存和填埋污染控制标准》（GB 18599-2020）相关要求，相关选址要求符合性如下：</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8</w:t>
            </w:r>
            <w:r>
              <w:rPr>
                <w:rFonts w:hint="default" w:ascii="Times New Roman" w:hAnsi="Times New Roman" w:eastAsia="宋体" w:cs="Times New Roman"/>
                <w:b/>
                <w:bCs/>
                <w:color w:val="auto"/>
                <w:sz w:val="24"/>
                <w:highlight w:val="none"/>
                <w:lang w:val="en-US" w:eastAsia="zh-CN"/>
              </w:rPr>
              <w:t xml:space="preserve">    一般工业固体废物贮存场所选址分析</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844"/>
              <w:gridCol w:w="3505"/>
              <w:gridCol w:w="7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选址要求</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本项目</w:t>
                  </w:r>
                  <w:r>
                    <w:rPr>
                      <w:rFonts w:hint="default" w:ascii="Times New Roman" w:hAnsi="Times New Roman" w:eastAsia="宋体" w:cs="Times New Roman"/>
                      <w:color w:val="auto"/>
                      <w:spacing w:val="-10"/>
                      <w:kern w:val="2"/>
                      <w:sz w:val="21"/>
                      <w:szCs w:val="21"/>
                      <w:highlight w:val="none"/>
                      <w:lang w:val="en-US" w:eastAsia="zh-CN"/>
                    </w:rPr>
                    <w:t>情况</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4.1一般工业固体废物贮存场、填埋场的选址应符合环境保护法律法规及相关法定规划要求。</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本项目一般工业固体废物贮存场在井场，符合环境保护法律法规及相关法定规划要求。</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4.2 贮存场、填埋场的位置与周围居民区的距离应依据环境影响评价文件及审批意见确定。</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井场周边及邻近区域无居民区、村庄等环境敏感点。</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4.3 贮存场、填埋场不得选在生态保护红线区域、永久基本农田集中区域和其他需要特别保护的区域内。</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本项目不建设贮存场、填埋场。</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4.4 贮存场、填埋场应避开活动断层、溶洞区、天然滑坡或泥石流影响区以及湿地等区域。</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本项目不在活动断层、溶洞区、天然滑坡、泥石流影响区以及湿地等区域。</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4.5 贮存场、填埋场不得选在江河、湖泊、运河、渠道、水库最高水位线以下的滩地和岸坡，以及国家和地方长远规划中的水库等人工蓄水设施的淹没区和保护区之内。</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本项目不在江河、湖泊、运河、渠道、水库，以及规划水库的淹没区和保护区之内。</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4.6上述选址规定不适用于一般工业固体废物的充填和回填。</w:t>
                  </w:r>
                </w:p>
              </w:tc>
              <w:tc>
                <w:tcPr>
                  <w:tcW w:w="21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本项目膨润土体系废弃钻井岩屑排入防渗岩屑池干化，经检测达标后，用于井场平整；</w:t>
                  </w:r>
                  <w:r>
                    <w:rPr>
                      <w:rFonts w:hint="eastAsia" w:ascii="Times New Roman" w:eastAsia="宋体" w:cs="Times New Roman"/>
                      <w:color w:val="auto"/>
                      <w:spacing w:val="-10"/>
                      <w:kern w:val="2"/>
                      <w:sz w:val="21"/>
                      <w:szCs w:val="21"/>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pacing w:val="-10"/>
                      <w:kern w:val="2"/>
                      <w:sz w:val="21"/>
                      <w:szCs w:val="21"/>
                      <w:highlight w:val="none"/>
                      <w:lang w:val="en-US" w:eastAsia="zh-CN"/>
                    </w:rPr>
                    <w:t>，处理达标后还原土用于铺垫油区内的井场、道路。</w:t>
                  </w:r>
                </w:p>
              </w:tc>
              <w:tc>
                <w:tcPr>
                  <w:tcW w:w="463"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bl>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综上所述，固体废物贮存间选址符合《一般工业固体废物贮存和填埋污染控制标准》（GB18599-2020）相关要求。</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（2）储存能力分析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position w:val="0"/>
                <w:sz w:val="24"/>
                <w:szCs w:val="24"/>
                <w:highlight w:val="none"/>
              </w:rPr>
              <w:t>钻井期间产生的膨润土体系废弃钻井岩屑暂存在岩屑池（1</w:t>
            </w:r>
            <w:r>
              <w:rPr>
                <w:rFonts w:hint="eastAsia" w:ascii="Times New Roman" w:eastAsia="宋体" w:cs="Times New Roman"/>
                <w:color w:val="auto"/>
                <w:spacing w:val="0"/>
                <w:position w:val="0"/>
                <w:sz w:val="24"/>
                <w:szCs w:val="24"/>
                <w:highlight w:val="none"/>
                <w:lang w:val="en-US" w:eastAsia="zh-CN"/>
              </w:rPr>
              <w:t>5</w:t>
            </w:r>
            <w:r>
              <w:rPr>
                <w:rFonts w:hint="default" w:ascii="Times New Roman" w:hAnsi="Times New Roman" w:eastAsia="宋体" w:cs="Times New Roman"/>
                <w:color w:val="auto"/>
                <w:spacing w:val="0"/>
                <w:position w:val="0"/>
                <w:sz w:val="24"/>
                <w:szCs w:val="24"/>
                <w:highlight w:val="none"/>
              </w:rPr>
              <w:t>00m</w:t>
            </w:r>
            <w:r>
              <w:rPr>
                <w:rFonts w:hint="default" w:ascii="Times New Roman" w:hAnsi="Times New Roman" w:eastAsia="宋体" w:cs="Times New Roman"/>
                <w:color w:val="auto"/>
                <w:spacing w:val="0"/>
                <w:position w:val="0"/>
                <w:sz w:val="24"/>
                <w:szCs w:val="24"/>
                <w:highlight w:val="none"/>
                <w:vertAlign w:val="superscript"/>
              </w:rPr>
              <w:t>3</w:t>
            </w:r>
            <w:r>
              <w:rPr>
                <w:rFonts w:hint="default" w:ascii="Times New Roman" w:hAnsi="Times New Roman" w:eastAsia="宋体" w:cs="Times New Roman"/>
                <w:color w:val="auto"/>
                <w:spacing w:val="0"/>
                <w:position w:val="0"/>
                <w:sz w:val="24"/>
                <w:szCs w:val="24"/>
                <w:highlight w:val="none"/>
              </w:rPr>
              <w:t>），本项目膨润土体系废弃钻井岩屑产生量为</w:t>
            </w:r>
            <w:r>
              <w:rPr>
                <w:rFonts w:hint="eastAsia" w:ascii="Times New Roman" w:eastAsia="宋体" w:cs="Times New Roman"/>
                <w:color w:val="auto"/>
                <w:spacing w:val="0"/>
                <w:position w:val="0"/>
                <w:sz w:val="24"/>
                <w:szCs w:val="24"/>
                <w:highlight w:val="none"/>
                <w:lang w:val="en-US" w:eastAsia="zh-CN"/>
              </w:rPr>
              <w:t>1385.97</w:t>
            </w:r>
            <w:r>
              <w:rPr>
                <w:rFonts w:hint="default" w:ascii="Times New Roman" w:hAnsi="Times New Roman" w:eastAsia="宋体" w:cs="Times New Roman"/>
                <w:color w:val="auto"/>
                <w:spacing w:val="0"/>
                <w:position w:val="0"/>
                <w:sz w:val="24"/>
                <w:szCs w:val="24"/>
                <w:highlight w:val="none"/>
              </w:rPr>
              <w:t>m</w:t>
            </w:r>
            <w:r>
              <w:rPr>
                <w:rFonts w:hint="default" w:ascii="Times New Roman" w:hAnsi="Times New Roman" w:eastAsia="宋体" w:cs="Times New Roman"/>
                <w:color w:val="auto"/>
                <w:spacing w:val="0"/>
                <w:position w:val="0"/>
                <w:sz w:val="24"/>
                <w:szCs w:val="24"/>
                <w:highlight w:val="none"/>
                <w:vertAlign w:val="superscript"/>
              </w:rPr>
              <w:t>3</w:t>
            </w:r>
            <w:r>
              <w:rPr>
                <w:rFonts w:hint="default" w:ascii="Times New Roman" w:hAnsi="Times New Roman" w:eastAsia="宋体" w:cs="Times New Roman"/>
                <w:color w:val="auto"/>
                <w:spacing w:val="0"/>
                <w:position w:val="0"/>
                <w:sz w:val="24"/>
                <w:szCs w:val="24"/>
                <w:highlight w:val="none"/>
              </w:rPr>
              <w:t>，排入防渗岩屑池干化，</w:t>
            </w:r>
            <w:r>
              <w:rPr>
                <w:rFonts w:hint="default" w:ascii="Times New Roman" w:hAnsi="Times New Roman" w:eastAsia="宋体" w:cs="Times New Roman"/>
                <w:color w:val="auto"/>
                <w:spacing w:val="0"/>
                <w:position w:val="0"/>
                <w:sz w:val="24"/>
                <w:szCs w:val="21"/>
                <w:highlight w:val="none"/>
              </w:rPr>
              <w:t>检测</w:t>
            </w:r>
            <w:r>
              <w:rPr>
                <w:rFonts w:hint="default" w:ascii="Times New Roman" w:hAnsi="Times New Roman" w:eastAsia="宋体" w:cs="Times New Roman"/>
                <w:color w:val="auto"/>
                <w:spacing w:val="0"/>
                <w:position w:val="0"/>
                <w:sz w:val="24"/>
                <w:szCs w:val="21"/>
                <w:highlight w:val="none"/>
                <w:lang w:val="en-US" w:eastAsia="zh-CN"/>
              </w:rPr>
              <w:t>达到《油气田钻井固体废物综合利用污染控制要求》（DB65/T 3997-2017）及《石油天然气开采业固体废物污染控制技术规范（试行）》（HJ1461-2026）标准</w:t>
            </w:r>
            <w:r>
              <w:rPr>
                <w:rFonts w:hint="default" w:ascii="Times New Roman" w:hAnsi="Times New Roman" w:eastAsia="宋体" w:cs="Times New Roman"/>
                <w:color w:val="auto"/>
                <w:spacing w:val="0"/>
                <w:position w:val="0"/>
                <w:sz w:val="24"/>
                <w:szCs w:val="21"/>
                <w:highlight w:val="none"/>
              </w:rPr>
              <w:t>后，用于井场平整；</w:t>
            </w:r>
            <w:r>
              <w:rPr>
                <w:rFonts w:hint="default" w:ascii="Times New Roman" w:hAnsi="Times New Roman" w:eastAsia="宋体" w:cs="Times New Roman"/>
                <w:color w:val="auto"/>
                <w:spacing w:val="0"/>
                <w:kern w:val="2"/>
                <w:position w:val="0"/>
                <w:sz w:val="24"/>
                <w:szCs w:val="24"/>
                <w:highlight w:val="none"/>
                <w:lang w:val="en-US" w:eastAsia="zh-CN" w:bidi="ar-SA"/>
              </w:rPr>
              <w:t>磺化泥浆钻井岩屑产生量为</w:t>
            </w:r>
            <w:r>
              <w:rPr>
                <w:rFonts w:hint="eastAsia" w:ascii="Times New Roman" w:eastAsia="宋体" w:cs="Times New Roman"/>
                <w:color w:val="auto"/>
                <w:spacing w:val="0"/>
                <w:kern w:val="2"/>
                <w:position w:val="0"/>
                <w:sz w:val="24"/>
                <w:szCs w:val="24"/>
                <w:highlight w:val="none"/>
                <w:lang w:val="en-US" w:eastAsia="zh-CN" w:bidi="ar-SA"/>
              </w:rPr>
              <w:t>941.82</w:t>
            </w:r>
            <w:r>
              <w:rPr>
                <w:rFonts w:hint="default" w:ascii="Times New Roman" w:hAnsi="Times New Roman" w:eastAsia="宋体" w:cs="Times New Roman"/>
                <w:color w:val="auto"/>
                <w:spacing w:val="0"/>
                <w:kern w:val="2"/>
                <w:position w:val="0"/>
                <w:sz w:val="24"/>
                <w:szCs w:val="24"/>
                <w:highlight w:val="none"/>
                <w:lang w:val="en-US" w:eastAsia="zh-CN" w:bidi="ar-SA"/>
              </w:rPr>
              <w:t>m</w:t>
            </w:r>
            <w:r>
              <w:rPr>
                <w:rFonts w:hint="default" w:ascii="Times New Roman" w:hAnsi="Times New Roman" w:eastAsia="宋体" w:cs="Times New Roman"/>
                <w:color w:val="auto"/>
                <w:spacing w:val="0"/>
                <w:kern w:val="2"/>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2"/>
                <w:position w:val="0"/>
                <w:sz w:val="24"/>
                <w:szCs w:val="24"/>
                <w:highlight w:val="none"/>
                <w:lang w:val="en-US" w:eastAsia="zh-CN" w:bidi="ar-SA"/>
              </w:rPr>
              <w:t>，</w:t>
            </w:r>
            <w:r>
              <w:rPr>
                <w:rFonts w:hint="eastAsia" w:ascii="Times New Roman" w:eastAsia="宋体" w:cs="Times New Roman"/>
                <w:color w:val="auto"/>
                <w:spacing w:val="0"/>
                <w:kern w:val="2"/>
                <w:position w:val="0"/>
                <w:sz w:val="24"/>
                <w:szCs w:val="24"/>
                <w:highlight w:val="none"/>
                <w:lang w:val="en-US" w:eastAsia="zh-CN" w:bidi="ar-SA"/>
              </w:rPr>
              <w:t>收集后拉运至塔中油田钻试修废弃物环保处理站处理</w:t>
            </w:r>
            <w:r>
              <w:rPr>
                <w:rFonts w:hint="default" w:ascii="Times New Roman" w:hAnsi="Times New Roman" w:eastAsia="宋体" w:cs="Times New Roman"/>
                <w:color w:val="auto"/>
                <w:spacing w:val="0"/>
                <w:kern w:val="2"/>
                <w:position w:val="0"/>
                <w:sz w:val="24"/>
                <w:szCs w:val="24"/>
                <w:highlight w:val="none"/>
                <w:lang w:val="en-US" w:eastAsia="zh-CN" w:bidi="ar-SA"/>
              </w:rPr>
              <w:t>，处理后用于铺垫油区内的井场、道路。</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（3）贮存环境影响分析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过程中产生的膨润土体系废弃钻井岩屑排入防渗岩屑池干化；磺化泥浆钻井岩屑收集后拉运至塔中油田钻试修废弃物环保处理站处理，处理后用于铺垫油区内的井场、道路。废弃钻井岩屑暂存设施的建设应满足《一般工业固体废物贮存和填埋污染控制标准》（GB18599-2020）相关要求，贮存区采取防风、防雨措施，各类固废分类收集，贮存区按照《环境保护图形标志 固体废物贮存（处置）场》（GB15562.2-1995）的要求设置环保图形标志，指定专人进行日常管理，并按照相关要求建立工业固废管理台账妥善保存。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（4）运输过程影响分析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中产生的一般工业固体废物按照相关要求，建立健全工业固体废物产生、收集、贮存、运输、利用、处置全过程的污染环境防治责任制度，建立工业固体废物管理台账，如实记录产生的工业固体废物的种类、数量、流向、贮存、利用、处置等信息，实现工业固体废物可追溯、可查询，并采取防治工业固体废物污染环境的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（5）一般固废处置的环境影响分析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1"/>
                <w:highlight w:val="none"/>
                <w:lang w:val="en-US" w:eastAsia="zh-CN"/>
              </w:rPr>
              <w:t>膨润土体系废弃钻井岩屑，排入防渗岩屑池干化，经检测达到《油气田钻井固体废物综合利用污染控制要求》（DB65/T 3997-2017）及《石油天然气开采业固体废物污染控制技术规范（试行）》（HJ1461-2026）标准后，用于井场平整；聚磺体系废弃钻井岩屑收集后拉运至塔中油田钻试修废弃物环保处理站处理，处理后用于铺垫油区内的井场、道路，对周边环境产生影响可防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6.2.2危险废物影响分析</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（1）贮存场所选址分析</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危险废物收集后暂存于危险废物贮存间内，危险废物贮存间选址与《危险废物贮存污染控制标准》（GB18597-2023）相关选址要求符合性如下：</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9</w:t>
            </w:r>
            <w:r>
              <w:rPr>
                <w:rFonts w:hint="default" w:ascii="Times New Roman" w:hAnsi="Times New Roman" w:eastAsia="宋体" w:cs="Times New Roman"/>
                <w:b/>
                <w:bCs/>
                <w:color w:val="auto"/>
                <w:sz w:val="24"/>
                <w:highlight w:val="none"/>
                <w:lang w:val="en-US" w:eastAsia="zh-CN"/>
              </w:rPr>
              <w:t xml:space="preserve">    危废贮存场所选址分析</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420"/>
              <w:gridCol w:w="2927"/>
              <w:gridCol w:w="7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选址要求</w:t>
                  </w:r>
                </w:p>
              </w:tc>
              <w:tc>
                <w:tcPr>
                  <w:tcW w:w="180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本项目</w:t>
                  </w:r>
                  <w:r>
                    <w:rPr>
                      <w:rFonts w:hint="default" w:ascii="Times New Roman" w:hAnsi="Times New Roman" w:eastAsia="宋体" w:cs="Times New Roman"/>
                      <w:color w:val="auto"/>
                      <w:spacing w:val="-10"/>
                      <w:kern w:val="2"/>
                      <w:sz w:val="21"/>
                      <w:szCs w:val="21"/>
                      <w:highlight w:val="none"/>
                      <w:lang w:val="en-US" w:eastAsia="zh-CN"/>
                    </w:rPr>
                    <w:t>情况</w:t>
                  </w:r>
                </w:p>
              </w:tc>
              <w:tc>
                <w:tcPr>
                  <w:tcW w:w="4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贮存设施选址应满足生态环境保护法律法规、规划和“三线一单”生态环境分区管控的要求，建设项目应依法进行环境影响评价</w:t>
                  </w:r>
                </w:p>
              </w:tc>
              <w:tc>
                <w:tcPr>
                  <w:tcW w:w="180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本项目满足生态环境保护法律法规、规划和“三线一单”生态环境分区管控的要求。</w:t>
                  </w:r>
                </w:p>
              </w:tc>
              <w:tc>
                <w:tcPr>
                  <w:tcW w:w="4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集中贮存设施不应选在生态保护红线区域、永久基本农田和其他需要特别保护的区域内，不应建在溶洞区或易遭受洪水、滑坡、泥石流、潮汐等严重自然灾害影响的地区。</w:t>
                  </w:r>
                </w:p>
              </w:tc>
              <w:tc>
                <w:tcPr>
                  <w:tcW w:w="180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本项目不在生态保护红线区域、永久基本农田和其他需要特别保护的区域内。不在易受严重自然灾害影响的地区。</w:t>
                  </w:r>
                </w:p>
              </w:tc>
              <w:tc>
                <w:tcPr>
                  <w:tcW w:w="4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贮存设施不应选在江河、湖泊、运河、渠道、水库及其最高水位线以下的滩地和岸坡，以及法律法规规定禁止贮存危险废物的其他地点。</w:t>
                  </w:r>
                </w:p>
              </w:tc>
              <w:tc>
                <w:tcPr>
                  <w:tcW w:w="180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本项目不在江河、湖泊等最高水位线以下的滩地和岸坡。</w:t>
                  </w:r>
                </w:p>
              </w:tc>
              <w:tc>
                <w:tcPr>
                  <w:tcW w:w="4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贮存设施场址的位置以及其与周围环境敏感目标的距离应依据环境影响评价文件确定</w:t>
                  </w:r>
                </w:p>
              </w:tc>
              <w:tc>
                <w:tcPr>
                  <w:tcW w:w="1806"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本项目施工期危险废物产生量较小，且距离环境敏感目标较远，要求项目危废暂存间采取重点防渗措施，避免对周围环境敏感目标产生污染影响。</w:t>
                  </w:r>
                </w:p>
              </w:tc>
              <w:tc>
                <w:tcPr>
                  <w:tcW w:w="464" w:type="pct"/>
                  <w:noWrap w:val="0"/>
                  <w:tcMar>
                    <w:left w:w="28" w:type="dxa"/>
                    <w:right w:w="2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bl>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综上，危险废物贮存间选址符合《危险废物贮存污染控制标准》（GB18597-2023）相关要求。</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 xml:space="preserve">（2）危险废物储存能力分析 </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钻井期间产生的危险废物贮存在井场危险废物贮存间，占地面积8m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，可满足钻井期间需求。</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本项目沾油废物、废烧碱包装袋、废矿物油及其包装物采用专门容器，贮存过程中挥发量较少，不会对环境空气产生明显影响；</w:t>
            </w:r>
            <w:r>
              <w:rPr>
                <w:rFonts w:hint="default" w:ascii="Times New Roman" w:hAnsi="Times New Roman" w:eastAsia="宋体" w:cs="Times New Roman"/>
                <w:color w:val="auto"/>
                <w:kern w:val="2"/>
                <w:sz w:val="24"/>
                <w:szCs w:val="24"/>
                <w:highlight w:val="none"/>
                <w:lang w:val="en-US" w:eastAsia="zh-CN" w:bidi="ar-SA"/>
              </w:rPr>
              <w:t>同时危险废物</w:t>
            </w:r>
            <w:r>
              <w:rPr>
                <w:rFonts w:hint="default" w:ascii="Times New Roman" w:hAnsi="Times New Roman" w:eastAsia="宋体" w:cs="Times New Roman"/>
                <w:color w:val="auto"/>
                <w:sz w:val="24"/>
                <w:szCs w:val="21"/>
                <w:highlight w:val="none"/>
                <w:lang w:val="en-US" w:eastAsia="zh-CN"/>
              </w:rPr>
              <w:t>按照《危险废物环境管理指南陆上石油天然气开采》（</w:t>
            </w:r>
            <w:bookmarkStart w:id="47" w:name="OLE_LINK112"/>
            <w:r>
              <w:rPr>
                <w:rFonts w:hint="default" w:ascii="Times New Roman" w:hAnsi="Times New Roman" w:eastAsia="宋体" w:cs="Times New Roman"/>
                <w:color w:val="auto"/>
                <w:sz w:val="24"/>
                <w:szCs w:val="21"/>
                <w:highlight w:val="none"/>
                <w:lang w:val="en-US" w:eastAsia="zh-CN"/>
              </w:rPr>
              <w:t>生态环境部公告2021年第74号）中相关管理要求，落实危险废物</w:t>
            </w:r>
            <w:bookmarkEnd w:id="47"/>
            <w:r>
              <w:rPr>
                <w:rFonts w:hint="default" w:ascii="Times New Roman" w:hAnsi="Times New Roman" w:eastAsia="宋体" w:cs="Times New Roman"/>
                <w:color w:val="auto"/>
                <w:sz w:val="24"/>
                <w:szCs w:val="21"/>
                <w:highlight w:val="none"/>
                <w:lang w:val="en-US" w:eastAsia="zh-CN"/>
              </w:rPr>
              <w:t>识别标志制度，对危险废物的容器和包装物以及收集、运输危险废物的设施设置危险废物识别标志。填写危险废物的收集记录、转运记录表，并将记录表作为危险废物管理的重要档案妥善保存。落实环境保护标准制度，按照国家有关规定和环境保护标准要求贮存、利用、处置危险废物，不得将其擅自倾倒处置。</w:t>
            </w:r>
            <w:bookmarkStart w:id="48" w:name="OLE_LINK114"/>
            <w:r>
              <w:rPr>
                <w:rFonts w:hint="default" w:ascii="Times New Roman" w:hAnsi="Times New Roman" w:eastAsia="宋体" w:cs="Times New Roman"/>
                <w:color w:val="auto"/>
                <w:sz w:val="24"/>
                <w:szCs w:val="21"/>
                <w:highlight w:val="none"/>
                <w:lang w:val="en-US" w:eastAsia="zh-CN"/>
              </w:rPr>
              <w:t>同时危险废物贮存间已按照《危险废物贮存污染控制标准》（GB18597-2023）的相关要求做好防风、防晒、防雨、防漏、防渗、防腐措施。可有效防止危险废物泄漏可能对地下水、地表水及土壤环境产生影响。</w:t>
            </w:r>
            <w:bookmarkEnd w:id="48"/>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收集危险废物的硬质桶应按要求设置明显的标明危险废物相关信息的标签，标签信息应填写完整</w:t>
            </w:r>
            <w:r>
              <w:rPr>
                <w:rFonts w:hint="eastAsia" w:ascii="Times New Roman" w:eastAsia="宋体" w:cs="Times New Roman"/>
                <w:color w:val="auto"/>
                <w:kern w:val="2"/>
                <w:sz w:val="24"/>
                <w:szCs w:val="24"/>
                <w:highlight w:val="none"/>
                <w:lang w:val="en-US" w:eastAsia="zh-CN" w:bidi="ar-SA"/>
              </w:rPr>
              <w:t>翔实</w:t>
            </w:r>
            <w:r>
              <w:rPr>
                <w:rFonts w:hint="default" w:ascii="Times New Roman" w:hAnsi="Times New Roman" w:eastAsia="宋体" w:cs="Times New Roman"/>
                <w:color w:val="auto"/>
                <w:kern w:val="2"/>
                <w:sz w:val="24"/>
                <w:szCs w:val="24"/>
                <w:highlight w:val="none"/>
                <w:lang w:val="en-US" w:eastAsia="zh-CN" w:bidi="ar-SA"/>
              </w:rPr>
              <w:t>。具体要求如下：</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a.危险废物标签规格颜色说明：规格：正方形，40×40cm；底色：醒目的橘黄色；字体：黑体字；字体颜色：黑色。</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b.危险废物特性警示类别：按危险废物种类选择，危险特性警示类别如图1所示；</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c.材料应坚固、耐用、抗风化、抗淋蚀。危险废物相关信息标签如图2所示；</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d.装载液体、固体的危险废物的硬质桶内必须留足够的空间，硬质桶顶部与液体表面之间保留100mm以上的空间。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drawing>
                <wp:inline distT="0" distB="0" distL="114300" distR="114300">
                  <wp:extent cx="4547870" cy="3516630"/>
                  <wp:effectExtent l="0" t="0" r="5080" b="7620"/>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29"/>
                          <a:stretch>
                            <a:fillRect/>
                          </a:stretch>
                        </pic:blipFill>
                        <pic:spPr>
                          <a:xfrm>
                            <a:off x="0" y="0"/>
                            <a:ext cx="4547870" cy="3516630"/>
                          </a:xfrm>
                          <a:prstGeom prst="rect">
                            <a:avLst/>
                          </a:prstGeom>
                          <a:noFill/>
                          <a:ln>
                            <a:noFill/>
                          </a:ln>
                        </pic:spPr>
                      </pic:pic>
                    </a:graphicData>
                  </a:graphic>
                </wp:inline>
              </w:drawing>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图4-1    危险特性警示图</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drawing>
                <wp:inline distT="0" distB="0" distL="114300" distR="114300">
                  <wp:extent cx="4485005" cy="4472305"/>
                  <wp:effectExtent l="0" t="0" r="10795" b="4445"/>
                  <wp:docPr id="4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3"/>
                          <pic:cNvPicPr>
                            <a:picLocks noChangeAspect="1"/>
                          </pic:cNvPicPr>
                        </pic:nvPicPr>
                        <pic:blipFill>
                          <a:blip r:embed="rId30"/>
                          <a:stretch>
                            <a:fillRect/>
                          </a:stretch>
                        </pic:blipFill>
                        <pic:spPr>
                          <a:xfrm>
                            <a:off x="0" y="0"/>
                            <a:ext cx="4485005" cy="4472305"/>
                          </a:xfrm>
                          <a:prstGeom prst="rect">
                            <a:avLst/>
                          </a:prstGeom>
                          <a:noFill/>
                          <a:ln>
                            <a:noFill/>
                          </a:ln>
                        </pic:spPr>
                      </pic:pic>
                    </a:graphicData>
                  </a:graphic>
                </wp:inline>
              </w:drawing>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图4-2    危险废物相关信息标签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（4）运输过程影响分析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钻井过程产生的危险废物应按照《危险废物环境管理指南 陆上石油天然气开采》（生态环境部公告 2021年 第74号）、《危险废物转移管理办法》（生态环境部令 第23号）中相关要求，运输危险废物，应当采取防止污染环境的措施，并遵守国家有关危险货物运输管理的规定；按照危险废物污染环境防治和危险货物运输相关规定运输危险废物，记录运输轨迹，防范危险废物丢失、包装破损、泄漏或者发生突发环境事件。</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本项目产生的危险废物桶装或袋装密闭收集后于危险废物贮存间贮存，危险废物在运输过程中全部采用密闭容器储存，</w:t>
            </w:r>
            <w:r>
              <w:rPr>
                <w:rFonts w:hint="default" w:ascii="Times New Roman" w:hAnsi="Times New Roman" w:eastAsia="宋体" w:cs="Times New Roman"/>
                <w:color w:val="auto"/>
                <w:kern w:val="2"/>
                <w:sz w:val="24"/>
                <w:szCs w:val="24"/>
                <w:highlight w:val="none"/>
                <w:lang w:val="en-US" w:eastAsia="zh-CN" w:bidi="ar-SA"/>
              </w:rPr>
              <w:t>正常情况下不会发生散落或泄漏，危险废物在运输过程中发生散落或泄漏时，及时清理，不会对周边环境产生明显影响。</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（5）委托处置的环境影响分析</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本项目产生的危险废物全部委托有相应资质的危险废物处置单位处理，不会对周边环境产生明显影响。</w:t>
            </w:r>
          </w:p>
          <w:p>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440" w:lineRule="exact"/>
              <w:ind w:left="0" w:leftChars="0" w:right="0" w:firstLine="464" w:firstLineChars="200"/>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4"/>
                <w:sz w:val="24"/>
                <w:highlight w:val="none"/>
              </w:rPr>
              <w:t>综上所述，固体废弃物经妥善处理后，不会对当地土壤及地下水环境产生影响。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7、土壤环境影响分析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本项目属于《建设项目环境影响评价分类管理名录（2021年版）》中的“四十六、专业技术服务业 99.陆地矿产资源地质勘查（含油气资源勘探）”；参照《环境影响评价技术导则 土壤环境（试行）》（HJ964-2018）附录A土壤环境影响评价行业分类表，项目属于土壤Ⅳ类建设项目。根据《环境影响评价技术导则 土壤环境（试行）》（HJ964-2018</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4.2.2，“Ⅳ类建设项目可不开展土壤环境影响评价”，基于钻井工程使用泥浆、钻井液等特点，本评价仅对项目建设提出相应的污染防治措施：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a.在污染区地面进行防渗处理，防止洒落地面的污染物渗入地下，并把滞留在地面的污染物收集起来，集中处理；末端控制采取分区防渗原则。</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b.实施覆盖生产区的生产监控系统，包括建立完善的生产监控制度、配备先进的检测仪器和设备，及时发现污染，及时控制。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c.制定相应的突发环境事件应急预案，一旦发现污染事故，立即启动应急预案、采取应急措施控制土壤污染，并使污染得到治理。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d.钻井废水与钻井泥浆、岩屑一同进入不落地系统处理，泥浆采用“泥浆不落地”工艺收集，排入泥浆罐循环使用，完井后拉运至下一口井再利用；膨润土体系废弃钻井岩屑进入岩屑池暂存，干化后用于铺垫井场和道路；</w:t>
            </w:r>
            <w:r>
              <w:rPr>
                <w:rFonts w:hint="eastAsia" w:ascii="Times New Roman" w:cs="Times New Roman"/>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z w:val="24"/>
                <w:szCs w:val="24"/>
                <w:highlight w:val="none"/>
                <w:lang w:val="en-US" w:eastAsia="zh-CN"/>
              </w:rPr>
              <w:t>，处理达标后还原土用于铺垫油区内的井场、道路。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项目施工期通过采取以上措施，在很大程度上减轻对土壤环境的影响，并在完井后回覆原有表土，基本可以恢复到原有使用功能，对土壤环境影响较小。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8、环境风险影响分析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8.1风险调查</w:t>
            </w:r>
          </w:p>
          <w:p>
            <w:pPr>
              <w:keepNext w:val="0"/>
              <w:keepLines w:val="0"/>
              <w:pageBreakBefore w:val="0"/>
              <w:suppressLineNumbers w:val="0"/>
              <w:kinsoku/>
              <w:wordWrap/>
              <w:overflowPunct/>
              <w:topLinePunct w:val="0"/>
              <w:bidi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val="0"/>
                <w:bCs w:val="0"/>
                <w:color w:val="auto"/>
                <w:kern w:val="0"/>
                <w:sz w:val="24"/>
                <w:szCs w:val="21"/>
                <w:highlight w:val="none"/>
                <w:lang w:val="en-US" w:eastAsia="zh-CN"/>
              </w:rPr>
              <w:t>项目设置45m³柴油储罐3个，最大暂存量135m³，柴油密度0.85g/ml，最大存量90%，则项目柴油最大存量103t。项目设置有4个40m³</w:t>
            </w:r>
            <w:r>
              <w:rPr>
                <w:rFonts w:hint="default" w:ascii="Times New Roman" w:hAnsi="Times New Roman" w:eastAsia="宋体" w:cs="Times New Roman"/>
                <w:b w:val="0"/>
                <w:bCs w:val="0"/>
                <w:color w:val="auto"/>
                <w:spacing w:val="0"/>
                <w:kern w:val="0"/>
                <w:position w:val="0"/>
                <w:sz w:val="24"/>
                <w:szCs w:val="21"/>
                <w:highlight w:val="none"/>
                <w:lang w:val="en-US" w:eastAsia="zh-CN"/>
              </w:rPr>
              <w:t>凝析油罐</w:t>
            </w:r>
            <w:r>
              <w:rPr>
                <w:rFonts w:hint="default" w:ascii="Times New Roman" w:hAnsi="Times New Roman" w:eastAsia="宋体" w:cs="Times New Roman"/>
                <w:b w:val="0"/>
                <w:bCs w:val="0"/>
                <w:color w:val="auto"/>
                <w:kern w:val="0"/>
                <w:sz w:val="24"/>
                <w:szCs w:val="21"/>
                <w:highlight w:val="none"/>
                <w:lang w:val="en-US" w:eastAsia="zh-CN"/>
              </w:rPr>
              <w:t>，原油最大存量114t。</w:t>
            </w:r>
            <w:r>
              <w:rPr>
                <w:rFonts w:hint="default" w:ascii="Times New Roman" w:hAnsi="Times New Roman" w:eastAsia="宋体" w:cs="Times New Roman"/>
                <w:b w:val="0"/>
                <w:bCs w:val="0"/>
                <w:color w:val="auto"/>
                <w:spacing w:val="0"/>
                <w:kern w:val="0"/>
                <w:position w:val="0"/>
                <w:sz w:val="24"/>
                <w:szCs w:val="21"/>
                <w:highlight w:val="none"/>
                <w:lang w:val="en-US" w:eastAsia="zh-CN"/>
              </w:rPr>
              <w:t>伴生气及硫化氢场区内不暂存。风险物质最大暂存量见风险调查。</w:t>
            </w:r>
          </w:p>
          <w:p>
            <w:pPr>
              <w:keepNext w:val="0"/>
              <w:keepLines w:val="0"/>
              <w:pageBreakBefore w:val="0"/>
              <w:suppressLineNumbers w:val="0"/>
              <w:kinsoku/>
              <w:wordWrap/>
              <w:overflowPunct/>
              <w:topLinePunct w:val="0"/>
              <w:bidi w:val="0"/>
              <w:spacing w:before="0" w:beforeAutospacing="0" w:after="0" w:afterAutospacing="0" w:line="440" w:lineRule="exact"/>
              <w:ind w:left="0" w:right="0" w:firstLine="482" w:firstLineChars="200"/>
              <w:textAlignment w:val="baseline"/>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bCs w:val="0"/>
                <w:color w:val="auto"/>
                <w:sz w:val="24"/>
                <w:highlight w:val="none"/>
              </w:rPr>
              <w:t>表4-</w:t>
            </w:r>
            <w:r>
              <w:rPr>
                <w:rFonts w:hint="eastAsia" w:ascii="Times New Roman" w:cs="Times New Roman"/>
                <w:b/>
                <w:bCs w:val="0"/>
                <w:color w:val="auto"/>
                <w:sz w:val="24"/>
                <w:highlight w:val="none"/>
                <w:lang w:val="en-US" w:eastAsia="zh-CN"/>
              </w:rPr>
              <w:t>10</w:t>
            </w:r>
            <w:r>
              <w:rPr>
                <w:rFonts w:hint="default" w:ascii="Times New Roman" w:hAnsi="Times New Roman" w:eastAsia="宋体" w:cs="Times New Roman"/>
                <w:b/>
                <w:bCs w:val="0"/>
                <w:color w:val="auto"/>
                <w:sz w:val="24"/>
                <w:highlight w:val="none"/>
                <w:lang w:val="en-US" w:eastAsia="zh-CN"/>
              </w:rPr>
              <w:t xml:space="preserve">    </w:t>
            </w:r>
            <w:r>
              <w:rPr>
                <w:rFonts w:hint="default" w:ascii="Times New Roman" w:hAnsi="Times New Roman" w:eastAsia="宋体" w:cs="Times New Roman"/>
                <w:b/>
                <w:bCs w:val="0"/>
                <w:color w:val="auto"/>
                <w:sz w:val="24"/>
                <w:highlight w:val="none"/>
              </w:rPr>
              <w:t>项目危险物质数量与临界量比值（Q）一览表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726"/>
              <w:gridCol w:w="1922"/>
              <w:gridCol w:w="1342"/>
              <w:gridCol w:w="1087"/>
              <w:gridCol w:w="1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0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8"/>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危险物质</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最大存在总量qn/t</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临界量Qn/t</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q/Q</w:t>
                  </w:r>
                  <w:r>
                    <w:rPr>
                      <w:rStyle w:val="92"/>
                      <w:rFonts w:hint="default" w:ascii="Times New Roman" w:hAnsi="Times New Roman" w:eastAsia="宋体" w:cs="Times New Roman"/>
                      <w:color w:val="auto"/>
                      <w:highlight w:val="none"/>
                      <w:lang w:val="en-US" w:eastAsia="zh-CN" w:bidi="ar"/>
                    </w:rPr>
                    <w:t>值</w:t>
                  </w:r>
                </w:p>
              </w:tc>
              <w:tc>
                <w:tcPr>
                  <w:tcW w:w="132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Q值划分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柴油</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103</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0.0412</w:t>
                  </w:r>
                </w:p>
              </w:tc>
              <w:tc>
                <w:tcPr>
                  <w:tcW w:w="132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Q&lt;1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原油</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114</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0.0456</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i w:val="0"/>
                      <w:iCs w:val="0"/>
                      <w:color w:val="auto"/>
                      <w:kern w:val="0"/>
                      <w:sz w:val="21"/>
                      <w:szCs w:val="21"/>
                      <w:highlight w:val="none"/>
                      <w:u w:val="none"/>
                      <w:lang w:val="en-US" w:eastAsia="zh-CN" w:bidi="ar"/>
                    </w:rPr>
                    <w:t>沾油废物</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0.01</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0.000004</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spacing w:val="0"/>
                      <w:kern w:val="0"/>
                      <w:position w:val="0"/>
                      <w:sz w:val="21"/>
                      <w:szCs w:val="21"/>
                      <w:highlight w:val="none"/>
                      <w:u w:val="none"/>
                      <w:lang w:val="en-US" w:eastAsia="zh-CN" w:bidi="ar"/>
                    </w:rPr>
                    <w:t>废矿物油及其包装物</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spacing w:val="0"/>
                      <w:kern w:val="0"/>
                      <w:position w:val="0"/>
                      <w:sz w:val="21"/>
                      <w:szCs w:val="21"/>
                      <w:highlight w:val="none"/>
                      <w:u w:val="none"/>
                      <w:lang w:val="en-US" w:eastAsia="zh-CN" w:bidi="ar"/>
                    </w:rPr>
                    <w:t>0.1</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0.00004</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72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废烧碱包装</w:t>
                  </w:r>
                  <w:r>
                    <w:rPr>
                      <w:rFonts w:hint="eastAsia" w:ascii="Times New Roman" w:cs="Times New Roman"/>
                      <w:i w:val="0"/>
                      <w:iCs w:val="0"/>
                      <w:color w:val="auto"/>
                      <w:kern w:val="0"/>
                      <w:sz w:val="21"/>
                      <w:szCs w:val="21"/>
                      <w:highlight w:val="none"/>
                      <w:u w:val="none"/>
                      <w:lang w:val="en-US" w:eastAsia="zh-CN" w:bidi="ar"/>
                    </w:rPr>
                    <w:t>袋</w:t>
                  </w:r>
                </w:p>
              </w:tc>
              <w:tc>
                <w:tcPr>
                  <w:tcW w:w="192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5696"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项目Q</w:t>
                  </w:r>
                  <w:r>
                    <w:rPr>
                      <w:rStyle w:val="92"/>
                      <w:rFonts w:hint="default" w:ascii="Times New Roman" w:hAnsi="Times New Roman" w:eastAsia="宋体" w:cs="Times New Roman"/>
                      <w:color w:val="auto"/>
                      <w:highlight w:val="none"/>
                      <w:lang w:val="en-US" w:eastAsia="zh-CN" w:bidi="ar"/>
                    </w:rPr>
                    <w:t>值</w:t>
                  </w:r>
                  <w:r>
                    <w:rPr>
                      <w:rFonts w:hint="default" w:ascii="Times New Roman" w:hAnsi="Times New Roman" w:eastAsia="宋体" w:cs="Times New Roman"/>
                      <w:i w:val="0"/>
                      <w:iCs w:val="0"/>
                      <w:color w:val="auto"/>
                      <w:kern w:val="0"/>
                      <w:sz w:val="21"/>
                      <w:szCs w:val="21"/>
                      <w:highlight w:val="none"/>
                      <w:u w:val="none"/>
                      <w:lang w:val="en-US" w:eastAsia="zh-CN" w:bidi="ar"/>
                    </w:rPr>
                    <w:t>Σ</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0.086844</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根据上表可知，本项目Q值划分为Q＜1。</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（2）风险潜势初判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highlight w:val="none"/>
              </w:rPr>
              <w:t>根据《建设项目环境风险评价技术导则》（HJ169-2018）附录C.1.1，当Q＜1时，项目环境风险潜势为</w:t>
            </w:r>
            <w:r>
              <w:rPr>
                <w:rFonts w:hint="default" w:ascii="Times New Roman" w:hAnsi="Times New Roman" w:eastAsia="宋体" w:cs="Times New Roman"/>
                <w:bCs/>
                <w:snapToGrid w:val="0"/>
                <w:color w:val="auto"/>
                <w:sz w:val="24"/>
                <w:szCs w:val="20"/>
                <w:highlight w:val="none"/>
              </w:rPr>
              <w:t>Ⅰ，本项目危险物质数量与临界量比值</w:t>
            </w:r>
            <w:r>
              <w:rPr>
                <w:rFonts w:hint="default" w:ascii="Times New Roman" w:hAnsi="Times New Roman" w:eastAsia="宋体" w:cs="Times New Roman"/>
                <w:color w:val="auto"/>
                <w:sz w:val="24"/>
                <w:highlight w:val="none"/>
              </w:rPr>
              <w:t>Q=</w:t>
            </w:r>
            <w:r>
              <w:rPr>
                <w:rFonts w:hint="default" w:ascii="Times New Roman" w:hAnsi="Times New Roman" w:eastAsia="宋体" w:cs="Times New Roman"/>
                <w:color w:val="auto"/>
                <w:sz w:val="24"/>
                <w:highlight w:val="none"/>
                <w:lang w:val="en-US" w:eastAsia="zh-CN"/>
              </w:rPr>
              <w:t>0.086844</w:t>
            </w: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bCs/>
                <w:snapToGrid w:val="0"/>
                <w:color w:val="auto"/>
                <w:sz w:val="24"/>
                <w:szCs w:val="20"/>
                <w:highlight w:val="none"/>
              </w:rPr>
              <w:t>因此本项目环境风险潜势为Ⅰ。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（3）风险评价等级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pacing w:val="-4"/>
                <w:sz w:val="24"/>
                <w:highlight w:val="none"/>
              </w:rPr>
            </w:pPr>
            <w:r>
              <w:rPr>
                <w:rFonts w:hint="default" w:ascii="Times New Roman" w:hAnsi="Times New Roman" w:eastAsia="宋体" w:cs="Times New Roman"/>
                <w:color w:val="auto"/>
                <w:sz w:val="24"/>
                <w:highlight w:val="none"/>
              </w:rPr>
              <w:t>根据《建设项目环境风险评价技术导则》（HJ169-2018），</w:t>
            </w:r>
            <w:r>
              <w:rPr>
                <w:rFonts w:hint="default" w:ascii="Times New Roman" w:hAnsi="Times New Roman" w:eastAsia="宋体" w:cs="Times New Roman"/>
                <w:color w:val="auto"/>
                <w:spacing w:val="-4"/>
                <w:sz w:val="24"/>
                <w:highlight w:val="none"/>
              </w:rPr>
              <w:t>环境风险评价工作等级划分为一级、二级、三级。环境风险评价工作等级划分依据见</w:t>
            </w:r>
            <w:r>
              <w:rPr>
                <w:rFonts w:hint="eastAsia" w:ascii="Times New Roman" w:cs="Times New Roman"/>
                <w:color w:val="auto"/>
                <w:spacing w:val="-4"/>
                <w:sz w:val="24"/>
                <w:highlight w:val="none"/>
                <w:lang w:val="en-US" w:eastAsia="zh-CN"/>
              </w:rPr>
              <w:t>下表</w:t>
            </w:r>
            <w:r>
              <w:rPr>
                <w:rFonts w:hint="default" w:ascii="Times New Roman" w:hAnsi="Times New Roman" w:eastAsia="宋体" w:cs="Times New Roman"/>
                <w:color w:val="auto"/>
                <w:spacing w:val="-4"/>
                <w:sz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baseline"/>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表4-</w:t>
            </w:r>
            <w:r>
              <w:rPr>
                <w:rFonts w:hint="default" w:ascii="Times New Roman" w:hAnsi="Times New Roman" w:eastAsia="宋体" w:cs="Times New Roman"/>
                <w:b/>
                <w:color w:val="auto"/>
                <w:sz w:val="24"/>
                <w:highlight w:val="none"/>
                <w:lang w:val="en-US" w:eastAsia="zh-CN"/>
              </w:rPr>
              <w:t>1</w:t>
            </w:r>
            <w:r>
              <w:rPr>
                <w:rFonts w:hint="eastAsia" w:ascii="Times New Roman" w:cs="Times New Roman"/>
                <w:b/>
                <w:color w:val="auto"/>
                <w:sz w:val="24"/>
                <w:highlight w:val="none"/>
                <w:lang w:val="en-US" w:eastAsia="zh-CN"/>
              </w:rPr>
              <w:t>1</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环境风险评价工作等级划分依据表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4"/>
              <w:gridCol w:w="1658"/>
              <w:gridCol w:w="1519"/>
              <w:gridCol w:w="1604"/>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1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环境风险潜势</w:t>
                  </w:r>
                </w:p>
              </w:tc>
              <w:tc>
                <w:tcPr>
                  <w:tcW w:w="1023"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napToGrid w:val="0"/>
                      <w:color w:val="auto"/>
                      <w:sz w:val="21"/>
                      <w:szCs w:val="21"/>
                      <w:highlight w:val="none"/>
                    </w:rPr>
                    <w:t>Ⅳ</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snapToGrid w:val="0"/>
                      <w:color w:val="auto"/>
                      <w:sz w:val="21"/>
                      <w:szCs w:val="21"/>
                      <w:highlight w:val="none"/>
                    </w:rPr>
                    <w:t>Ⅳ</w:t>
                  </w:r>
                  <w:r>
                    <w:rPr>
                      <w:rFonts w:hint="default" w:ascii="Times New Roman" w:hAnsi="Times New Roman" w:eastAsia="宋体" w:cs="Times New Roman"/>
                      <w:color w:val="auto"/>
                      <w:sz w:val="21"/>
                      <w:szCs w:val="21"/>
                      <w:highlight w:val="none"/>
                      <w:vertAlign w:val="superscript"/>
                    </w:rPr>
                    <w:t>+</w:t>
                  </w:r>
                </w:p>
              </w:tc>
              <w:tc>
                <w:tcPr>
                  <w:tcW w:w="937"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snapToGrid w:val="0"/>
                      <w:color w:val="auto"/>
                      <w:sz w:val="21"/>
                      <w:szCs w:val="21"/>
                      <w:highlight w:val="none"/>
                    </w:rPr>
                    <w:t>Ⅲ</w:t>
                  </w:r>
                </w:p>
              </w:tc>
              <w:tc>
                <w:tcPr>
                  <w:tcW w:w="9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napToGrid w:val="0"/>
                      <w:color w:val="auto"/>
                      <w:sz w:val="21"/>
                      <w:szCs w:val="21"/>
                      <w:highlight w:val="none"/>
                    </w:rPr>
                    <w:t>Ⅱ</w:t>
                  </w:r>
                </w:p>
              </w:tc>
              <w:tc>
                <w:tcPr>
                  <w:tcW w:w="93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napToGrid w:val="0"/>
                      <w:color w:val="auto"/>
                      <w:sz w:val="21"/>
                      <w:szCs w:val="21"/>
                      <w:highlight w:val="none"/>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1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subscript"/>
                    </w:rPr>
                  </w:pPr>
                  <w:r>
                    <w:rPr>
                      <w:rFonts w:hint="default" w:ascii="Times New Roman" w:hAnsi="Times New Roman" w:eastAsia="宋体" w:cs="Times New Roman"/>
                      <w:color w:val="auto"/>
                      <w:sz w:val="21"/>
                      <w:szCs w:val="21"/>
                      <w:highlight w:val="none"/>
                    </w:rPr>
                    <w:t>评价工作等级</w:t>
                  </w:r>
                </w:p>
              </w:tc>
              <w:tc>
                <w:tcPr>
                  <w:tcW w:w="1023"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w:t>
                  </w:r>
                </w:p>
              </w:tc>
              <w:tc>
                <w:tcPr>
                  <w:tcW w:w="937"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w:t>
                  </w:r>
                </w:p>
              </w:tc>
              <w:tc>
                <w:tcPr>
                  <w:tcW w:w="9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w:t>
                  </w:r>
                </w:p>
              </w:tc>
              <w:tc>
                <w:tcPr>
                  <w:tcW w:w="93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简单分析</w:t>
                  </w:r>
                  <w:r>
                    <w:rPr>
                      <w:rFonts w:hint="default" w:ascii="Times New Roman" w:hAnsi="Times New Roman" w:eastAsia="宋体" w:cs="Times New Roman"/>
                      <w:color w:val="auto"/>
                      <w:sz w:val="21"/>
                      <w:szCs w:val="21"/>
                      <w:highlight w:val="none"/>
                      <w:vertAlign w:val="super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5"/>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superscript"/>
                    </w:rPr>
                    <w:t>a</w:t>
                  </w:r>
                  <w:r>
                    <w:rPr>
                      <w:rFonts w:hint="default" w:ascii="Times New Roman" w:hAnsi="Times New Roman" w:eastAsia="宋体" w:cs="Times New Roman"/>
                      <w:color w:val="auto"/>
                      <w:sz w:val="21"/>
                      <w:szCs w:val="21"/>
                      <w:highlight w:val="none"/>
                    </w:rPr>
                    <w:t>是相对于详细评价工作内容而言，在描述危险物质、环境影响途径、环境危害后果、风险防范措施等方面给出定性的说明。见导则附录A。</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本项目环境风险潜势为Ⅰ，本次评价对大气、地下水环境风险均进行简单分析，本项目无废水外排，故不对地表水环境风险进一步评价。</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8.2环境敏感目标概况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本项目周边区域无环境敏感目标，将区域环境空气、调查评价范围内地下水作为环境风险保护目标。</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8.3环境风险识别</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（1）物质危险性识别</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结合工程分析和同类事故案例分析，本项目的主要危险物质是柴油，若在钻井过程中遇到部分地层压力异常且含有油气资源，发生井喷事故导致采出气在井口溢出原油，其主要物化、毒理性质、危险等级划分见</w:t>
            </w:r>
            <w:r>
              <w:rPr>
                <w:rFonts w:hint="eastAsia" w:ascii="Times New Roman" w:cs="Times New Roman"/>
                <w:bCs/>
                <w:color w:val="auto"/>
                <w:kern w:val="0"/>
                <w:sz w:val="24"/>
                <w:szCs w:val="24"/>
                <w:highlight w:val="none"/>
                <w:lang w:val="en-US" w:eastAsia="zh-CN"/>
              </w:rPr>
              <w:t>下表</w:t>
            </w:r>
            <w:r>
              <w:rPr>
                <w:rFonts w:hint="default" w:ascii="Times New Roman" w:hAnsi="Times New Roman" w:eastAsia="宋体" w:cs="Times New Roman"/>
                <w:bCs/>
                <w:color w:val="auto"/>
                <w:kern w:val="0"/>
                <w:sz w:val="24"/>
                <w:szCs w:val="24"/>
                <w:highlight w:val="none"/>
                <w:lang w:val="en-US" w:eastAsia="zh-CN"/>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12</w:t>
            </w:r>
            <w:r>
              <w:rPr>
                <w:rFonts w:hint="default" w:ascii="Times New Roman" w:hAnsi="Times New Roman" w:eastAsia="宋体" w:cs="Times New Roman"/>
                <w:b/>
                <w:bCs/>
                <w:color w:val="auto"/>
                <w:sz w:val="24"/>
                <w:highlight w:val="none"/>
                <w:lang w:val="en-US" w:eastAsia="zh-CN"/>
              </w:rPr>
              <w:t xml:space="preserve">    本项目物质危险性一览表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06"/>
              <w:gridCol w:w="4426"/>
              <w:gridCol w:w="913"/>
              <w:gridCol w:w="1139"/>
              <w:gridCol w:w="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vMerge w:val="restar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危险物质名称</w:t>
                  </w:r>
                </w:p>
              </w:tc>
              <w:tc>
                <w:tcPr>
                  <w:tcW w:w="7387" w:type="dxa"/>
                  <w:gridSpan w:val="4"/>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理化性质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p>
              </w:tc>
              <w:tc>
                <w:tcPr>
                  <w:tcW w:w="4424"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物   质   性   质</w:t>
                  </w:r>
                </w:p>
              </w:tc>
              <w:tc>
                <w:tcPr>
                  <w:tcW w:w="912"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判定结果</w:t>
                  </w:r>
                </w:p>
              </w:tc>
              <w:tc>
                <w:tcPr>
                  <w:tcW w:w="1138"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物质性质</w:t>
                  </w:r>
                </w:p>
              </w:tc>
              <w:tc>
                <w:tcPr>
                  <w:tcW w:w="913"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判定结果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w:t>
                  </w:r>
                </w:p>
              </w:tc>
              <w:tc>
                <w:tcPr>
                  <w:tcW w:w="4424"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稍有黏性的棕色液体，爆炸极限1.5%～4.5%；沸点：200～350℃；闪点：45～55℃</w:t>
                  </w:r>
                  <w:r>
                    <w:rPr>
                      <w:rFonts w:hint="default" w:ascii="Times New Roman" w:hAnsi="Times New Roman" w:eastAsia="宋体" w:cs="Times New Roman"/>
                      <w:color w:val="auto"/>
                      <w:spacing w:val="-10"/>
                      <w:sz w:val="21"/>
                      <w:szCs w:val="21"/>
                      <w:highlight w:val="none"/>
                      <w:lang w:eastAsia="zh-CN"/>
                    </w:rPr>
                    <w:t>。</w:t>
                  </w:r>
                </w:p>
              </w:tc>
              <w:tc>
                <w:tcPr>
                  <w:tcW w:w="912"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可燃液体</w:t>
                  </w:r>
                </w:p>
              </w:tc>
              <w:tc>
                <w:tcPr>
                  <w:tcW w:w="1138"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LC</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LD</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tc>
              <w:tc>
                <w:tcPr>
                  <w:tcW w:w="913"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原油</w:t>
                  </w:r>
                </w:p>
              </w:tc>
              <w:tc>
                <w:tcPr>
                  <w:tcW w:w="4424"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有黏性的深棕色或黑液体，密度0.75～0.95之间，易燃，闪点：-40℃至40℃之间；具有爆炸性。当原油蒸气与空气混合并达到一定浓度时，会形成爆炸性混合物</w:t>
                  </w:r>
                  <w:r>
                    <w:rPr>
                      <w:rFonts w:hint="default" w:ascii="Times New Roman" w:hAnsi="Times New Roman" w:eastAsia="宋体" w:cs="Times New Roman"/>
                      <w:color w:val="auto"/>
                      <w:spacing w:val="-10"/>
                      <w:sz w:val="21"/>
                      <w:szCs w:val="21"/>
                      <w:highlight w:val="none"/>
                      <w:lang w:eastAsia="zh-CN"/>
                    </w:rPr>
                    <w:t>。</w:t>
                  </w:r>
                </w:p>
              </w:tc>
              <w:tc>
                <w:tcPr>
                  <w:tcW w:w="912"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可燃液体</w:t>
                  </w:r>
                </w:p>
              </w:tc>
              <w:tc>
                <w:tcPr>
                  <w:tcW w:w="1138"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LC</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LD</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tc>
              <w:tc>
                <w:tcPr>
                  <w:tcW w:w="913"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落地油</w:t>
                  </w:r>
                </w:p>
              </w:tc>
              <w:tc>
                <w:tcPr>
                  <w:tcW w:w="7387" w:type="dxa"/>
                  <w:gridSpan w:val="4"/>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z w:val="21"/>
                      <w:szCs w:val="21"/>
                      <w:highlight w:val="none"/>
                    </w:rPr>
                    <w:t>落地油通常呈现暗黄、棕色或绿黑色，这是由于其成分主要为碳氢化合物的混合物。落地油的密度在0.780-0.970之间，不溶于水，但可以与某些有机溶剂互溶。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伴生气</w:t>
                  </w:r>
                </w:p>
              </w:tc>
              <w:tc>
                <w:tcPr>
                  <w:tcW w:w="7387" w:type="dxa"/>
                  <w:gridSpan w:val="4"/>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无色无味气体，爆炸上限16%，爆炸下限4.8%，蒸汽压：53.32kPa</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-168.8℃</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，闪点：-188.8℃，熔点：-182.5℃，沸点：-161.5℃，相对密度0.42</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-164℃</w:t>
                  </w:r>
                  <w:r>
                    <w:rPr>
                      <w:rFonts w:hint="default" w:ascii="Times New Roman" w:hAnsi="Times New Roman" w:eastAsia="宋体" w:cs="Times New Roman"/>
                      <w:color w:val="auto"/>
                      <w:spacing w:val="-10"/>
                      <w:sz w:val="21"/>
                      <w:szCs w:val="21"/>
                      <w:highlight w:val="none"/>
                      <w:lang w:eastAsia="zh-CN"/>
                    </w:rPr>
                    <w:t>）。</w:t>
                  </w:r>
                </w:p>
              </w:tc>
            </w:tr>
          </w:tbl>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（2）危险物质分布情况</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本项目危险物质主要位于场区内油罐区域和井口。</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（3）可能影响环境的途径</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本项目可能存在的风险事故类型有火灾、爆炸和井喷事故。火灾、爆炸与物料含油率、烃类可燃气体的量等因素有关。本项目柴油罐泄漏发生火灾事故以及发生井喷后可能对周边环境造成影响。</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表4-1</w:t>
            </w:r>
            <w:r>
              <w:rPr>
                <w:rFonts w:hint="eastAsia" w:ascii="Times New Roman"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本项目环境风险及环境影响途径识别表</w:t>
            </w:r>
          </w:p>
          <w:tbl>
            <w:tblPr>
              <w:tblStyle w:val="32"/>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91"/>
              <w:gridCol w:w="1364"/>
              <w:gridCol w:w="1151"/>
              <w:gridCol w:w="3039"/>
              <w:gridCol w:w="13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危险物质</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风险单元</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作业特点</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环境风险类型</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环境影响途径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37"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柴油、原油</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w:t>
                  </w:r>
                  <w:r>
                    <w:rPr>
                      <w:rFonts w:hint="eastAsia" w:ascii="Times New Roman" w:cs="Times New Roman"/>
                      <w:color w:val="auto"/>
                      <w:spacing w:val="-10"/>
                      <w:sz w:val="21"/>
                      <w:szCs w:val="21"/>
                      <w:highlight w:val="none"/>
                      <w:lang w:val="en-US" w:eastAsia="zh-CN"/>
                    </w:rPr>
                    <w:t>罐</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凝析油罐</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常温、常压</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泄漏、火灾、次生污染物CO、大气污染</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大气扩散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95"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伴生天然气H</w:t>
                  </w:r>
                  <w:r>
                    <w:rPr>
                      <w:rFonts w:hint="default" w:ascii="Times New Roman" w:hAnsi="Times New Roman" w:eastAsia="宋体" w:cs="Times New Roman"/>
                      <w:color w:val="auto"/>
                      <w:spacing w:val="-10"/>
                      <w:sz w:val="21"/>
                      <w:szCs w:val="21"/>
                      <w:highlight w:val="none"/>
                      <w:vertAlign w:val="subscript"/>
                    </w:rPr>
                    <w:t>2</w:t>
                  </w:r>
                  <w:r>
                    <w:rPr>
                      <w:rFonts w:hint="default" w:ascii="Times New Roman" w:hAnsi="Times New Roman" w:eastAsia="宋体" w:cs="Times New Roman"/>
                      <w:color w:val="auto"/>
                      <w:spacing w:val="-10"/>
                      <w:sz w:val="21"/>
                      <w:szCs w:val="21"/>
                      <w:highlight w:val="none"/>
                    </w:rPr>
                    <w:t>S</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钻井区域</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常温、常压</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井喷、井喷失控、泄漏、中毒、火灾、爆炸、大气污染</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大气扩散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落地油</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危废暂存间</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常温、常压</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泄漏、火灾、次生污染物CO、大气污染</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大气扩散</w:t>
                  </w:r>
                </w:p>
              </w:tc>
            </w:tr>
          </w:tbl>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（4）生产设施风险识别</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 xml:space="preserve">A.井喷事故风险 </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Cs w:val="21"/>
                <w:highlight w:val="none"/>
              </w:rPr>
            </w:pPr>
            <w:r>
              <w:rPr>
                <w:rFonts w:hint="default" w:ascii="Times New Roman" w:hAnsi="Times New Roman" w:eastAsia="宋体" w:cs="Times New Roman"/>
                <w:color w:val="auto"/>
                <w:kern w:val="2"/>
                <w:sz w:val="24"/>
                <w:szCs w:val="24"/>
                <w:highlight w:val="none"/>
                <w:lang w:val="en-US" w:eastAsia="zh-CN"/>
              </w:rPr>
              <w:t>井喷为井场常见事故。钻井过程中遇到地下油、气、水层时，油、气或水窜进井内的钻井液里，加快了钻井液流动和循环的速度。如果井底压力小于地层压力，地层流体将进入井筒并推动钻井液外溢，即发生溢流。此时，如果对地下油、气压力平衡控制不当，不能及时控制溢流，会造成油、气、水或其他混合物迅速喷到地面，即发生井喷。井喷会引发油气泄漏及火灾爆炸，对空气环境、水环境及生态环境造成危害，致使人员伤亡、财产损失。</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 xml:space="preserve">B.井漏事故风险 </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钻井施工表层套管下入深度不够或固井质量不好可能引发污染地下水事故，如钻井液漏失造成地下水污染，油气上窜造成地下水污染等。</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C.物料运输风险</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szCs w:val="21"/>
                <w:highlight w:val="none"/>
                <w:lang w:val="en-US" w:eastAsia="zh-CN"/>
              </w:rPr>
              <w:t>物料运输风险事故主要为原油、柴油、落地油等运输过程中产生的泄漏事故，泄漏后将污染井场土壤，造成土质恶化，影响井场及周边植被生长等。</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8.4环境风险分析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8.4.1大气环境风险分析</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工程施工过程中风险类型主要为柴油罐泄漏导致的火灾以及爆炸事故等产生的次生污染物影响，以及在钻至含油地层遇到压力异常发生井喷事故导致气体进入大气。</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柴油罐泄漏时，遇明火燃烧，油品从裂口流出后立即燃烧，发生火灾爆炸事故，如果出现不完全燃烧，会产生一定量的一氧化碳。一旦储罐发生泄漏事故，应迅速进行封堵，并将泄漏物收集至铁桶等容器内，交由有资质单位处理。</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在钻至含油地层遇到压力异常超过设计压力发生井喷事故，井喷污染范围为200m，一般需要1～2天能得以控制。井喷事故状态下，局部大气中的烃类在短时间内剧增，使局部地区大气污染物在一定时间段内超标，发生井喷事故后，应及时控制井口放喷设施，将井喷泄漏物导入放喷池，若遇硫化氢采取点燃处理，通过采取及时疏散周边人员，对井喷物质进行点火和在周边进行检测，可最大程度降低对周边的影响。积极开展公众环境风险事故预防教育和应急知识培训，一旦发生火灾爆炸事故，及时疏散井场及周边人员，避免造成人员伤亡和财产损失。事故发生后，周边荒漠采用人工清理后进行重建，再加上生物演替过程，基本2～3年即可恢复。由于井场位于荒漠，在落实风险防范措施、应急预案后，其发生事故的概率较低，且周边区域空旷，扩散条件良好，柴油泄漏及井喷事故对周围环境空气的影响是可以接受的。</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 w:val="24"/>
                <w:szCs w:val="20"/>
                <w:highlight w:val="none"/>
                <w:lang w:val="en-US" w:eastAsia="zh-CN"/>
              </w:rPr>
              <w:t>8.4.2地表水环境风险分析</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柴油罐发生泄漏时，及时封堵，并将泄漏物收集后交由有资质单位处理；井喷事故可能会导致大量的石油、天然气或其他有害物质泄漏到环境中</w:t>
            </w:r>
            <w:r>
              <w:rPr>
                <w:rFonts w:hint="eastAsia" w:ascii="Times New Roman" w:eastAsia="宋体" w:cs="Times New Roman"/>
                <w:color w:val="auto"/>
                <w:kern w:val="2"/>
                <w:sz w:val="24"/>
                <w:szCs w:val="24"/>
                <w:highlight w:val="none"/>
                <w:lang w:val="en-US" w:eastAsia="zh-CN"/>
              </w:rPr>
              <w:t>；酸化压裂反排液转运、运输过程中因碰撞、翻车、罐体腐蚀或阀门失效发生泄漏时，高盐或含重金属的液体直接流入周边环境中。</w:t>
            </w:r>
            <w:r>
              <w:rPr>
                <w:rFonts w:hint="default" w:ascii="Times New Roman" w:hAnsi="Times New Roman" w:eastAsia="宋体" w:cs="Times New Roman"/>
                <w:color w:val="auto"/>
                <w:kern w:val="2"/>
                <w:sz w:val="24"/>
                <w:szCs w:val="24"/>
                <w:highlight w:val="none"/>
                <w:lang w:val="en-US" w:eastAsia="zh-CN"/>
              </w:rPr>
              <w:t>本项目周边无地表水，发生井喷事故时，将放喷池作为一级污染控制措施，对井喷泄漏物进行收集，并将泄漏物收集后交由有资质单位处理</w:t>
            </w:r>
            <w:r>
              <w:rPr>
                <w:rFonts w:hint="eastAsia" w:ascii="Times New Roman" w:eastAsia="宋体" w:cs="Times New Roman"/>
                <w:color w:val="auto"/>
                <w:kern w:val="2"/>
                <w:sz w:val="24"/>
                <w:szCs w:val="24"/>
                <w:highlight w:val="none"/>
                <w:lang w:val="en-US" w:eastAsia="zh-CN"/>
              </w:rPr>
              <w:t>；酸化压裂反排液发生泄漏时，对泄漏物进行收集</w:t>
            </w:r>
            <w:r>
              <w:rPr>
                <w:rFonts w:hint="default" w:ascii="Times New Roman" w:hAnsi="Times New Roman" w:eastAsia="宋体" w:cs="Times New Roman"/>
                <w:color w:val="auto"/>
                <w:kern w:val="2"/>
                <w:sz w:val="24"/>
                <w:szCs w:val="24"/>
                <w:highlight w:val="none"/>
                <w:lang w:val="en-US" w:eastAsia="zh-CN"/>
              </w:rPr>
              <w:t>，并将泄漏物收集后交由有资质单位处理</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相关部门和企业应当采取有效的预防措施。</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为了减少井喷事故对地表水的影响，加强井控技术的研究和应用，提高应急响应能力，建立健全的环境保护法规和标准。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8.4.3地下水环境风险分析</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在发生柴油罐泄漏</w:t>
            </w:r>
            <w:r>
              <w:rPr>
                <w:rFonts w:hint="eastAsia" w:ascii="Times New Roman" w:eastAsia="宋体" w:cs="Times New Roman"/>
                <w:color w:val="auto"/>
                <w:kern w:val="2"/>
                <w:sz w:val="24"/>
                <w:szCs w:val="24"/>
                <w:highlight w:val="none"/>
                <w:lang w:val="en-US" w:eastAsia="zh-CN"/>
              </w:rPr>
              <w:t>、酸化液裂反排液泄漏</w:t>
            </w:r>
            <w:r>
              <w:rPr>
                <w:rFonts w:hint="default" w:ascii="Times New Roman" w:hAnsi="Times New Roman" w:eastAsia="宋体" w:cs="Times New Roman"/>
                <w:color w:val="auto"/>
                <w:kern w:val="2"/>
                <w:sz w:val="24"/>
                <w:szCs w:val="24"/>
                <w:highlight w:val="none"/>
                <w:lang w:val="en-US" w:eastAsia="zh-CN"/>
              </w:rPr>
              <w:t>等事故时，若泄漏</w:t>
            </w:r>
            <w:r>
              <w:rPr>
                <w:rFonts w:hint="eastAsia" w:ascii="Times New Roman" w:eastAsia="宋体" w:cs="Times New Roman"/>
                <w:color w:val="auto"/>
                <w:kern w:val="2"/>
                <w:sz w:val="24"/>
                <w:szCs w:val="24"/>
                <w:highlight w:val="none"/>
                <w:lang w:val="en-US" w:eastAsia="zh-CN"/>
              </w:rPr>
              <w:t>物</w:t>
            </w:r>
            <w:r>
              <w:rPr>
                <w:rFonts w:hint="default" w:ascii="Times New Roman" w:hAnsi="Times New Roman" w:eastAsia="宋体" w:cs="Times New Roman"/>
                <w:color w:val="auto"/>
                <w:kern w:val="2"/>
                <w:sz w:val="24"/>
                <w:szCs w:val="24"/>
                <w:highlight w:val="none"/>
                <w:lang w:val="en-US" w:eastAsia="zh-CN"/>
              </w:rPr>
              <w:t>长时间未得到处理，渗入地下可能污染地下水。为防止</w:t>
            </w:r>
            <w:r>
              <w:rPr>
                <w:rFonts w:hint="eastAsia" w:ascii="Times New Roman" w:eastAsia="宋体" w:cs="Times New Roman"/>
                <w:color w:val="auto"/>
                <w:kern w:val="2"/>
                <w:sz w:val="24"/>
                <w:szCs w:val="24"/>
                <w:highlight w:val="none"/>
                <w:lang w:val="en-US" w:eastAsia="zh-CN"/>
              </w:rPr>
              <w:t>泄漏物</w:t>
            </w:r>
            <w:r>
              <w:rPr>
                <w:rFonts w:hint="default" w:ascii="Times New Roman" w:hAnsi="Times New Roman" w:eastAsia="宋体" w:cs="Times New Roman"/>
                <w:color w:val="auto"/>
                <w:kern w:val="2"/>
                <w:sz w:val="24"/>
                <w:szCs w:val="24"/>
                <w:highlight w:val="none"/>
                <w:lang w:val="en-US" w:eastAsia="zh-CN"/>
              </w:rPr>
              <w:t>污染土壤和地下水，环评要求采取以下措施：</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①加强柴油罐</w:t>
            </w:r>
            <w:r>
              <w:rPr>
                <w:rFonts w:hint="eastAsia" w:ascii="Times New Roman" w:eastAsia="宋体" w:cs="Times New Roman"/>
                <w:color w:val="auto"/>
                <w:kern w:val="2"/>
                <w:sz w:val="24"/>
                <w:szCs w:val="24"/>
                <w:highlight w:val="none"/>
                <w:lang w:val="en-US" w:eastAsia="zh-CN"/>
              </w:rPr>
              <w:t>、酸化液裂反排液运输车辆</w:t>
            </w:r>
            <w:r>
              <w:rPr>
                <w:rFonts w:hint="default" w:ascii="Times New Roman" w:hAnsi="Times New Roman" w:eastAsia="宋体" w:cs="Times New Roman"/>
                <w:color w:val="auto"/>
                <w:kern w:val="2"/>
                <w:sz w:val="24"/>
                <w:szCs w:val="24"/>
                <w:highlight w:val="none"/>
                <w:lang w:val="en-US" w:eastAsia="zh-CN"/>
              </w:rPr>
              <w:t>的维护保养，避免泄漏事件的发生。对于易发生泄漏的部位实行定期的巡检制度，及时发现问题尽快解决。加强职工的安全教育，</w:t>
            </w:r>
            <w:r>
              <w:rPr>
                <w:rFonts w:hint="eastAsia" w:ascii="Times New Roman" w:hAnsi="Times New Roman" w:eastAsia="宋体" w:cs="Times New Roman"/>
                <w:color w:val="auto"/>
                <w:kern w:val="2"/>
                <w:sz w:val="24"/>
                <w:szCs w:val="24"/>
                <w:highlight w:val="none"/>
                <w:lang w:val="en-US" w:eastAsia="zh-CN"/>
              </w:rPr>
              <w:t>增强</w:t>
            </w:r>
            <w:r>
              <w:rPr>
                <w:rFonts w:hint="default" w:ascii="Times New Roman" w:hAnsi="Times New Roman" w:eastAsia="宋体" w:cs="Times New Roman"/>
                <w:color w:val="auto"/>
                <w:kern w:val="2"/>
                <w:sz w:val="24"/>
                <w:szCs w:val="24"/>
                <w:highlight w:val="none"/>
                <w:lang w:val="en-US" w:eastAsia="zh-CN"/>
              </w:rPr>
              <w:t>防范风险的意识。</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②在柴油罐底部采用防渗膜防渗，如发生油品泄漏，应及时把污染的部分收集在铁桶中，施工结束后交</w:t>
            </w:r>
            <w:r>
              <w:rPr>
                <w:rFonts w:hint="eastAsia" w:ascii="Times New Roman" w:hAnsi="Times New Roman" w:eastAsia="宋体" w:cs="Times New Roman"/>
                <w:color w:val="auto"/>
                <w:kern w:val="2"/>
                <w:sz w:val="24"/>
                <w:szCs w:val="24"/>
                <w:highlight w:val="none"/>
                <w:lang w:val="en-US" w:eastAsia="zh-CN"/>
              </w:rPr>
              <w:t>由</w:t>
            </w:r>
            <w:r>
              <w:rPr>
                <w:rFonts w:hint="default" w:ascii="Times New Roman" w:hAnsi="Times New Roman" w:eastAsia="宋体" w:cs="Times New Roman"/>
                <w:color w:val="auto"/>
                <w:kern w:val="2"/>
                <w:sz w:val="24"/>
                <w:szCs w:val="24"/>
                <w:highlight w:val="none"/>
                <w:lang w:val="en-US" w:eastAsia="zh-CN"/>
              </w:rPr>
              <w:t>有资质单位处置。</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eastAsia" w:ascii="Times New Roman" w:eastAsia="宋体" w:cs="Times New Roman"/>
                <w:color w:val="auto"/>
                <w:kern w:val="2"/>
                <w:sz w:val="24"/>
                <w:szCs w:val="24"/>
                <w:highlight w:val="none"/>
                <w:lang w:val="en-US" w:eastAsia="zh-CN"/>
              </w:rPr>
              <w:t>③加强酸化液裂反排液运输司机道路安全驾驶教育</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增强</w:t>
            </w:r>
            <w:r>
              <w:rPr>
                <w:rFonts w:hint="default" w:ascii="Times New Roman" w:hAnsi="Times New Roman" w:eastAsia="宋体" w:cs="Times New Roman"/>
                <w:color w:val="auto"/>
                <w:kern w:val="2"/>
                <w:sz w:val="24"/>
                <w:szCs w:val="24"/>
                <w:highlight w:val="none"/>
                <w:lang w:val="en-US" w:eastAsia="zh-CN"/>
              </w:rPr>
              <w:t>防范风险的意识。</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采取以上防渗措施后，地下水环境风险可防控。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8.4.4套管破损风险分析</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套管破损可能导致油气泄漏，这些泄漏物可能渗透到土壤中，污染地下水和土壤。油品和其他有害物质可能会渗入土壤，影响土壤的物理和化学性质，甚至破坏土壤生态系统。</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套管破损可能导致井壁稳定性下降，进而影响土壤结构。在某些情况下，这可能导致地面下沉或地层压实，改变土壤的承载能力和稳定性。</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油气泄漏和土壤污染可能对土壤中的微生物群落和植物生长产生负面影响，破坏生态平衡。长期的污染还可能导致土壤退化，影响土地可持续利用。</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综上所述，套管破损不仅会影响油气开采的效率和安全性，还可能对土壤环境造成严重影响。因此，在油气勘探过程中，应采取有效的预防和修复措施，以减少套管破损对土壤的影响。</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bookmarkStart w:id="49" w:name="OLE_LINK6"/>
            <w:r>
              <w:rPr>
                <w:rFonts w:hint="default" w:ascii="Times New Roman" w:hAnsi="Times New Roman" w:eastAsia="宋体" w:cs="Times New Roman"/>
                <w:color w:val="auto"/>
                <w:kern w:val="2"/>
                <w:sz w:val="24"/>
                <w:szCs w:val="24"/>
                <w:highlight w:val="none"/>
                <w:lang w:val="en-US" w:eastAsia="zh-CN"/>
              </w:rPr>
              <w:t>钻井过程中主要环境风险是可能发生的井喷、储罐泄漏等事故，做好风险防范工作，防止对周围环境、工作人员人身安全造成危害。本项目的环境风险防范措施及制定的预案切实可行、有效。在落实风险防范措施、应急预案后，其发生事故的概率较低，其环境危害也是较小的，环境风险水平可接受</w:t>
            </w:r>
            <w:bookmarkStart w:id="50" w:name="OLE_LINK42"/>
            <w:r>
              <w:rPr>
                <w:rFonts w:hint="default" w:ascii="Times New Roman" w:hAnsi="Times New Roman" w:eastAsia="宋体" w:cs="Times New Roman"/>
                <w:color w:val="auto"/>
                <w:kern w:val="2"/>
                <w:sz w:val="24"/>
                <w:szCs w:val="24"/>
                <w:highlight w:val="none"/>
                <w:lang w:val="en-US" w:eastAsia="zh-CN"/>
              </w:rPr>
              <w:t>。</w:t>
            </w:r>
            <w:bookmarkEnd w:id="49"/>
            <w:bookmarkEnd w:id="50"/>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p>
        </w:tc>
      </w:tr>
      <w:bookmarkEnd w:id="45"/>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230" w:hRule="atLeast"/>
          <w:jc w:val="center"/>
        </w:trPr>
        <w:tc>
          <w:tcPr>
            <w:tcW w:w="74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kern w:val="2"/>
                <w:sz w:val="21"/>
                <w:szCs w:val="21"/>
                <w:highlight w:val="none"/>
                <w:lang w:val="en-US" w:eastAsia="zh-CN"/>
              </w:rPr>
            </w:pPr>
            <w:r>
              <w:rPr>
                <w:rFonts w:hint="default" w:ascii="Times New Roman" w:hAnsi="Times New Roman" w:eastAsia="宋体" w:cs="Times New Roman"/>
                <w:color w:val="auto"/>
                <w:sz w:val="24"/>
                <w:szCs w:val="24"/>
                <w:highlight w:val="none"/>
                <w:lang w:val="en-US" w:eastAsia="zh-CN"/>
              </w:rPr>
              <w:t>运营期生态环境影响分析</w:t>
            </w:r>
          </w:p>
        </w:tc>
        <w:tc>
          <w:tcPr>
            <w:tcW w:w="8334" w:type="dxa"/>
            <w:noWrap w:val="0"/>
            <w:tcMar>
              <w:left w:w="108" w:type="dxa"/>
              <w:right w:w="108" w:type="dxa"/>
            </w:tcMar>
            <w:vAlign w:val="center"/>
          </w:tcPr>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jc w:val="both"/>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本项目不涉及运营期。</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jc w:val="both"/>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完钻测试放喷后，如在测试放喷过程中发现油气资源具有开采价值，则安装采油树，结合区块开发规划，在适当时间滚动开发，按照要求再进行区块开发、地面工程建设环境影响评价。如发现该井不具开发价值或目的层不含油气，则进行封井、设备搬迁，井场恢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7500" w:hRule="atLeast"/>
          <w:jc w:val="center"/>
        </w:trPr>
        <w:tc>
          <w:tcPr>
            <w:tcW w:w="74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Cs/>
                <w:color w:val="auto"/>
                <w:kern w:val="2"/>
                <w:sz w:val="21"/>
                <w:szCs w:val="21"/>
                <w:highlight w:val="none"/>
                <w:lang w:val="en-US" w:eastAsia="zh-CN"/>
              </w:rPr>
            </w:pPr>
            <w:r>
              <w:rPr>
                <w:rFonts w:hint="default" w:ascii="Times New Roman" w:hAnsi="Times New Roman" w:eastAsia="宋体" w:cs="Times New Roman"/>
                <w:color w:val="auto"/>
                <w:sz w:val="24"/>
                <w:szCs w:val="24"/>
                <w:highlight w:val="none"/>
                <w:lang w:val="en-US" w:eastAsia="zh-CN"/>
              </w:rPr>
              <w:t>选址选线环境合理性分析</w:t>
            </w:r>
          </w:p>
        </w:tc>
        <w:tc>
          <w:tcPr>
            <w:tcW w:w="8334"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1、环境制约因素</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工程选址位于新疆维吾尔自治区巴音郭楞蒙古自治州</w:t>
            </w:r>
            <w:r>
              <w:rPr>
                <w:rFonts w:hint="eastAsia" w:ascii="Times New Roman" w:eastAsia="宋体" w:cs="Times New Roman"/>
                <w:color w:val="auto"/>
                <w:kern w:val="2"/>
                <w:sz w:val="24"/>
                <w:szCs w:val="24"/>
                <w:highlight w:val="none"/>
                <w:lang w:val="en-US" w:eastAsia="zh-CN"/>
              </w:rPr>
              <w:t>且末县塔中镇西北侧23.6km处</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项目</w:t>
            </w:r>
            <w:r>
              <w:rPr>
                <w:rFonts w:hint="eastAsia" w:ascii="Times New Roman" w:eastAsia="宋体" w:cs="Times New Roman"/>
                <w:color w:val="auto"/>
                <w:kern w:val="2"/>
                <w:sz w:val="24"/>
                <w:szCs w:val="24"/>
                <w:highlight w:val="none"/>
                <w:lang w:val="en-US" w:eastAsia="zh-CN"/>
              </w:rPr>
              <w:t>西南</w:t>
            </w:r>
            <w:r>
              <w:rPr>
                <w:rFonts w:hint="default" w:ascii="Times New Roman" w:hAnsi="Times New Roman" w:eastAsia="宋体" w:cs="Times New Roman"/>
                <w:color w:val="auto"/>
                <w:kern w:val="2"/>
                <w:sz w:val="24"/>
                <w:szCs w:val="24"/>
                <w:highlight w:val="none"/>
                <w:lang w:val="en-US" w:eastAsia="zh-CN"/>
              </w:rPr>
              <w:t>距</w:t>
            </w:r>
            <w:r>
              <w:rPr>
                <w:rFonts w:hint="eastAsia" w:ascii="Times New Roman" w:eastAsia="宋体" w:cs="Times New Roman"/>
                <w:color w:val="auto"/>
                <w:kern w:val="2"/>
                <w:sz w:val="24"/>
                <w:szCs w:val="24"/>
                <w:highlight w:val="none"/>
                <w:lang w:val="en-US" w:eastAsia="zh-CN"/>
              </w:rPr>
              <w:t>塔里木盆地南缘土地沙化防控生态保护红线区113.8</w:t>
            </w:r>
            <w:r>
              <w:rPr>
                <w:rFonts w:hint="default" w:ascii="Times New Roman" w:hAnsi="Times New Roman" w:eastAsia="宋体" w:cs="Times New Roman"/>
                <w:color w:val="auto"/>
                <w:kern w:val="2"/>
                <w:sz w:val="24"/>
                <w:szCs w:val="24"/>
                <w:highlight w:val="none"/>
                <w:lang w:val="en-US" w:eastAsia="zh-CN"/>
              </w:rPr>
              <w:t>km，工程选址区域不涉及自然保护区、风景名胜区和其他需要特殊保护的区域，井场选址满足《钻前工程及井场布置技术要求》（SY/T5466-2013）要求，项目占地为</w:t>
            </w:r>
            <w:r>
              <w:rPr>
                <w:rFonts w:hint="eastAsia" w:ascii="Times New Roman" w:eastAsia="宋体" w:cs="Times New Roman"/>
                <w:color w:val="auto"/>
                <w:kern w:val="2"/>
                <w:sz w:val="24"/>
                <w:szCs w:val="24"/>
                <w:highlight w:val="none"/>
                <w:lang w:val="en-US" w:eastAsia="zh-CN"/>
              </w:rPr>
              <w:t>沙地</w:t>
            </w:r>
            <w:r>
              <w:rPr>
                <w:rFonts w:hint="default" w:ascii="Times New Roman" w:hAnsi="Times New Roman" w:eastAsia="宋体" w:cs="Times New Roman"/>
                <w:color w:val="auto"/>
                <w:kern w:val="2"/>
                <w:sz w:val="24"/>
                <w:szCs w:val="24"/>
                <w:highlight w:val="none"/>
                <w:lang w:val="en-US" w:eastAsia="zh-CN"/>
              </w:rPr>
              <w:t>，且位于塔里木油田分公司探矿许可开采范围内，工程选址合理。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2、环境影响程度</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本项目为勘探项目，施工期包括钻前工程、钻井工程、储层改造工程、钻后工程，各个环节产生生态破坏和环境污染影响较小，环境风险可防控。</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本项目选址主要由地下气层所在位置决定地面，选址无相关比选方案。</w:t>
            </w:r>
          </w:p>
          <w:p>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综上所述，本项目选址合理</w:t>
            </w:r>
            <w:r>
              <w:rPr>
                <w:rFonts w:hint="eastAsia" w:ascii="Times New Roman" w:eastAsia="宋体" w:cs="Times New Roman"/>
                <w:color w:val="auto"/>
                <w:kern w:val="2"/>
                <w:sz w:val="24"/>
                <w:szCs w:val="24"/>
                <w:highlight w:val="none"/>
                <w:lang w:val="en-US" w:eastAsia="zh-CN"/>
              </w:rPr>
              <w:t>。</w:t>
            </w:r>
          </w:p>
        </w:tc>
      </w:tr>
    </w:tbl>
    <w:p>
      <w:pPr>
        <w:pStyle w:val="29"/>
        <w:jc w:val="center"/>
        <w:outlineLvl w:val="0"/>
        <w:rPr>
          <w:rFonts w:hint="default" w:ascii="Times New Roman" w:hAnsi="Times New Roman" w:eastAsia="宋体" w:cs="Times New Roman"/>
          <w:b/>
          <w:bCs/>
          <w:snapToGrid w:val="0"/>
          <w:color w:val="0000FF"/>
          <w:sz w:val="30"/>
          <w:szCs w:val="30"/>
          <w:highlight w:val="none"/>
        </w:rPr>
      </w:pPr>
      <w:r>
        <w:rPr>
          <w:rFonts w:hint="default" w:ascii="Times New Roman" w:hAnsi="Times New Roman" w:eastAsia="宋体" w:cs="Times New Roman"/>
          <w:snapToGrid w:val="0"/>
          <w:color w:val="0000FF"/>
          <w:sz w:val="30"/>
          <w:szCs w:val="30"/>
          <w:highlight w:val="none"/>
        </w:rPr>
        <w:br w:type="page"/>
      </w:r>
      <w:bookmarkStart w:id="51" w:name="_Toc14370"/>
      <w:r>
        <w:rPr>
          <w:rFonts w:hint="default" w:ascii="Times New Roman" w:hAnsi="Times New Roman" w:eastAsia="宋体" w:cs="Times New Roman"/>
          <w:b/>
          <w:bCs/>
          <w:snapToGrid w:val="0"/>
          <w:color w:val="auto"/>
          <w:sz w:val="30"/>
          <w:szCs w:val="30"/>
          <w:highlight w:val="none"/>
        </w:rPr>
        <w:t>五、主要生态环境保护措施</w:t>
      </w:r>
      <w:bookmarkEnd w:id="51"/>
    </w:p>
    <w:tbl>
      <w:tblPr>
        <w:tblStyle w:val="32"/>
        <w:tblW w:w="90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18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89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 w:val="24"/>
                <w:szCs w:val="24"/>
                <w:highlight w:val="none"/>
                <w:lang w:val="en-US" w:eastAsia="zh-CN"/>
              </w:rPr>
              <w:t>施工期生态环境保护措施</w:t>
            </w:r>
          </w:p>
        </w:tc>
        <w:tc>
          <w:tcPr>
            <w:tcW w:w="8187"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1、施工期生态环境保护措施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（1）生态治理措施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项目所在区域生态较脆弱，为保护区域生态环境，在施工过程和钻井结束后，应采取以下生态保护措施：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①井场严格按设计方案减少占地；生活区、放喷池等设施选在井场周边未利用地，减少占地。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②对临时性占地合理规划，严格控制临时占地面积，对规划占地范围外的区域严禁机械及车辆进入、占用，禁止乱轧乱碾，减少扰动范围。单井井场施工临时性占地控制在100m×140m范围内。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③项目占用沙地，开工前办理用地审批，经批准可临时占地，不超过两年，在试采和取得采矿权后转为开采井的，办理永久占地手续。</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④施工期充分利用现有周边的道路，施工机械和车辆不得在道路以外行驶和作业，保持地表不被扰动，不得随意取弃土。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⑤在井场设置“保护生态环境、保护野生动物”等警示牌，加强对施工人员的教育，强化保护野生动物的观念，不得捕猎。车辆行驶过程中不得鸣笛惊吓野生动物。确保各类废弃物妥善处理，井场采用围栏加以防护，避免野生动物误入而危及生命。降低风险概率，避免事故泄漏和火灾爆炸事故对野生动物产生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⑥施工结束后及时清理施工现场，做到“工完、料净、场地清”。工程结束后，建设单位应承担恢复生态的责任，并及时对临时占地区域进行平整、恢复原貌，使占地造成的影响逐步得以恢复。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⑦结合《石油天然气项目土地复垦与生态修复技术规范》（GB/T 43936-2024），对各设施临时占地进行恢复。</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对野生动物的保护措施</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①区域动物现状调查</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在油田开发区域，因石油开发建设活动早已开展，人类活动频繁，使得对人类活动敏感的野生动物早已离去，已难见大中型的野生动物，野生动物主要是一些爬行动物沙蜥、沙鼠等。项目区范围内无大型哺乳类动物分布。根据现场调查，本项目占地范围内无野生保护动物活动。</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②对野生动物的保护措施</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1"/>
                <w:sz w:val="24"/>
                <w:szCs w:val="24"/>
                <w:highlight w:val="none"/>
                <w:lang w:eastAsia="zh-CN"/>
              </w:rPr>
              <w:t>项目</w:t>
            </w:r>
            <w:r>
              <w:rPr>
                <w:rFonts w:hint="default" w:ascii="Times New Roman" w:hAnsi="Times New Roman" w:eastAsia="宋体" w:cs="Times New Roman"/>
                <w:color w:val="auto"/>
                <w:kern w:val="1"/>
                <w:sz w:val="24"/>
                <w:szCs w:val="24"/>
                <w:highlight w:val="none"/>
              </w:rPr>
              <w:t>在施工过程中应加强对施工人员活动的控制，减少对</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的干扰，</w:t>
            </w:r>
            <w:r>
              <w:rPr>
                <w:rFonts w:hint="default" w:ascii="Times New Roman" w:hAnsi="Times New Roman" w:eastAsia="宋体" w:cs="Times New Roman"/>
                <w:color w:val="auto"/>
                <w:kern w:val="1"/>
                <w:sz w:val="24"/>
                <w:szCs w:val="24"/>
                <w:highlight w:val="none"/>
                <w:lang w:val="en-US" w:eastAsia="zh-CN"/>
              </w:rPr>
              <w:t>在</w:t>
            </w:r>
            <w:r>
              <w:rPr>
                <w:rFonts w:hint="default" w:ascii="Times New Roman" w:hAnsi="Times New Roman" w:eastAsia="宋体" w:cs="Times New Roman"/>
                <w:color w:val="auto"/>
                <w:kern w:val="1"/>
                <w:sz w:val="24"/>
                <w:szCs w:val="24"/>
                <w:highlight w:val="none"/>
              </w:rPr>
              <w:t>夜间尽量减少活动；合理安排施工时间，在</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繁殖季节停止施工，减少工程建设对</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繁殖的影响。项目施工期短暂，施工结束后，</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生活环境</w:t>
            </w:r>
            <w:r>
              <w:rPr>
                <w:rFonts w:hint="default" w:ascii="Times New Roman" w:hAnsi="Times New Roman" w:eastAsia="宋体" w:cs="Times New Roman"/>
                <w:color w:val="auto"/>
                <w:kern w:val="1"/>
                <w:sz w:val="24"/>
                <w:szCs w:val="24"/>
                <w:highlight w:val="none"/>
                <w:lang w:eastAsia="zh-CN"/>
              </w:rPr>
              <w:t>很快</w:t>
            </w:r>
            <w:r>
              <w:rPr>
                <w:rFonts w:hint="default" w:ascii="Times New Roman" w:hAnsi="Times New Roman" w:eastAsia="宋体" w:cs="Times New Roman"/>
                <w:color w:val="auto"/>
                <w:kern w:val="1"/>
                <w:sz w:val="24"/>
                <w:szCs w:val="24"/>
                <w:highlight w:val="none"/>
              </w:rPr>
              <w:t>得到恢复。</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水土流失防治</w:t>
            </w:r>
            <w:r>
              <w:rPr>
                <w:rFonts w:hint="default" w:ascii="Times New Roman" w:hAnsi="Times New Roman" w:eastAsia="宋体" w:cs="Times New Roman"/>
                <w:color w:val="auto"/>
                <w:sz w:val="24"/>
                <w:szCs w:val="24"/>
                <w:highlight w:val="none"/>
              </w:rPr>
              <w:t>措施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井场平整、池体开挖后需先进行严格的整治，开挖及回填时应保证地面相对平整，压实度较高的采用推土机的松土器进行耙松。精细平整过程中不仅要保证土地再塑，而且要稳坡固表，对施工场地定期洒水降尘，防止水土流失。</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rPr>
              <w:t>施工活动开始之前，应制定详细的施工方案，限定施工人员的活动区域，尽量控制施工动土范围，以保持原生生态系统的稳定性和完整性；要求施工单位保护好施工场地周边的植被及野生动物，不得随意破坏植被。</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施工中严格限定施工的工作范围，规定运输车辆行驶路线，不得乱压乱碾，不得随意取弃土，施工结束一律平整土地，清除用地范围内的固体废弃物。</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④</w:t>
            </w:r>
            <w:r>
              <w:rPr>
                <w:rFonts w:hint="default" w:ascii="Times New Roman" w:hAnsi="Times New Roman" w:eastAsia="宋体" w:cs="Times New Roman"/>
                <w:color w:val="auto"/>
                <w:sz w:val="24"/>
                <w:szCs w:val="24"/>
                <w:highlight w:val="none"/>
              </w:rPr>
              <w:t>本项目建设过程中，要减少地面扰动，划定施工活动范围，严格控制和管理车辆及重型机械的行驶范围，避免并行开辟新路，以减少风蚀沙化活动的范围。</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⑤</w:t>
            </w:r>
            <w:r>
              <w:rPr>
                <w:rFonts w:hint="default" w:ascii="Times New Roman" w:hAnsi="Times New Roman" w:eastAsia="宋体" w:cs="Times New Roman"/>
                <w:color w:val="auto"/>
                <w:sz w:val="24"/>
                <w:szCs w:val="24"/>
                <w:highlight w:val="none"/>
              </w:rPr>
              <w:t>施工后期，及时做好施工迹地的清理工作。工程施工结束后，应对井场临时占地进行平整，恢复原有地貌。</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防沙治沙措施</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工程措施（物理、化学固沙及其他机械固沙措施）</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近年来，塔里木油田统筹推进节能降碳与生态扩绿，同步加速“沙戈荒”新能源基地建设。通过创新“光伏+治沙”模式，利用光伏组件遮挡日照以减少水分蒸发，结合板下草方格固沙技术固定植被种子；同时，利用清洗光伏板的水促进植被萌芽生长，实现“板上发电、板下治沙”的协同效益。</w:t>
            </w:r>
            <w:bookmarkStart w:id="52" w:name="OLE_LINK23"/>
            <w:r>
              <w:rPr>
                <w:rFonts w:hint="default" w:ascii="Times New Roman" w:hAnsi="Times New Roman" w:eastAsia="宋体" w:cs="Times New Roman"/>
                <w:color w:val="auto"/>
                <w:sz w:val="24"/>
                <w:szCs w:val="24"/>
                <w:highlight w:val="none"/>
                <w:lang w:val="en-US" w:eastAsia="zh-CN"/>
              </w:rPr>
              <w:t>且末县10万千瓦光伏项目是塔克拉玛干沙漠腹地最大的集中式光伏电站，通过围扎芦苇草方格沙障，有效固沙4000亩。本项目融合塔里木油田“光伏+治沙”成熟经验，结合塔中区块钻井井场防沙治沙措施落实情况，拟采取以下工程措施：</w:t>
            </w:r>
          </w:p>
          <w:bookmarkEnd w:id="52"/>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A.砾石压盖防蚀：</w:t>
            </w:r>
            <w:r>
              <w:rPr>
                <w:rFonts w:hint="default" w:ascii="Times New Roman" w:hAnsi="Times New Roman" w:eastAsia="宋体" w:cs="Times New Roman"/>
                <w:color w:val="auto"/>
                <w:sz w:val="24"/>
                <w:szCs w:val="24"/>
                <w:highlight w:val="none"/>
              </w:rPr>
              <w:t>对井场地表</w:t>
            </w:r>
            <w:r>
              <w:rPr>
                <w:rFonts w:hint="default" w:ascii="Times New Roman" w:hAnsi="Times New Roman" w:eastAsia="宋体" w:cs="Times New Roman"/>
                <w:color w:val="auto"/>
                <w:sz w:val="24"/>
                <w:szCs w:val="24"/>
                <w:highlight w:val="none"/>
                <w:lang w:val="en-US" w:eastAsia="zh-CN"/>
              </w:rPr>
              <w:t>实施100%</w:t>
            </w:r>
            <w:r>
              <w:rPr>
                <w:rFonts w:hint="default" w:ascii="Times New Roman" w:hAnsi="Times New Roman" w:eastAsia="宋体" w:cs="Times New Roman"/>
                <w:color w:val="auto"/>
                <w:sz w:val="24"/>
                <w:szCs w:val="24"/>
                <w:highlight w:val="none"/>
              </w:rPr>
              <w:t>砾石压盖，</w:t>
            </w:r>
            <w:r>
              <w:rPr>
                <w:rFonts w:hint="default" w:ascii="Times New Roman" w:hAnsi="Times New Roman" w:eastAsia="宋体" w:cs="Times New Roman"/>
                <w:color w:val="auto"/>
                <w:sz w:val="24"/>
                <w:szCs w:val="24"/>
                <w:highlight w:val="none"/>
                <w:lang w:val="en-US" w:eastAsia="zh-CN"/>
              </w:rPr>
              <w:t>抑制风蚀</w:t>
            </w:r>
            <w:r>
              <w:rPr>
                <w:rFonts w:hint="default" w:ascii="Times New Roman" w:hAnsi="Times New Roman" w:eastAsia="宋体" w:cs="Times New Roman"/>
                <w:color w:val="auto"/>
                <w:sz w:val="24"/>
                <w:szCs w:val="24"/>
                <w:highlight w:val="none"/>
              </w:rPr>
              <w:t>。</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B.草方格固沙：</w:t>
            </w:r>
            <w:r>
              <w:rPr>
                <w:rFonts w:hint="default" w:ascii="Times New Roman" w:hAnsi="Times New Roman" w:eastAsia="宋体" w:cs="Times New Roman"/>
                <w:color w:val="auto"/>
                <w:sz w:val="24"/>
                <w:szCs w:val="24"/>
                <w:highlight w:val="none"/>
              </w:rPr>
              <w:t>井场</w:t>
            </w:r>
            <w:r>
              <w:rPr>
                <w:rFonts w:hint="default" w:ascii="Times New Roman" w:hAnsi="Times New Roman" w:eastAsia="宋体" w:cs="Times New Roman"/>
                <w:color w:val="auto"/>
                <w:sz w:val="24"/>
                <w:szCs w:val="24"/>
                <w:highlight w:val="none"/>
                <w:lang w:val="en-US" w:eastAsia="zh-CN"/>
              </w:rPr>
              <w:t>外围</w:t>
            </w:r>
            <w:r>
              <w:rPr>
                <w:rFonts w:hint="default" w:ascii="Times New Roman" w:hAnsi="Times New Roman" w:eastAsia="宋体" w:cs="Times New Roman"/>
                <w:color w:val="auto"/>
                <w:sz w:val="24"/>
                <w:szCs w:val="24"/>
                <w:highlight w:val="none"/>
              </w:rPr>
              <w:t>设草方格</w:t>
            </w:r>
            <w:r>
              <w:rPr>
                <w:rFonts w:hint="default" w:ascii="Times New Roman" w:hAnsi="Times New Roman" w:eastAsia="宋体" w:cs="Times New Roman"/>
                <w:color w:val="auto"/>
                <w:sz w:val="24"/>
                <w:szCs w:val="24"/>
                <w:highlight w:val="none"/>
                <w:lang w:val="en-US" w:eastAsia="zh-CN"/>
              </w:rPr>
              <w:t>沙障</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以减缓沙丘流动。</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②管理措施</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施工期间应划定施工活动范围，严格控制和管理运输车辆及重型机械的运行线路和范围，不得离开运输道路随意行驶</w:t>
            </w:r>
            <w:r>
              <w:rPr>
                <w:rFonts w:hint="default" w:ascii="Times New Roman" w:hAnsi="Times New Roman" w:eastAsia="宋体" w:cs="Times New Roman"/>
                <w:color w:val="auto"/>
                <w:sz w:val="24"/>
                <w:szCs w:val="24"/>
                <w:highlight w:val="none"/>
                <w:lang w:eastAsia="zh-CN"/>
              </w:rPr>
              <w:t>。</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方案实施保障措施</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组织领导措施</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防沙治沙是维护生态安全，促进经济发展和人与自然和谐相处的重要举措。本项目防沙治沙工程塔里木油田分公司为第一责任人，钻井队、施工队作为措施落实方，属于主要责任人。塔里木油田分公司应在钻井队、施工队施工过程中，提出具体的目标及要求，并落实到具体人员。</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技术保证措施</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加强参与防沙治沙工程的人员的培训工作，使其掌握防沙治沙工程建设、管理的基本技术要求，增强人员主动参与防沙治沙能力和积极性。</w:t>
            </w:r>
          </w:p>
          <w:p>
            <w:pPr>
              <w:pStyle w:val="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工程建设的各个环节过程中，加强人员的节水意识，避免铺张浪费，提高水的重复利用性。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）生态环境综合整治后效果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z w:val="24"/>
                <w:szCs w:val="24"/>
                <w:highlight w:val="none"/>
              </w:rPr>
              <w:t>由工程分析和影响分析可知，工程建设对生态环境的影响主要表现在对局部土壤环境等的影响。本项目主要为临时占地，钻井结束后，对临时占用的土地进行</w:t>
            </w:r>
            <w:r>
              <w:rPr>
                <w:rFonts w:hint="default" w:ascii="Times New Roman" w:hAnsi="Times New Roman" w:eastAsia="宋体" w:cs="Times New Roman"/>
                <w:color w:val="auto"/>
                <w:sz w:val="24"/>
                <w:szCs w:val="24"/>
                <w:highlight w:val="none"/>
                <w:lang w:val="en-US" w:eastAsia="zh-CN"/>
              </w:rPr>
              <w:t>原貌</w:t>
            </w:r>
            <w:r>
              <w:rPr>
                <w:rFonts w:hint="default" w:ascii="Times New Roman" w:hAnsi="Times New Roman" w:eastAsia="宋体" w:cs="Times New Roman"/>
                <w:color w:val="auto"/>
                <w:sz w:val="24"/>
                <w:szCs w:val="24"/>
                <w:highlight w:val="none"/>
              </w:rPr>
              <w:t>恢复。</w:t>
            </w:r>
            <w:r>
              <w:rPr>
                <w:rFonts w:hint="default" w:ascii="Times New Roman" w:hAnsi="Times New Roman" w:eastAsia="宋体" w:cs="Times New Roman"/>
                <w:bCs/>
                <w:color w:val="auto"/>
                <w:sz w:val="24"/>
                <w:highlight w:val="none"/>
              </w:rPr>
              <w:t>通过类比调查同类探井项目土地的恢复情况可知，不会破坏生态系统的结构和稳定性。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2、施工期废气治理措施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施工期施工场地周边设置围挡，</w:t>
            </w:r>
            <w:r>
              <w:rPr>
                <w:rFonts w:hint="default" w:ascii="Times New Roman" w:hAnsi="Times New Roman" w:eastAsia="宋体" w:cs="Times New Roman"/>
                <w:color w:val="auto"/>
                <w:sz w:val="24"/>
                <w:szCs w:val="24"/>
                <w:highlight w:val="none"/>
                <w:lang w:val="en-US" w:eastAsia="zh-CN"/>
              </w:rPr>
              <w:t>定期进行洒水降尘，以降低钻井和井场建设过程中产生的扬尘对施工人员影响</w:t>
            </w:r>
            <w:r>
              <w:rPr>
                <w:rFonts w:hint="eastAsia" w:ascii="Times New Roman" w:cs="Times New Roman"/>
                <w:color w:val="auto"/>
                <w:sz w:val="24"/>
                <w:szCs w:val="24"/>
                <w:highlight w:val="none"/>
                <w:lang w:val="en-US" w:eastAsia="zh-CN"/>
              </w:rPr>
              <w:t>；对施工区域采取砂砾石硬化，以减少区域风蚀扬尘</w:t>
            </w:r>
            <w:r>
              <w:rPr>
                <w:rFonts w:hint="default" w:ascii="Times New Roman" w:hAnsi="Times New Roman" w:eastAsia="宋体" w:cs="Times New Roman"/>
                <w:color w:val="auto"/>
                <w:sz w:val="24"/>
                <w:szCs w:val="24"/>
                <w:highlight w:val="none"/>
                <w:lang w:val="en-US" w:eastAsia="zh-CN"/>
              </w:rPr>
              <w:t>。</w:t>
            </w:r>
            <w:r>
              <w:rPr>
                <w:rFonts w:hint="eastAsia" w:ascii="Times New Roman" w:cs="Times New Roman"/>
                <w:color w:val="auto"/>
                <w:sz w:val="24"/>
                <w:szCs w:val="24"/>
                <w:highlight w:val="none"/>
                <w:lang w:val="en-US" w:eastAsia="zh-CN"/>
              </w:rPr>
              <w:t>对</w:t>
            </w:r>
            <w:r>
              <w:rPr>
                <w:rFonts w:hint="default" w:ascii="Times New Roman" w:hAnsi="Times New Roman" w:eastAsia="宋体" w:cs="Times New Roman"/>
                <w:color w:val="auto"/>
                <w:sz w:val="24"/>
                <w:szCs w:val="24"/>
                <w:highlight w:val="none"/>
                <w:lang w:val="en-US" w:eastAsia="zh-CN"/>
              </w:rPr>
              <w:t>运输车辆</w:t>
            </w:r>
            <w:r>
              <w:rPr>
                <w:rFonts w:hint="eastAsia" w:ascii="Times New Roman" w:cs="Times New Roman"/>
                <w:color w:val="auto"/>
                <w:sz w:val="24"/>
                <w:szCs w:val="24"/>
                <w:highlight w:val="none"/>
                <w:lang w:val="en-US" w:eastAsia="zh-CN"/>
              </w:rPr>
              <w:t>进行冲洗，以减少运输过程中</w:t>
            </w:r>
            <w:r>
              <w:rPr>
                <w:rFonts w:hint="default" w:ascii="Times New Roman" w:hAnsi="Times New Roman" w:eastAsia="宋体" w:cs="Times New Roman"/>
                <w:color w:val="auto"/>
                <w:sz w:val="24"/>
                <w:szCs w:val="24"/>
                <w:highlight w:val="none"/>
                <w:lang w:val="en-US" w:eastAsia="zh-CN"/>
              </w:rPr>
              <w:t>产生的扬尘。运输车辆减速行驶，为减少道路扬尘影响。做到文明施工，防止水泥等的洒落与飘散；避开大风天气进行作业。钻井作业期间应对车辆进行适当的苫盖，以降低扬尘的影响。油气测试期间天然气通过放喷管线燃烧后放空，加强放喷管线、放喷池的运营维护，定期检查气体燃烧放空设备，确保天然气充分燃烧，减少污染物的产生；柴油发电机定期检修，运行良好，燃用符合质量标准的燃料；施工期井场采用密闭储罐；检修设备和车辆，保证设备正常稳定运行，燃用合格的燃料，设备和车辆不超负荷运行，本项目生物质蒸汽锅炉采用生物质成型燃料，废气经低氮燃烧技术+布袋除尘器处理后经</w:t>
            </w:r>
            <w:r>
              <w:rPr>
                <w:rFonts w:hint="eastAsia" w:asci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val="en-US" w:eastAsia="zh-CN"/>
              </w:rPr>
              <w:t>m排气筒（可拆卸）排放；减少污染物的产生。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为有效控制施工期间的扬尘影响，结合建设单位实际情况，本评价要求建设单位严格执行《中华人民共和国大气污染防治法》《新疆维吾尔自治区大气污染防治条例》《工业料堆场扬尘整治规范（DB65/T4061-2017）》等相关文件要求，同时结合《建筑工程施工现场扬尘污染防治标准》等采取的抑尘措施，对工程施工提出以下扬尘控制要求。通过采取以下抑尘措施后，可较大限度</w:t>
            </w:r>
            <w:r>
              <w:rPr>
                <w:rFonts w:hint="eastAsia" w:ascii="Times New Roman"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val="en-US" w:eastAsia="zh-CN"/>
              </w:rPr>
              <w:t>降低施工扬尘对周围环境的影响。</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表5-1    施工期扬尘污染防治措施一览表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6"/>
              <w:gridCol w:w="998"/>
              <w:gridCol w:w="2297"/>
              <w:gridCol w:w="2965"/>
              <w:gridCol w:w="12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防治措施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具体要求</w:t>
                  </w:r>
                </w:p>
              </w:tc>
              <w:tc>
                <w:tcPr>
                  <w:tcW w:w="77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依据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施工现场公示牌</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在施工现场出入口明显位置设置公示牌，公示施工现场负责人、环保监督员、防尘措施、扬尘监督管理部门、举报投诉电话等信息；</w:t>
                  </w:r>
                </w:p>
              </w:tc>
              <w:tc>
                <w:tcPr>
                  <w:tcW w:w="770"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《建筑工程施工现场扬尘污染防治标准》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密闭苫盖</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①建筑材料采用密闭存储、设置围挡、采用防尘布苫盖等措施；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②建筑垃圾采用防尘网、定期喷洒抑尘剂、定期喷水压尘等措施；</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物料运输车辆密闭措施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进出工地的物料、渣土、垃圾运输车辆，应尽可能采用密闭车斗，并保证物料不遗撒外漏。若无密闭车斗，物料、垃圾、渣土的装载高度不得超过车辆槽帮上沿，车斗应用苫布遮盖严实；</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w:t>
                  </w:r>
                </w:p>
              </w:tc>
              <w:tc>
                <w:tcPr>
                  <w:tcW w:w="627"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洒水抑尘</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遇到干燥、易起尘的土方工程作业时，应辅以洒水压尘，尽量缩短起尘操作时间，遇到四级及四级以上大风天气，应停止土方作业，同时作业处覆以防尘网；</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27"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施工现场必须建立洒水清扫抑尘制度，配备洒水设备。非冰冻期每天洒水不少于2次，并有专人负责。重污染天气时相应增加洒水频次；</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序号</w:t>
                  </w:r>
                </w:p>
              </w:tc>
              <w:tc>
                <w:tcPr>
                  <w:tcW w:w="62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工业料堆场类型</w:t>
                  </w:r>
                </w:p>
              </w:tc>
              <w:tc>
                <w:tcPr>
                  <w:tcW w:w="3309" w:type="pct"/>
                  <w:gridSpan w:val="2"/>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方案</w:t>
                  </w:r>
                </w:p>
              </w:tc>
              <w:tc>
                <w:tcPr>
                  <w:tcW w:w="77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依据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292" w:type="pct"/>
                  <w:vMerge w:val="restar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w:t>
                  </w:r>
                </w:p>
              </w:tc>
              <w:tc>
                <w:tcPr>
                  <w:tcW w:w="627" w:type="pct"/>
                  <w:vMerge w:val="restar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Ⅲ类料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堆场</w:t>
                  </w:r>
                </w:p>
              </w:tc>
              <w:tc>
                <w:tcPr>
                  <w:tcW w:w="144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覆盖</w:t>
                  </w:r>
                </w:p>
              </w:tc>
              <w:tc>
                <w:tcPr>
                  <w:tcW w:w="186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喷水、洒水</w:t>
                  </w:r>
                </w:p>
              </w:tc>
              <w:tc>
                <w:tcPr>
                  <w:tcW w:w="770"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0"/>
                      <w:sz w:val="21"/>
                      <w:szCs w:val="21"/>
                      <w:highlight w:val="none"/>
                      <w:lang w:bidi="ar"/>
                    </w:rPr>
                    <w:t>《</w:t>
                  </w:r>
                  <w:r>
                    <w:rPr>
                      <w:rFonts w:hint="default" w:ascii="Times New Roman" w:hAnsi="Times New Roman" w:eastAsia="宋体" w:cs="Times New Roman"/>
                      <w:color w:val="auto"/>
                      <w:spacing w:val="-10"/>
                      <w:kern w:val="0"/>
                      <w:sz w:val="21"/>
                      <w:szCs w:val="21"/>
                      <w:highlight w:val="none"/>
                      <w:lang w:eastAsia="zh-CN" w:bidi="ar"/>
                    </w:rPr>
                    <w:t>工业料堆场扬尘整治规范</w:t>
                  </w:r>
                  <w:r>
                    <w:rPr>
                      <w:rFonts w:hint="default" w:ascii="Times New Roman" w:hAnsi="Times New Roman" w:eastAsia="宋体" w:cs="Times New Roman"/>
                      <w:color w:val="auto"/>
                      <w:spacing w:val="-10"/>
                      <w:kern w:val="0"/>
                      <w:sz w:val="21"/>
                      <w:szCs w:val="21"/>
                      <w:highlight w:val="none"/>
                      <w:lang w:bidi="ar"/>
                    </w:rPr>
                    <w:t>》</w:t>
                  </w:r>
                  <w:r>
                    <w:rPr>
                      <w:rFonts w:hint="default" w:ascii="Times New Roman" w:hAnsi="Times New Roman" w:eastAsia="宋体" w:cs="Times New Roman"/>
                      <w:color w:val="auto"/>
                      <w:spacing w:val="-10"/>
                      <w:kern w:val="0"/>
                      <w:sz w:val="21"/>
                      <w:szCs w:val="21"/>
                      <w:highlight w:val="none"/>
                      <w:lang w:eastAsia="zh-CN" w:bidi="ar"/>
                    </w:rPr>
                    <w:t>（</w:t>
                  </w:r>
                  <w:r>
                    <w:rPr>
                      <w:rFonts w:hint="default" w:ascii="Times New Roman" w:hAnsi="Times New Roman" w:eastAsia="宋体" w:cs="Times New Roman"/>
                      <w:color w:val="auto"/>
                      <w:spacing w:val="-10"/>
                      <w:kern w:val="0"/>
                      <w:sz w:val="21"/>
                      <w:szCs w:val="21"/>
                      <w:highlight w:val="none"/>
                      <w:lang w:bidi="ar"/>
                    </w:rPr>
                    <w:t>DB65/T4061</w:t>
                  </w:r>
                  <w:r>
                    <w:rPr>
                      <w:rFonts w:hint="default" w:ascii="Times New Roman" w:hAnsi="Times New Roman" w:eastAsia="宋体" w:cs="Times New Roman"/>
                      <w:color w:val="auto"/>
                      <w:spacing w:val="-10"/>
                      <w:kern w:val="0"/>
                      <w:sz w:val="21"/>
                      <w:szCs w:val="21"/>
                      <w:highlight w:val="none"/>
                      <w:lang w:val="en-US" w:eastAsia="zh-CN" w:bidi="ar"/>
                    </w:rPr>
                    <w:t>-</w:t>
                  </w:r>
                  <w:r>
                    <w:rPr>
                      <w:rFonts w:hint="default" w:ascii="Times New Roman" w:hAnsi="Times New Roman" w:eastAsia="宋体" w:cs="Times New Roman"/>
                      <w:color w:val="auto"/>
                      <w:spacing w:val="-10"/>
                      <w:kern w:val="0"/>
                      <w:sz w:val="21"/>
                      <w:szCs w:val="21"/>
                      <w:highlight w:val="none"/>
                      <w:lang w:bidi="ar"/>
                    </w:rPr>
                    <w:t>2017</w:t>
                  </w:r>
                  <w:r>
                    <w:rPr>
                      <w:rFonts w:hint="eastAsia" w:ascii="Times New Roman" w:cs="Times New Roman"/>
                      <w:color w:val="auto"/>
                      <w:spacing w:val="-10"/>
                      <w:kern w:val="0"/>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27"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144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对易产生扬尘的工业料堆场，可采用防尘网和防尘布覆盖</w:t>
                  </w:r>
                  <w:r>
                    <w:rPr>
                      <w:rFonts w:hint="default" w:ascii="Times New Roman" w:hAnsi="Times New Roman" w:eastAsia="宋体" w:cs="Times New Roman"/>
                      <w:color w:val="auto"/>
                      <w:spacing w:val="-10"/>
                      <w:sz w:val="21"/>
                      <w:szCs w:val="21"/>
                      <w:highlight w:val="none"/>
                      <w:lang w:eastAsia="zh-CN"/>
                    </w:rPr>
                    <w:t>。</w:t>
                  </w:r>
                </w:p>
              </w:tc>
              <w:tc>
                <w:tcPr>
                  <w:tcW w:w="186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对易产生扬尘的工业料堆场，采用喷水、洒水进行扬尘防治时，堆场表面含水率应大于堆场扬尘的极限值</w:t>
                  </w:r>
                  <w:r>
                    <w:rPr>
                      <w:rFonts w:hint="default" w:ascii="Times New Roman" w:hAnsi="Times New Roman" w:eastAsia="宋体" w:cs="Times New Roman"/>
                      <w:color w:val="auto"/>
                      <w:spacing w:val="-10"/>
                      <w:sz w:val="21"/>
                      <w:szCs w:val="21"/>
                      <w:highlight w:val="none"/>
                      <w:lang w:eastAsia="zh-CN"/>
                    </w:rPr>
                    <w:t>。</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color w:val="auto"/>
                <w:sz w:val="24"/>
                <w:szCs w:val="20"/>
                <w:highlight w:val="none"/>
                <w:lang w:val="en-US" w:eastAsia="zh-CN"/>
              </w:rPr>
            </w:pPr>
            <w:r>
              <w:rPr>
                <w:rFonts w:hint="default" w:ascii="Times New Roman" w:hAnsi="Times New Roman" w:eastAsia="宋体" w:cs="Times New Roman"/>
                <w:b w:val="0"/>
                <w:bCs/>
                <w:color w:val="auto"/>
                <w:sz w:val="24"/>
                <w:szCs w:val="20"/>
                <w:highlight w:val="none"/>
                <w:lang w:val="en-US" w:eastAsia="zh-CN"/>
              </w:rPr>
              <w:t>（2）挥发性有机物处理措施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val="0"/>
                <w:bCs/>
                <w:color w:val="auto"/>
                <w:sz w:val="24"/>
                <w:szCs w:val="20"/>
                <w:highlight w:val="none"/>
                <w:lang w:val="en-US" w:eastAsia="zh-CN"/>
              </w:rPr>
              <w:t>项目柴油周转量少，试井时间短，油罐呼吸废气非甲烷总烃产生量少，且项目周边扩散条件较好，经类比该地区其他勘探井监测数据，项目边界非甲烷总烃无组织排放满足《陆上石油天然气开采工业大气污染物排放标准》（GB39728-2020）相关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3、施工废水治理措施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工程钻井过程中产生的废水有钻井废水、酸化压裂返排液、锅炉排污水和生活污水。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（1）钻井废水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钻井废水与钻井泥浆、岩屑一同进入不落地系统处理，处理后的液相全部回用于钻井液配制，完井后拉运至下一口井再利用，不外排。</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（2）酸化压裂返排液</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①</w:t>
            </w:r>
            <w:r>
              <w:rPr>
                <w:rFonts w:hint="default" w:ascii="Times New Roman" w:hAnsi="Times New Roman" w:eastAsia="宋体" w:cs="Times New Roman"/>
                <w:color w:val="auto"/>
                <w:sz w:val="24"/>
                <w:szCs w:val="24"/>
                <w:highlight w:val="none"/>
                <w:lang w:val="en-US" w:eastAsia="zh-CN"/>
              </w:rPr>
              <w:t>处理措施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压入地层的酸液会在排液测试阶段从井底返排出来，即为酸化压裂返排液。项目产生的酸化压裂返排液总量约</w:t>
            </w:r>
            <w:r>
              <w:rPr>
                <w:rFonts w:hint="eastAsia" w:ascii="Times New Roman" w:cs="Times New Roman"/>
                <w:color w:val="auto"/>
                <w:sz w:val="24"/>
                <w:szCs w:val="24"/>
                <w:highlight w:val="none"/>
                <w:lang w:val="en-US" w:eastAsia="zh-CN"/>
              </w:rPr>
              <w:t>1000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。酸化压裂返排液在井场加碱中和后，收集在专用废液收集罐，</w:t>
            </w:r>
            <w:r>
              <w:rPr>
                <w:rFonts w:hint="default" w:ascii="Times New Roman" w:hAnsi="Times New Roman" w:eastAsia="宋体" w:cs="Times New Roman"/>
                <w:color w:val="auto"/>
                <w:sz w:val="24"/>
                <w:szCs w:val="24"/>
                <w:highlight w:val="none"/>
                <w:lang w:val="en-US" w:eastAsia="zh-CN"/>
              </w:rPr>
              <w:t>定期</w:t>
            </w:r>
            <w:r>
              <w:rPr>
                <w:rFonts w:hint="default" w:ascii="Times New Roman" w:hAnsi="Times New Roman" w:eastAsia="宋体" w:cs="Times New Roman"/>
                <w:color w:val="auto"/>
                <w:sz w:val="24"/>
                <w:szCs w:val="24"/>
                <w:highlight w:val="none"/>
              </w:rPr>
              <w:t>委托</w:t>
            </w:r>
            <w:r>
              <w:rPr>
                <w:rFonts w:hint="default" w:ascii="Times New Roman" w:hAnsi="Times New Roman" w:eastAsia="宋体" w:cs="Times New Roman"/>
                <w:color w:val="auto"/>
                <w:sz w:val="24"/>
                <w:szCs w:val="24"/>
                <w:highlight w:val="none"/>
                <w:lang w:eastAsia="zh-CN"/>
              </w:rPr>
              <w:t>塔里木油田富源7环保处理站</w:t>
            </w:r>
            <w:r>
              <w:rPr>
                <w:rFonts w:hint="default" w:ascii="Times New Roman" w:hAnsi="Times New Roman" w:eastAsia="宋体" w:cs="Times New Roman"/>
                <w:color w:val="auto"/>
                <w:sz w:val="24"/>
                <w:szCs w:val="24"/>
                <w:highlight w:val="none"/>
              </w:rPr>
              <w:t>进行处理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压裂作业期较短，暂存在专用废液收集罐中，定期转运，确保有暂存余量时进行压裂作业，确保废液有效收集不外溢，罐体为专用废液收集罐，密闭转运，不会对土壤、地下水造成污染</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②依托可行性分析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富源7井环保处理站位于尉犁县，收集周边区域钻试修过程中产生的固废及废液，设施的中心坐标为北纬40°54′27.339″，东经84°8′23.748″。于2022年10月27日以勘探井名义获得巴州生态环境局批复，井型为定向井，于2022年12月31日开钻，于2023年5月24日钻井完井，目的层为奥陶系一间房组。2023年10月，塔里木油田分公司对该井进行了自主验收。富源7环保处理站（简称“环保站”）钻试修废水处理规模720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/d，环保站钻试修废水处理工艺简介如下：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环保站采取氧化破胶+混凝调质+气浮分离+多级过滤工艺对废水进行净化处理，即主要通过物理分离作用，将废水中的油类物质、悬浮物、SRB菌等去除，从而达到水质净化的目的，处置后的废水可满足石油天然气行业标准《碎屑岩油藏注水水质指标技术要求及分析方法》（SY/T5329-2022）的指标要求，用于油田油层回注用水。废水处理工艺主要包括氧化破胶+混凝调质+气浮分离+多级过滤等工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00" w:firstLineChars="200"/>
              <w:textAlignment w:val="auto"/>
              <w:outlineLvl w:val="9"/>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color w:val="auto"/>
                <w:kern w:val="0"/>
                <w:sz w:val="25"/>
                <w:szCs w:val="24"/>
                <w:highlight w:val="none"/>
                <w:lang w:val="en-US" w:eastAsia="zh-CN" w:bidi="ar-SA"/>
              </w:rPr>
              <w:drawing>
                <wp:anchor distT="0" distB="0" distL="114300" distR="114300" simplePos="0" relativeHeight="251665408" behindDoc="0" locked="0" layoutInCell="1" allowOverlap="1">
                  <wp:simplePos x="0" y="0"/>
                  <wp:positionH relativeFrom="column">
                    <wp:posOffset>-15875</wp:posOffset>
                  </wp:positionH>
                  <wp:positionV relativeFrom="paragraph">
                    <wp:posOffset>61595</wp:posOffset>
                  </wp:positionV>
                  <wp:extent cx="4867910" cy="1645920"/>
                  <wp:effectExtent l="0" t="0" r="8890" b="1905"/>
                  <wp:wrapNone/>
                  <wp:docPr id="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
                          <pic:cNvPicPr>
                            <a:picLocks noChangeAspect="1"/>
                          </pic:cNvPicPr>
                        </pic:nvPicPr>
                        <pic:blipFill>
                          <a:blip r:embed="rId31"/>
                          <a:stretch>
                            <a:fillRect/>
                          </a:stretch>
                        </pic:blipFill>
                        <pic:spPr>
                          <a:xfrm>
                            <a:off x="0" y="0"/>
                            <a:ext cx="4867910" cy="1645920"/>
                          </a:xfrm>
                          <a:prstGeom prst="rect">
                            <a:avLst/>
                          </a:prstGeom>
                          <a:noFill/>
                          <a:ln>
                            <a:noFill/>
                          </a:ln>
                        </pic:spPr>
                      </pic:pic>
                    </a:graphicData>
                  </a:graphic>
                </wp:anchor>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32"/>
                <w:highlight w:val="none"/>
                <w:lang w:val="en-US" w:eastAsia="zh-CN"/>
              </w:rPr>
              <w:t>图5-1    富源区块钻试修环保站钻试修废水处理工艺流程图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sz w:val="24"/>
                <w:szCs w:val="24"/>
                <w:highlight w:val="none"/>
                <w:lang w:eastAsia="zh-CN"/>
              </w:rPr>
              <w:t>塔里木油田富源7环保处理站目前已建成，正在调试过程中。富源7环保处理站钻试修废水处理规模720m</w:t>
            </w:r>
            <w:r>
              <w:rPr>
                <w:rFonts w:hint="default" w:ascii="Times New Roman" w:hAnsi="Times New Roman" w:eastAsia="宋体" w:cs="Times New Roman"/>
                <w:bCs/>
                <w:color w:val="auto"/>
                <w:sz w:val="24"/>
                <w:szCs w:val="24"/>
                <w:highlight w:val="none"/>
                <w:vertAlign w:val="superscript"/>
                <w:lang w:eastAsia="zh-CN"/>
              </w:rPr>
              <w:t>3</w:t>
            </w:r>
            <w:r>
              <w:rPr>
                <w:rFonts w:hint="default" w:ascii="Times New Roman" w:hAnsi="Times New Roman" w:eastAsia="宋体" w:cs="Times New Roman"/>
                <w:bCs/>
                <w:color w:val="auto"/>
                <w:sz w:val="24"/>
                <w:szCs w:val="24"/>
                <w:highlight w:val="none"/>
                <w:lang w:eastAsia="zh-CN"/>
              </w:rPr>
              <w:t>/d，本项目酸化压裂返排液产生量为日最大产生量为300m</w:t>
            </w:r>
            <w:r>
              <w:rPr>
                <w:rFonts w:hint="default" w:ascii="Times New Roman" w:hAnsi="Times New Roman" w:eastAsia="宋体" w:cs="Times New Roman"/>
                <w:bCs/>
                <w:color w:val="auto"/>
                <w:sz w:val="24"/>
                <w:szCs w:val="24"/>
                <w:highlight w:val="none"/>
                <w:vertAlign w:val="superscript"/>
                <w:lang w:eastAsia="zh-CN"/>
              </w:rPr>
              <w:t>3</w:t>
            </w:r>
            <w:r>
              <w:rPr>
                <w:rFonts w:hint="default" w:ascii="Times New Roman" w:hAnsi="Times New Roman" w:eastAsia="宋体" w:cs="Times New Roman"/>
                <w:bCs/>
                <w:color w:val="auto"/>
                <w:sz w:val="24"/>
                <w:szCs w:val="24"/>
                <w:highlight w:val="none"/>
                <w:lang w:eastAsia="zh-CN"/>
              </w:rPr>
              <w:t>/d（</w:t>
            </w:r>
            <w:r>
              <w:rPr>
                <w:rFonts w:hint="eastAsia" w:ascii="Times New Roman" w:cs="Times New Roman"/>
                <w:bCs/>
                <w:color w:val="auto"/>
                <w:sz w:val="24"/>
                <w:szCs w:val="24"/>
                <w:highlight w:val="none"/>
                <w:lang w:val="en-US" w:eastAsia="zh-CN"/>
              </w:rPr>
              <w:t>1000</w:t>
            </w:r>
            <w:r>
              <w:rPr>
                <w:rFonts w:hint="default" w:ascii="Times New Roman" w:hAnsi="Times New Roman" w:eastAsia="宋体" w:cs="Times New Roman"/>
                <w:bCs/>
                <w:color w:val="auto"/>
                <w:sz w:val="24"/>
                <w:szCs w:val="24"/>
                <w:highlight w:val="none"/>
                <w:lang w:eastAsia="zh-CN"/>
              </w:rPr>
              <w:t>m</w:t>
            </w:r>
            <w:r>
              <w:rPr>
                <w:rFonts w:hint="default" w:ascii="Times New Roman" w:hAnsi="Times New Roman" w:eastAsia="宋体" w:cs="Times New Roman"/>
                <w:bCs/>
                <w:color w:val="auto"/>
                <w:sz w:val="24"/>
                <w:szCs w:val="24"/>
                <w:highlight w:val="none"/>
                <w:vertAlign w:val="superscript"/>
                <w:lang w:eastAsia="zh-CN"/>
              </w:rPr>
              <w:t>3</w:t>
            </w:r>
            <w:r>
              <w:rPr>
                <w:rFonts w:hint="default" w:ascii="Times New Roman" w:hAnsi="Times New Roman" w:eastAsia="宋体" w:cs="Times New Roman"/>
                <w:bCs/>
                <w:color w:val="auto"/>
                <w:sz w:val="24"/>
                <w:szCs w:val="24"/>
                <w:highlight w:val="none"/>
                <w:lang w:eastAsia="zh-CN"/>
              </w:rPr>
              <w:t>/钻井期），可依托富源区块钻试修环保站处理</w:t>
            </w:r>
            <w:r>
              <w:rPr>
                <w:rFonts w:hint="default" w:ascii="Times New Roman" w:hAnsi="Times New Roman" w:eastAsia="宋体" w:cs="Times New Roman"/>
                <w:bCs/>
                <w:color w:val="auto"/>
                <w:kern w:val="0"/>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（3）生活污水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井场人员为</w:t>
            </w:r>
            <w:r>
              <w:rPr>
                <w:rFonts w:hint="default" w:ascii="Times New Roman" w:hAnsi="Times New Roman" w:eastAsia="宋体" w:cs="Times New Roman"/>
                <w:color w:val="auto"/>
                <w:sz w:val="24"/>
                <w:szCs w:val="24"/>
                <w:highlight w:val="none"/>
                <w:lang w:val="en-US" w:eastAsia="zh-CN"/>
              </w:rPr>
              <w:t>60人</w:t>
            </w:r>
            <w:r>
              <w:rPr>
                <w:rFonts w:hint="default" w:ascii="Times New Roman" w:hAnsi="Times New Roman" w:eastAsia="宋体" w:cs="Times New Roman"/>
                <w:color w:val="auto"/>
                <w:sz w:val="24"/>
                <w:szCs w:val="24"/>
                <w:highlight w:val="none"/>
              </w:rPr>
              <w:t>，钻井作业期为</w:t>
            </w:r>
            <w:r>
              <w:rPr>
                <w:rFonts w:hint="eastAsia" w:ascii="Times New Roman" w:cs="Times New Roman"/>
                <w:color w:val="auto"/>
                <w:sz w:val="24"/>
                <w:szCs w:val="24"/>
                <w:highlight w:val="none"/>
                <w:lang w:val="en-US" w:eastAsia="zh-CN"/>
              </w:rPr>
              <w:t>180</w:t>
            </w:r>
            <w:r>
              <w:rPr>
                <w:rFonts w:hint="default" w:ascii="Times New Roman" w:hAnsi="Times New Roman" w:eastAsia="宋体" w:cs="Times New Roman"/>
                <w:color w:val="auto"/>
                <w:sz w:val="24"/>
                <w:szCs w:val="24"/>
                <w:highlight w:val="none"/>
              </w:rPr>
              <w:t>天，</w:t>
            </w:r>
            <w:r>
              <w:rPr>
                <w:rFonts w:hint="default" w:ascii="Times New Roman" w:hAnsi="Times New Roman" w:eastAsia="宋体" w:cs="Times New Roman"/>
                <w:color w:val="auto"/>
                <w:sz w:val="24"/>
                <w:szCs w:val="24"/>
                <w:highlight w:val="none"/>
                <w:lang w:val="en-US" w:eastAsia="zh-CN"/>
              </w:rPr>
              <w:t>生活污水</w:t>
            </w:r>
            <w:r>
              <w:rPr>
                <w:rFonts w:hint="default" w:ascii="Times New Roman" w:hAnsi="Times New Roman" w:eastAsia="宋体" w:cs="Times New Roman"/>
                <w:color w:val="auto"/>
                <w:sz w:val="24"/>
                <w:szCs w:val="24"/>
                <w:highlight w:val="none"/>
              </w:rPr>
              <w:t>经井场撬装式污水处理装置处理后，水质达到《农村生活污水处理排放标准》（DB65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4275-2019）表2的</w:t>
            </w: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级标准，用于荒漠生态恢复。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生活污水处理措施可行性分析：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钻井队临时生活区建设一座撬装化污水处理站，采用“A/O+MBR”工艺，即“化粪池+调节池+厌氧池+生物接触氧化池+MBR膜池+清水”处理工艺（见下图），该工艺结合了膜分离和生化技术，并强化了生化处理效果。根据《排污许可证申请与核发技术规范 水处理通用工序》（HJ1120-2020），生活污水采用“A/O+MBR”工艺符合规范中“4、采矿类排污单位——4.1.5污染治理设施”的要求。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drawing>
                <wp:anchor distT="0" distB="0" distL="114300" distR="114300" simplePos="0" relativeHeight="251666432" behindDoc="0" locked="0" layoutInCell="1" allowOverlap="1">
                  <wp:simplePos x="0" y="0"/>
                  <wp:positionH relativeFrom="column">
                    <wp:posOffset>521970</wp:posOffset>
                  </wp:positionH>
                  <wp:positionV relativeFrom="paragraph">
                    <wp:posOffset>118110</wp:posOffset>
                  </wp:positionV>
                  <wp:extent cx="3977005" cy="3745865"/>
                  <wp:effectExtent l="0" t="0" r="4445" b="6985"/>
                  <wp:wrapTopAndBottom/>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32"/>
                          <a:stretch>
                            <a:fillRect/>
                          </a:stretch>
                        </pic:blipFill>
                        <pic:spPr>
                          <a:xfrm>
                            <a:off x="0" y="0"/>
                            <a:ext cx="3977005" cy="3745865"/>
                          </a:xfrm>
                          <a:prstGeom prst="rect">
                            <a:avLst/>
                          </a:prstGeom>
                          <a:noFill/>
                          <a:ln>
                            <a:noFill/>
                          </a:ln>
                        </pic:spPr>
                      </pic:pic>
                    </a:graphicData>
                  </a:graphic>
                </wp:anchor>
              </w:drawing>
            </w:r>
            <w:r>
              <w:rPr>
                <w:rFonts w:hint="default" w:ascii="Times New Roman" w:hAnsi="Times New Roman" w:eastAsia="宋体" w:cs="Times New Roman"/>
                <w:b/>
                <w:bCs/>
                <w:color w:val="auto"/>
                <w:sz w:val="24"/>
                <w:szCs w:val="24"/>
                <w:highlight w:val="none"/>
              </w:rPr>
              <w:t>图</w:t>
            </w:r>
            <w:r>
              <w:rPr>
                <w:rFonts w:hint="default" w:ascii="Times New Roman" w:hAnsi="Times New Roman" w:eastAsia="宋体" w:cs="Times New Roman"/>
                <w:b/>
                <w:bCs/>
                <w:color w:val="auto"/>
                <w:sz w:val="24"/>
                <w:szCs w:val="24"/>
                <w:highlight w:val="none"/>
                <w:lang w:val="en-US" w:eastAsia="zh-CN"/>
              </w:rPr>
              <w:t xml:space="preserve">5-2   </w:t>
            </w:r>
            <w:r>
              <w:rPr>
                <w:rFonts w:hint="default" w:ascii="Times New Roman" w:hAnsi="Times New Roman" w:eastAsia="宋体" w:cs="Times New Roman"/>
                <w:b/>
                <w:bCs/>
                <w:color w:val="auto"/>
                <w:sz w:val="24"/>
                <w:szCs w:val="24"/>
                <w:highlight w:val="none"/>
              </w:rPr>
              <w:t xml:space="preserve"> 撬装化污水处理站</w:t>
            </w:r>
            <w:r>
              <w:rPr>
                <w:rFonts w:hint="default" w:ascii="Times New Roman" w:hAnsi="Times New Roman" w:eastAsia="宋体" w:cs="Times New Roman"/>
                <w:b/>
                <w:bCs/>
                <w:color w:val="auto"/>
                <w:sz w:val="24"/>
                <w:szCs w:val="24"/>
                <w:highlight w:val="none"/>
                <w:lang w:val="en-US" w:eastAsia="zh-CN"/>
              </w:rPr>
              <w:t>工艺流程示意图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sz w:val="24"/>
                <w:szCs w:val="24"/>
                <w:highlight w:val="none"/>
                <w:lang w:val="en-US" w:eastAsia="zh-CN"/>
              </w:rPr>
              <w:t>企业</w:t>
            </w:r>
            <w:r>
              <w:rPr>
                <w:rFonts w:hint="default" w:ascii="Times New Roman" w:hAnsi="Times New Roman" w:eastAsia="宋体" w:cs="Times New Roman"/>
                <w:color w:val="auto"/>
                <w:sz w:val="24"/>
                <w:szCs w:val="24"/>
                <w:highlight w:val="none"/>
              </w:rPr>
              <w:t>提供的技术资料及撬装化污水处理站运行效果调查，该工艺对COD、氨氮、总氮去除效果均佳，对悬浮物（SS）、有机物去除效率高，而且可以去除细菌等。生活污水经过该污水处理装置处理后，出水水质COD≤180mg/L、SS≤90mg/L、粪大肠菌群≤</w:t>
            </w:r>
            <w:r>
              <w:rPr>
                <w:rFonts w:hint="eastAsia" w:asci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0000MPN/L、蛔虫卵个数≤2个/L，处理后水质达到《农村生活污水处理排放标准》（DB65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4275-2019）表2的</w:t>
            </w: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级标准。本项目所在区域为荒漠，主要生长荒漠植被，可用于荒漠生态恢复。</w:t>
            </w:r>
            <w:r>
              <w:rPr>
                <w:rFonts w:hint="default" w:ascii="Times New Roman" w:hAnsi="Times New Roman" w:eastAsia="宋体" w:cs="Times New Roman"/>
                <w:color w:val="auto"/>
                <w:sz w:val="24"/>
                <w:szCs w:val="24"/>
                <w:highlight w:val="none"/>
                <w:lang w:val="en-US" w:eastAsia="zh-CN"/>
              </w:rPr>
              <w:t>项目采取罐车拉运，在井场周围有植被区域采用喷灌方式对荒漠植被进行灌溉。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撬装化污水处理站设计处理规模</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0m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/d，单座井场污水产生规模</w:t>
            </w:r>
            <w:r>
              <w:rPr>
                <w:rFonts w:hint="default" w:ascii="Times New Roman" w:hAnsi="Times New Roman" w:eastAsia="宋体" w:cs="Times New Roman"/>
                <w:color w:val="auto"/>
                <w:sz w:val="24"/>
                <w:szCs w:val="24"/>
                <w:highlight w:val="none"/>
                <w:lang w:val="en-US" w:eastAsia="zh-CN"/>
              </w:rPr>
              <w:t>4.8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/d，可满足井场生活污水处理需求。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（4）锅炉排污水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拟建工程锅炉排污水水量为0.3m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/d，水质简单，污染物主要为SS、COD及含盐量，用于井区周边洒水抑尘。</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综上，本项目产生的废水均得到妥善处理，故本项目实施对地表水环境产生的影响</w:t>
            </w:r>
            <w:r>
              <w:rPr>
                <w:rFonts w:hint="default" w:ascii="Times New Roman" w:hAnsi="Times New Roman" w:eastAsia="宋体" w:cs="Times New Roman"/>
                <w:color w:val="auto"/>
                <w:sz w:val="24"/>
                <w:szCs w:val="24"/>
                <w:highlight w:val="none"/>
                <w:lang w:val="en-US" w:eastAsia="zh-CN"/>
              </w:rPr>
              <w:t>可以</w:t>
            </w:r>
            <w:r>
              <w:rPr>
                <w:rFonts w:hint="default" w:ascii="Times New Roman" w:hAnsi="Times New Roman" w:eastAsia="宋体" w:cs="Times New Roman"/>
                <w:color w:val="auto"/>
                <w:sz w:val="24"/>
                <w:szCs w:val="24"/>
                <w:highlight w:val="none"/>
              </w:rPr>
              <w:t>接受</w:t>
            </w:r>
            <w:r>
              <w:rPr>
                <w:rFonts w:hint="default" w:ascii="Times New Roman" w:hAnsi="Times New Roman" w:eastAsia="宋体" w:cs="Times New Roman"/>
                <w:bCs/>
                <w:color w:val="auto"/>
                <w:kern w:val="0"/>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4、地下水环境保护措施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地下水环境保护措施与对策应符合《中华人民共和国水污染防治法》《中华人民共和国环境影响评价法</w:t>
            </w:r>
            <w:r>
              <w:rPr>
                <w:rFonts w:hint="eastAsia" w:ascii="Times New Roman" w:cs="Times New Roman"/>
                <w:bCs/>
                <w:color w:val="auto"/>
                <w:kern w:val="0"/>
                <w:sz w:val="24"/>
                <w:szCs w:val="24"/>
                <w:highlight w:val="none"/>
                <w:lang w:val="en-US" w:eastAsia="zh-CN"/>
              </w:rPr>
              <w:t>》和</w:t>
            </w:r>
            <w:r>
              <w:rPr>
                <w:rFonts w:hint="default" w:ascii="Times New Roman" w:hAnsi="Times New Roman" w:eastAsia="宋体" w:cs="Times New Roman"/>
                <w:bCs/>
                <w:color w:val="auto"/>
                <w:kern w:val="0"/>
                <w:sz w:val="24"/>
                <w:szCs w:val="24"/>
                <w:highlight w:val="none"/>
                <w:lang w:val="en-US" w:eastAsia="zh-CN"/>
              </w:rPr>
              <w:t>《地下水管理条例》的相关规定，做到源头控制、污染监控和应急响应。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①源头控制措施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工程在施工过程中采用下套管注水泥固井完井方式进行了水泥固井，对含水层进行了封固处理；同时井场区域放喷池等池体，采用“整体型钢板池”及“环保防渗膜池”；酸化压裂返排液在井场加烧碱中和后</w:t>
            </w:r>
            <w:r>
              <w:rPr>
                <w:rFonts w:hint="eastAsia" w:ascii="Times New Roman" w:cs="Times New Roman"/>
                <w:bCs/>
                <w:color w:val="auto"/>
                <w:kern w:val="0"/>
                <w:sz w:val="24"/>
                <w:szCs w:val="24"/>
                <w:highlight w:val="none"/>
                <w:lang w:val="en-US" w:eastAsia="zh-CN"/>
              </w:rPr>
              <w:t>，</w:t>
            </w:r>
            <w:r>
              <w:rPr>
                <w:rFonts w:hint="default" w:ascii="Times New Roman" w:hAnsi="Times New Roman" w:eastAsia="宋体" w:cs="Times New Roman"/>
                <w:bCs/>
                <w:color w:val="auto"/>
                <w:kern w:val="0"/>
                <w:sz w:val="24"/>
                <w:szCs w:val="24"/>
                <w:highlight w:val="none"/>
                <w:lang w:val="en-US" w:eastAsia="zh-CN"/>
              </w:rPr>
              <w:t>暂存在</w:t>
            </w:r>
            <w:r>
              <w:rPr>
                <w:rFonts w:hint="eastAsia" w:ascii="Times New Roman" w:cs="Times New Roman"/>
                <w:bCs/>
                <w:color w:val="auto"/>
                <w:kern w:val="0"/>
                <w:sz w:val="24"/>
                <w:szCs w:val="24"/>
                <w:highlight w:val="none"/>
                <w:lang w:val="en-US" w:eastAsia="zh-CN"/>
              </w:rPr>
              <w:t>废液</w:t>
            </w:r>
            <w:r>
              <w:rPr>
                <w:rFonts w:hint="default" w:ascii="Times New Roman" w:hAnsi="Times New Roman" w:eastAsia="宋体" w:cs="Times New Roman"/>
                <w:bCs/>
                <w:color w:val="auto"/>
                <w:kern w:val="0"/>
                <w:sz w:val="24"/>
                <w:szCs w:val="24"/>
                <w:highlight w:val="none"/>
                <w:lang w:val="en-US" w:eastAsia="zh-CN"/>
              </w:rPr>
              <w:t>收集罐，运至富源7环保处理站处置，可有效减轻对地下水的影响。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②分区防控措施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为防止污染地下水，针对井场施工期间工程特点，参照《环境影响评价技术导则 地下水环境》（HJ610-2016），将钻井期井场进行分区防渗，其中柴油罐区、柴油发电机区、危废暂存间（8m</w:t>
            </w:r>
            <w:r>
              <w:rPr>
                <w:rFonts w:hint="default" w:ascii="Times New Roman" w:hAnsi="Times New Roman" w:eastAsia="宋体" w:cs="Times New Roman"/>
                <w:bCs/>
                <w:color w:val="auto"/>
                <w:kern w:val="0"/>
                <w:sz w:val="24"/>
                <w:szCs w:val="24"/>
                <w:highlight w:val="none"/>
                <w:vertAlign w:val="superscript"/>
                <w:lang w:val="en-US" w:eastAsia="zh-CN"/>
              </w:rPr>
              <w:t>2</w:t>
            </w:r>
            <w:r>
              <w:rPr>
                <w:rFonts w:hint="default" w:ascii="Times New Roman" w:hAnsi="Times New Roman" w:eastAsia="宋体" w:cs="Times New Roman"/>
                <w:bCs/>
                <w:color w:val="auto"/>
                <w:kern w:val="0"/>
                <w:sz w:val="24"/>
                <w:szCs w:val="24"/>
                <w:highlight w:val="none"/>
                <w:vertAlign w:val="baseline"/>
                <w:lang w:val="en-US" w:eastAsia="zh-CN"/>
              </w:rPr>
              <w:t>）</w:t>
            </w:r>
            <w:r>
              <w:rPr>
                <w:rFonts w:hint="default" w:ascii="Times New Roman" w:hAnsi="Times New Roman" w:eastAsia="宋体" w:cs="Times New Roman"/>
                <w:bCs/>
                <w:color w:val="auto"/>
                <w:kern w:val="0"/>
                <w:sz w:val="24"/>
                <w:szCs w:val="24"/>
                <w:highlight w:val="none"/>
                <w:lang w:val="en-US" w:eastAsia="zh-CN"/>
              </w:rPr>
              <w:t>、放喷池、钻井平台、不落地收集装置等划分为重点防渗区；泥浆泵区及泥浆罐区、膨润土岩屑池等划分为一般防渗区</w:t>
            </w:r>
            <w:r>
              <w:rPr>
                <w:rFonts w:hint="default" w:ascii="Times New Roman" w:hAnsi="Times New Roman" w:eastAsia="宋体" w:cs="Times New Roman"/>
                <w:b w:val="0"/>
                <w:color w:val="auto"/>
                <w:kern w:val="2"/>
                <w:sz w:val="24"/>
                <w:szCs w:val="21"/>
                <w:highlight w:val="none"/>
                <w:lang w:val="en-US" w:eastAsia="zh-CN"/>
              </w:rPr>
              <w:t>，</w:t>
            </w:r>
            <w:r>
              <w:rPr>
                <w:rFonts w:hint="default" w:ascii="Times New Roman" w:hAnsi="Times New Roman" w:eastAsia="宋体" w:cs="Times New Roman"/>
                <w:color w:val="auto"/>
                <w:sz w:val="24"/>
                <w:szCs w:val="24"/>
              </w:rPr>
              <w:t>其余区域划分为简单防渗区</w:t>
            </w:r>
            <w:r>
              <w:rPr>
                <w:rFonts w:hint="default" w:ascii="Times New Roman" w:hAnsi="Times New Roman" w:eastAsia="宋体" w:cs="Times New Roman"/>
                <w:bCs/>
                <w:color w:val="auto"/>
                <w:kern w:val="0"/>
                <w:sz w:val="24"/>
                <w:szCs w:val="24"/>
                <w:highlight w:val="none"/>
                <w:lang w:val="en-US" w:eastAsia="zh-CN"/>
              </w:rPr>
              <w:t>，油罐下设防渗，泥浆罐等采用金属材料，可有效避免发生渗漏事故。</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b w:val="0"/>
                <w:color w:val="auto"/>
                <w:kern w:val="2"/>
                <w:sz w:val="24"/>
                <w:szCs w:val="21"/>
                <w:highlight w:val="none"/>
                <w:lang w:val="en-US" w:eastAsia="zh-CN"/>
              </w:rPr>
            </w:pPr>
            <w:r>
              <w:rPr>
                <w:rFonts w:hint="default" w:ascii="Times New Roman" w:hAnsi="Times New Roman" w:eastAsia="宋体" w:cs="Times New Roman"/>
                <w:b w:val="0"/>
                <w:color w:val="auto"/>
                <w:kern w:val="2"/>
                <w:sz w:val="24"/>
                <w:szCs w:val="21"/>
                <w:highlight w:val="none"/>
                <w:lang w:val="en-US" w:eastAsia="zh-CN"/>
              </w:rPr>
              <w:t>试油期将凝析油罐区，试油区和放喷池作为重点防渗区，其他区域为简单防渗区。</w:t>
            </w: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val="en-US" w:eastAsia="zh-CN"/>
              </w:rPr>
              <w:t>钻进期</w:t>
            </w:r>
            <w:r>
              <w:rPr>
                <w:rFonts w:hint="default" w:ascii="Times New Roman" w:hAnsi="Times New Roman" w:eastAsia="宋体" w:cs="Times New Roman"/>
                <w:color w:val="auto"/>
                <w:kern w:val="0"/>
                <w:sz w:val="24"/>
                <w:szCs w:val="24"/>
                <w:highlight w:val="none"/>
              </w:rPr>
              <w:t>区防渗图见图</w:t>
            </w:r>
            <w:r>
              <w:rPr>
                <w:rFonts w:hint="default" w:ascii="Times New Roman" w:hAnsi="Times New Roman" w:eastAsia="宋体" w:cs="Times New Roman"/>
                <w:color w:val="auto"/>
                <w:kern w:val="0"/>
                <w:sz w:val="24"/>
                <w:szCs w:val="24"/>
                <w:highlight w:val="none"/>
                <w:lang w:val="en-US" w:eastAsia="zh-CN"/>
              </w:rPr>
              <w:t>5-3，试油期分区防渗图见5-4</w:t>
            </w:r>
            <w:r>
              <w:rPr>
                <w:rFonts w:hint="default" w:ascii="Times New Roman" w:hAnsi="Times New Roman" w:eastAsia="宋体" w:cs="Times New Roman"/>
                <w:color w:val="auto"/>
                <w:kern w:val="0"/>
                <w:sz w:val="24"/>
                <w:szCs w:val="24"/>
                <w:highlight w:val="none"/>
              </w:rPr>
              <w:t>。</w:t>
            </w:r>
          </w:p>
          <w:p>
            <w:pPr>
              <w:pStyle w:val="3"/>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color w:val="auto"/>
                <w:sz w:val="24"/>
                <w:szCs w:val="21"/>
                <w:highlight w:val="none"/>
                <w:lang w:val="en-US" w:eastAsia="zh-CN"/>
              </w:rPr>
            </w:pPr>
            <w:r>
              <w:rPr>
                <w:rFonts w:hint="default" w:ascii="Times New Roman" w:hAnsi="Times New Roman" w:eastAsia="宋体" w:cs="Times New Roman"/>
                <w:b w:val="0"/>
                <w:color w:val="auto"/>
                <w:kern w:val="2"/>
                <w:sz w:val="24"/>
                <w:szCs w:val="21"/>
                <w:highlight w:val="none"/>
                <w:lang w:val="en-US" w:eastAsia="zh-CN"/>
              </w:rPr>
              <w:t>本项目重点防渗区等效黏土防渗层Mb≥6.0m，K≤1×10</w:t>
            </w:r>
            <w:r>
              <w:rPr>
                <w:rFonts w:hint="default" w:ascii="Times New Roman" w:hAnsi="Times New Roman" w:eastAsia="宋体" w:cs="Times New Roman"/>
                <w:b w:val="0"/>
                <w:color w:val="auto"/>
                <w:kern w:val="2"/>
                <w:sz w:val="24"/>
                <w:szCs w:val="21"/>
                <w:highlight w:val="none"/>
                <w:vertAlign w:val="superscript"/>
                <w:lang w:val="en-US" w:eastAsia="zh-CN"/>
              </w:rPr>
              <w:t>-7</w:t>
            </w:r>
            <w:r>
              <w:rPr>
                <w:rFonts w:hint="default" w:ascii="Times New Roman" w:hAnsi="Times New Roman" w:eastAsia="宋体" w:cs="Times New Roman"/>
                <w:b w:val="0"/>
                <w:color w:val="auto"/>
                <w:kern w:val="2"/>
                <w:sz w:val="24"/>
                <w:szCs w:val="21"/>
                <w:highlight w:val="none"/>
                <w:lang w:val="en-US" w:eastAsia="zh-CN"/>
              </w:rPr>
              <w:t>cm/s，或参照GB18598执行；一般防渗区等效黏土防渗层Mb≥1.5m，K≤1×10</w:t>
            </w:r>
            <w:r>
              <w:rPr>
                <w:rFonts w:hint="default" w:ascii="Times New Roman" w:hAnsi="Times New Roman" w:eastAsia="宋体" w:cs="Times New Roman"/>
                <w:b w:val="0"/>
                <w:color w:val="auto"/>
                <w:kern w:val="2"/>
                <w:sz w:val="24"/>
                <w:szCs w:val="21"/>
                <w:highlight w:val="none"/>
                <w:vertAlign w:val="superscript"/>
                <w:lang w:val="en-US" w:eastAsia="zh-CN"/>
              </w:rPr>
              <w:t>-7</w:t>
            </w:r>
            <w:r>
              <w:rPr>
                <w:rFonts w:hint="default" w:ascii="Times New Roman" w:hAnsi="Times New Roman" w:eastAsia="宋体" w:cs="Times New Roman"/>
                <w:b w:val="0"/>
                <w:color w:val="auto"/>
                <w:kern w:val="2"/>
                <w:sz w:val="24"/>
                <w:szCs w:val="21"/>
                <w:highlight w:val="none"/>
                <w:lang w:val="en-US" w:eastAsia="zh-CN"/>
              </w:rPr>
              <w:t>cm/s；</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在制定油田环保管理体制的基础上，制定专门的地下水污染事故的应急措施，并与其它应急预案相协调。</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kern w:val="0"/>
                <w:sz w:val="24"/>
                <w:szCs w:val="24"/>
                <w:highlight w:val="none"/>
                <w:lang w:val="en-US" w:eastAsia="zh-CN"/>
              </w:rPr>
            </w:pPr>
          </w:p>
          <w:p>
            <w:pPr>
              <w:pStyle w:val="62"/>
              <w:keepNext w:val="0"/>
              <w:keepLines w:val="0"/>
              <w:suppressLineNumbers w:val="0"/>
              <w:snapToGrid/>
              <w:spacing w:before="0" w:beforeAutospacing="0" w:after="0" w:afterAutospacing="0" w:line="360" w:lineRule="auto"/>
              <w:ind w:left="0" w:leftChars="0" w:right="0" w:firstLine="0" w:firstLineChars="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highlight w:val="none"/>
              </w:rPr>
              <mc:AlternateContent>
                <mc:Choice Requires="wpg">
                  <w:drawing>
                    <wp:inline distT="0" distB="0" distL="114300" distR="114300">
                      <wp:extent cx="5083175" cy="5837555"/>
                      <wp:effectExtent l="9525" t="0" r="12700" b="10795"/>
                      <wp:docPr id="1" name="组合 152"/>
                      <wp:cNvGraphicFramePr/>
                      <a:graphic xmlns:a="http://schemas.openxmlformats.org/drawingml/2006/main">
                        <a:graphicData uri="http://schemas.microsoft.com/office/word/2010/wordprocessingGroup">
                          <wpg:wgp>
                            <wpg:cNvGrpSpPr/>
                            <wpg:grpSpPr>
                              <a:xfrm>
                                <a:off x="0" y="0"/>
                                <a:ext cx="5083175" cy="5837555"/>
                                <a:chOff x="6867" y="1641074"/>
                                <a:chExt cx="8385" cy="9193"/>
                              </a:xfrm>
                            </wpg:grpSpPr>
                            <wpg:grpSp>
                              <wpg:cNvPr id="11" name="组合 153"/>
                              <wpg:cNvGrpSpPr/>
                              <wpg:grpSpPr>
                                <a:xfrm>
                                  <a:off x="8183" y="1649383"/>
                                  <a:ext cx="1312" cy="884"/>
                                  <a:chOff x="6791" y="620433"/>
                                  <a:chExt cx="1312" cy="884"/>
                                </a:xfrm>
                              </wpg:grpSpPr>
                              <wps:wsp>
                                <wps:cNvPr id="36" name="文本框 9"/>
                                <wps:cNvSpPr txBox="1"/>
                                <wps:spPr>
                                  <a:xfrm>
                                    <a:off x="6791" y="620433"/>
                                    <a:ext cx="1313" cy="88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360" w:lineRule="auto"/>
                                        <w:jc w:val="center"/>
                                        <w:rPr>
                                          <w:rFonts w:hint="eastAsia" w:ascii="黑体" w:eastAsia="黑体"/>
                                          <w:sz w:val="15"/>
                                          <w:szCs w:val="15"/>
                                        </w:rPr>
                                      </w:pPr>
                                      <w:r>
                                        <w:rPr>
                                          <w:rFonts w:hint="eastAsia" w:ascii="黑体" w:eastAsia="黑体"/>
                                          <w:sz w:val="15"/>
                                          <w:szCs w:val="15"/>
                                        </w:rPr>
                                        <w:t>图  例</w:t>
                                      </w:r>
                                    </w:p>
                                    <w:p>
                                      <w:pPr>
                                        <w:spacing w:line="360" w:lineRule="auto"/>
                                        <w:rPr>
                                          <w:rFonts w:ascii="Times New Roman"/>
                                          <w:sz w:val="13"/>
                                          <w:szCs w:val="13"/>
                                        </w:rPr>
                                      </w:pPr>
                                      <w:r>
                                        <w:rPr>
                                          <w:rFonts w:hint="eastAsia" w:ascii="Times New Roman"/>
                                          <w:sz w:val="11"/>
                                          <w:szCs w:val="11"/>
                                        </w:rPr>
                                        <w:t xml:space="preserve">   </w:t>
                                      </w:r>
                                      <w:r>
                                        <w:rPr>
                                          <w:rFonts w:ascii="Times New Roman"/>
                                          <w:sz w:val="11"/>
                                          <w:szCs w:val="11"/>
                                        </w:rPr>
                                        <w:t xml:space="preserve"> </w:t>
                                      </w:r>
                                      <w:r>
                                        <w:rPr>
                                          <w:rFonts w:hint="eastAsia" w:ascii="Times New Roman"/>
                                          <w:sz w:val="13"/>
                                          <w:szCs w:val="13"/>
                                        </w:rPr>
                                        <w:t>重点防渗区</w:t>
                                      </w:r>
                                    </w:p>
                                    <w:p>
                                      <w:pPr>
                                        <w:spacing w:line="360" w:lineRule="auto"/>
                                        <w:ind w:firstLine="260" w:firstLineChars="200"/>
                                        <w:rPr>
                                          <w:rFonts w:ascii="Times New Roman"/>
                                          <w:sz w:val="15"/>
                                          <w:szCs w:val="15"/>
                                        </w:rPr>
                                      </w:pPr>
                                      <w:r>
                                        <w:rPr>
                                          <w:rFonts w:hint="eastAsia" w:ascii="Times New Roman"/>
                                          <w:sz w:val="13"/>
                                          <w:szCs w:val="13"/>
                                        </w:rPr>
                                        <w:t>一般防渗区</w:t>
                                      </w:r>
                                    </w:p>
                                  </w:txbxContent>
                                </wps:txbx>
                                <wps:bodyPr upright="1"/>
                              </wps:wsp>
                              <wps:wsp>
                                <wps:cNvPr id="37" name="矩形 14"/>
                                <wps:cNvSpPr/>
                                <wps:spPr>
                                  <a:xfrm>
                                    <a:off x="6886" y="620823"/>
                                    <a:ext cx="227" cy="113"/>
                                  </a:xfrm>
                                  <a:prstGeom prst="rect">
                                    <a:avLst/>
                                  </a:prstGeom>
                                  <a:solidFill>
                                    <a:srgbClr val="FF0000">
                                      <a:alpha val="50000"/>
                                    </a:srgbClr>
                                  </a:solidFill>
                                  <a:ln w="3175" cap="flat" cmpd="sng">
                                    <a:solidFill>
                                      <a:srgbClr val="000000"/>
                                    </a:solidFill>
                                    <a:prstDash val="solid"/>
                                    <a:miter/>
                                    <a:headEnd type="none" w="med" len="med"/>
                                    <a:tailEnd type="none" w="med" len="med"/>
                                  </a:ln>
                                </wps:spPr>
                                <wps:bodyPr upright="1"/>
                              </wps:wsp>
                              <wps:wsp>
                                <wps:cNvPr id="46" name="矩形 15"/>
                                <wps:cNvSpPr/>
                                <wps:spPr>
                                  <a:xfrm>
                                    <a:off x="6886" y="621070"/>
                                    <a:ext cx="227" cy="113"/>
                                  </a:xfrm>
                                  <a:prstGeom prst="rect">
                                    <a:avLst/>
                                  </a:prstGeom>
                                  <a:solidFill>
                                    <a:srgbClr val="FFFF00">
                                      <a:alpha val="50000"/>
                                    </a:srgbClr>
                                  </a:solidFill>
                                  <a:ln w="3175" cap="flat" cmpd="sng">
                                    <a:solidFill>
                                      <a:srgbClr val="000000"/>
                                    </a:solidFill>
                                    <a:prstDash val="solid"/>
                                    <a:miter/>
                                    <a:headEnd type="none" w="med" len="med"/>
                                    <a:tailEnd type="none" w="med" len="med"/>
                                  </a:ln>
                                </wps:spPr>
                                <wps:bodyPr upright="1"/>
                              </wps:wsp>
                            </wpg:grpSp>
                            <wpg:grpSp>
                              <wpg:cNvPr id="12" name="组合 157"/>
                              <wpg:cNvGrpSpPr/>
                              <wpg:grpSpPr>
                                <a:xfrm>
                                  <a:off x="6867" y="1641074"/>
                                  <a:ext cx="8385" cy="9144"/>
                                  <a:chOff x="17726" y="790364"/>
                                  <a:chExt cx="8385" cy="9144"/>
                                </a:xfrm>
                              </wpg:grpSpPr>
                              <pic:pic xmlns:pic="http://schemas.openxmlformats.org/drawingml/2006/picture">
                                <pic:nvPicPr>
                                  <pic:cNvPr id="49" name="Object 101"/>
                                  <pic:cNvPicPr/>
                                </pic:nvPicPr>
                                <pic:blipFill>
                                  <a:blip r:embed="rId33"/>
                                  <a:stretch>
                                    <a:fillRect/>
                                  </a:stretch>
                                </pic:blipFill>
                                <pic:spPr>
                                  <a:xfrm>
                                    <a:off x="18011" y="790364"/>
                                    <a:ext cx="8100" cy="9144"/>
                                  </a:xfrm>
                                  <a:prstGeom prst="rect">
                                    <a:avLst/>
                                  </a:prstGeom>
                                  <a:noFill/>
                                  <a:ln>
                                    <a:noFill/>
                                  </a:ln>
                                </pic:spPr>
                              </pic:pic>
                              <pic:pic xmlns:pic="http://schemas.openxmlformats.org/drawingml/2006/picture">
                                <pic:nvPicPr>
                                  <pic:cNvPr id="50" name="图片 28"/>
                                  <pic:cNvPicPr>
                                    <a:picLocks noChangeAspect="1"/>
                                  </pic:cNvPicPr>
                                </pic:nvPicPr>
                                <pic:blipFill>
                                  <a:blip r:embed="rId19"/>
                                  <a:srcRect b="1816"/>
                                  <a:stretch>
                                    <a:fillRect/>
                                  </a:stretch>
                                </pic:blipFill>
                                <pic:spPr>
                                  <a:xfrm>
                                    <a:off x="17726" y="790402"/>
                                    <a:ext cx="1417" cy="1406"/>
                                  </a:xfrm>
                                  <a:prstGeom prst="rect">
                                    <a:avLst/>
                                  </a:prstGeom>
                                  <a:noFill/>
                                  <a:ln w="6350" cap="flat" cmpd="sng">
                                    <a:solidFill>
                                      <a:srgbClr val="000000"/>
                                    </a:solidFill>
                                    <a:prstDash val="solid"/>
                                    <a:round/>
                                    <a:headEnd type="none" w="med" len="med"/>
                                    <a:tailEnd type="none" w="med" len="med"/>
                                  </a:ln>
                                </pic:spPr>
                              </pic:pic>
                            </wpg:grpSp>
                            <wps:wsp>
                              <wps:cNvPr id="52" name="矩形 160"/>
                              <wps:cNvSpPr/>
                              <wps:spPr>
                                <a:xfrm>
                                  <a:off x="13110" y="1644038"/>
                                  <a:ext cx="724" cy="945"/>
                                </a:xfrm>
                                <a:prstGeom prst="rect">
                                  <a:avLst/>
                                </a:prstGeom>
                                <a:solidFill>
                                  <a:srgbClr val="FFFFFF"/>
                                </a:solidFill>
                                <a:ln>
                                  <a:noFill/>
                                </a:ln>
                              </wps:spPr>
                              <wps:bodyPr upright="1"/>
                            </wps:wsp>
                          </wpg:wgp>
                        </a:graphicData>
                      </a:graphic>
                    </wp:inline>
                  </w:drawing>
                </mc:Choice>
                <mc:Fallback>
                  <w:pict>
                    <v:group id="组合 152" o:spid="_x0000_s1026" o:spt="203" style="height:459.65pt;width:400.25pt;" coordorigin="6867,1641074" coordsize="8385,9193" o:gfxdata="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">
                      <o:lock v:ext="edit" aspectratio="f"/>
                      <v:group id="组合 153" o:spid="_x0000_s1026" o:spt="203" style="position:absolute;left:8183;top:1649383;height:884;width:1312;" coordorigin="6791,620433" coordsize="1312,884"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文本框 9" o:spid="_x0000_s1026" o:spt="202" type="#_x0000_t202" style="position:absolute;left:6791;top:620433;height:884;width:1313;" fillcolor="#FFFFFF" filled="t" stroked="t" coordsize="21600,21600" o:gfxdata="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lS+V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360" w:lineRule="auto"/>
                                  <w:jc w:val="center"/>
                                  <w:rPr>
                                    <w:rFonts w:hint="eastAsia" w:ascii="黑体" w:eastAsia="黑体"/>
                                    <w:sz w:val="15"/>
                                    <w:szCs w:val="15"/>
                                  </w:rPr>
                                </w:pPr>
                                <w:r>
                                  <w:rPr>
                                    <w:rFonts w:hint="eastAsia" w:ascii="黑体" w:eastAsia="黑体"/>
                                    <w:sz w:val="15"/>
                                    <w:szCs w:val="15"/>
                                  </w:rPr>
                                  <w:t>图  例</w:t>
                                </w:r>
                              </w:p>
                              <w:p>
                                <w:pPr>
                                  <w:spacing w:line="360" w:lineRule="auto"/>
                                  <w:rPr>
                                    <w:rFonts w:ascii="Times New Roman"/>
                                    <w:sz w:val="13"/>
                                    <w:szCs w:val="13"/>
                                  </w:rPr>
                                </w:pPr>
                                <w:r>
                                  <w:rPr>
                                    <w:rFonts w:hint="eastAsia" w:ascii="Times New Roman"/>
                                    <w:sz w:val="11"/>
                                    <w:szCs w:val="11"/>
                                  </w:rPr>
                                  <w:t xml:space="preserve">   </w:t>
                                </w:r>
                                <w:r>
                                  <w:rPr>
                                    <w:rFonts w:ascii="Times New Roman"/>
                                    <w:sz w:val="11"/>
                                    <w:szCs w:val="11"/>
                                  </w:rPr>
                                  <w:t xml:space="preserve"> </w:t>
                                </w:r>
                                <w:r>
                                  <w:rPr>
                                    <w:rFonts w:hint="eastAsia" w:ascii="Times New Roman"/>
                                    <w:sz w:val="13"/>
                                    <w:szCs w:val="13"/>
                                  </w:rPr>
                                  <w:t>重点防渗区</w:t>
                                </w:r>
                              </w:p>
                              <w:p>
                                <w:pPr>
                                  <w:spacing w:line="360" w:lineRule="auto"/>
                                  <w:ind w:firstLine="260" w:firstLineChars="200"/>
                                  <w:rPr>
                                    <w:rFonts w:ascii="Times New Roman"/>
                                    <w:sz w:val="15"/>
                                    <w:szCs w:val="15"/>
                                  </w:rPr>
                                </w:pPr>
                                <w:r>
                                  <w:rPr>
                                    <w:rFonts w:hint="eastAsia" w:ascii="Times New Roman"/>
                                    <w:sz w:val="13"/>
                                    <w:szCs w:val="13"/>
                                  </w:rPr>
                                  <w:t>一般防渗区</w:t>
                                </w:r>
                              </w:p>
                            </w:txbxContent>
                          </v:textbox>
                        </v:shape>
                        <v:rect id="矩形 14" o:spid="_x0000_s1026" o:spt="1" style="position:absolute;left:6886;top:620823;height:113;width:227;" fillcolor="#FF0000" filled="t" stroked="t" coordsize="21600,21600" o:gfxdata="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kM7rvQAA&#10;ANsAAAAPAAAAAAAAAAEAIAAAACIAAABkcnMvZG93bnJldi54bWxQSwECFAAUAAAACACHTuJAMy8F&#10;njsAAAA5AAAAEAAAAAAAAAABACAAAAAMAQAAZHJzL3NoYXBleG1sLnhtbFBLBQYAAAAABgAGAFsB&#10;AAC2AwAAAAA=&#10;">
                          <v:fill on="t" opacity="32768f" focussize="0,0"/>
                          <v:stroke weight="0.25pt" color="#000000" joinstyle="miter"/>
                          <v:imagedata o:title=""/>
                          <o:lock v:ext="edit" aspectratio="f"/>
                        </v:rect>
                        <v:rect id="矩形 15" o:spid="_x0000_s1026" o:spt="1" style="position:absolute;left:6886;top:621070;height:113;width:227;" fillcolor="#FFFF00" filled="t" stroked="t" coordsize="21600,21600" o:gfxdata="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x0StvQAA&#10;ANsAAAAPAAAAAAAAAAEAIAAAACIAAABkcnMvZG93bnJldi54bWxQSwECFAAUAAAACACHTuJAMy8F&#10;njsAAAA5AAAAEAAAAAAAAAABACAAAAAMAQAAZHJzL3NoYXBleG1sLnhtbFBLBQYAAAAABgAGAFsB&#10;AAC2AwAAAAA=&#10;">
                          <v:fill on="t" opacity="32768f" focussize="0,0"/>
                          <v:stroke weight="0.25pt" color="#000000" joinstyle="miter"/>
                          <v:imagedata o:title=""/>
                          <o:lock v:ext="edit" aspectratio="f"/>
                        </v:rect>
                      </v:group>
                      <v:group id="组合 157" o:spid="_x0000_s1026" o:spt="203" style="position:absolute;left:6867;top:1641074;height:9144;width:8385;" coordorigin="17726,790364" coordsize="8385,9144"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Object 101" o:spid="_x0000_s1026" o:spt="75" type="#_x0000_t75" style="position:absolute;left:18011;top:790364;height:9144;width:8100;" filled="f" o:preferrelative="t" stroked="f" coordsize="21600,21600" o:gfxdata="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6LwW74A&#10;AADbAAAADwAAAAAAAAABACAAAAAiAAAAZHJzL2Rvd25yZXYueG1sUEsBAhQAFAAAAAgAh07iQDMv&#10;BZ47AAAAOQAAABAAAAAAAAAAAQAgAAAADQEAAGRycy9zaGFwZXhtbC54bWxQSwUGAAAAAAYABgBb&#10;AQAAtwMAAAAA&#10;">
                          <v:fill on="f" focussize="0,0"/>
                          <v:stroke on="f"/>
                          <v:imagedata r:id="rId33" o:title=""/>
                          <o:lock v:ext="edit" aspectratio="f"/>
                        </v:shape>
                        <v:shape id="图片 28" o:spid="_x0000_s1026" o:spt="75" type="#_x0000_t75" style="position:absolute;left:17726;top:790402;height:1406;width:1417;" filled="f" o:preferrelative="t" stroked="t" coordsize="21600,21600" o:gfxdata="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kk8JugAAANsA&#10;AAAPAAAAAAAAAAEAIAAAACIAAABkcnMvZG93bnJldi54bWxQSwECFAAUAAAACACHTuJAMy8FnjsA&#10;AAA5AAAAEAAAAAAAAAABACAAAAAJAQAAZHJzL3NoYXBleG1sLnhtbFBLBQYAAAAABgAGAFsBAACz&#10;AwAAAAA=&#10;">
                          <v:fill on="f" focussize="0,0"/>
                          <v:stroke weight="0.5pt" color="#000000" joinstyle="round"/>
                          <v:imagedata r:id="rId19" cropbottom="1190f" o:title=""/>
                          <o:lock v:ext="edit" aspectratio="t"/>
                        </v:shape>
                      </v:group>
                      <v:rect id="矩形 160" o:spid="_x0000_s1026" o:spt="1" style="position:absolute;left:13110;top:1644038;height:945;width:724;" fillcolor="#FFFFFF" filled="t" stroked="f" coordsize="21600,21600" o:gfxdata="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9KBb4A&#10;AADbAAAADwAAAAAAAAABACAAAAAiAAAAZHJzL2Rvd25yZXYueG1sUEsBAhQAFAAAAAgAh07iQDMv&#10;BZ47AAAAOQAAABAAAAAAAAAAAQAgAAAADQEAAGRycy9zaGFwZXhtbC54bWxQSwUGAAAAAAYABgBb&#10;AQAAtwMAAAAA&#10;">
                        <v:fill on="t" focussize="0,0"/>
                        <v:stroke on="f"/>
                        <v:imagedata o:title=""/>
                        <o:lock v:ext="edit" aspectratio="f"/>
                      </v:rect>
                      <w10:wrap type="none"/>
                      <w10:anchorlock/>
                    </v:group>
                  </w:pict>
                </mc:Fallback>
              </mc:AlternateConten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图5-3    钻井期间分区防渗图</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color w:val="auto"/>
              </w:rPr>
              <w:drawing>
                <wp:inline distT="0" distB="0" distL="114300" distR="114300">
                  <wp:extent cx="5059680" cy="4620895"/>
                  <wp:effectExtent l="0" t="0" r="762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4"/>
                          <a:stretch>
                            <a:fillRect/>
                          </a:stretch>
                        </pic:blipFill>
                        <pic:spPr>
                          <a:xfrm>
                            <a:off x="0" y="0"/>
                            <a:ext cx="5059680" cy="4620895"/>
                          </a:xfrm>
                          <a:prstGeom prst="rect">
                            <a:avLst/>
                          </a:prstGeom>
                          <a:noFill/>
                          <a:ln>
                            <a:noFill/>
                          </a:ln>
                        </pic:spPr>
                      </pic:pic>
                    </a:graphicData>
                  </a:graphic>
                </wp:inline>
              </w:drawing>
            </w:r>
            <w:r>
              <w:rPr>
                <w:rFonts w:hint="default" w:ascii="Times New Roman" w:hAnsi="Times New Roman" w:eastAsia="宋体" w:cs="Times New Roman"/>
                <w:b/>
                <w:bCs/>
                <w:color w:val="auto"/>
                <w:kern w:val="2"/>
                <w:sz w:val="24"/>
                <w:szCs w:val="24"/>
                <w:highlight w:val="none"/>
                <w:lang w:val="en-US" w:eastAsia="zh-CN" w:bidi="ar-SA"/>
              </w:rPr>
              <w:t>图5-4    试油期间分区防渗图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b/>
                <w:color w:val="auto"/>
                <w:sz w:val="24"/>
                <w:szCs w:val="24"/>
                <w:highlight w:val="none"/>
                <w:lang w:val="en-US" w:eastAsia="zh-CN"/>
              </w:rPr>
              <w:t>5、施工噪声污染防治措施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为最大限度避免和减轻施工对周围其他声环境的不利影响，本评价对施工期噪声控制提出以下要求和建议：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（1）合理安排施工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①根据</w:t>
            </w: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rPr>
              <w:t>建筑施工噪声排放标准》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GB12523-20</w:t>
            </w:r>
            <w:r>
              <w:rPr>
                <w:rFonts w:hint="default"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bCs/>
                <w:color w:val="auto"/>
                <w:sz w:val="24"/>
                <w:szCs w:val="24"/>
                <w:highlight w:val="none"/>
                <w:lang w:val="en-US" w:eastAsia="zh-CN"/>
              </w:rPr>
              <w:t>确定工程施工场界，合理科学地布局施工现场；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②施工运输车辆在驶经声敏感点时控制车速、禁鸣，加强车辆维护，来减轻噪声对周围声环境的影响。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（2）合理安排施工时间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一般可采取控制施工时间，缓解、避免强噪声设备集中施工。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（3）采取噪声控制措施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施工单位应尽量选用低噪声、低振动的施工机械设备，减少对周围声环境的影响。钻井期间设备安装隔声垫和基础减振。加强施工机械的保养维护，使其处于良好的运行状态，倡导科学管理和文明施工。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采取以上措施后，施工噪声不会对声环境产生明显影响。且施工活动分布在区块内，呈现出阶段性和散点状分布，噪声影响是短期的、暂时的，噪声影响将随着施工活动的结束而消除，不会对周围声环境产生明显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6、施工固废污染防治措施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（1）泥浆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泥浆采用“泥浆不落地”工艺收集，排入泥浆罐循环使用，完井后拉运至下一口井再利用。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（2）废弃钻井岩屑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膨润土体系废弃钻井岩屑排入防渗岩屑池干化，经检测达到《油气田钻井固体废物综合利用污染控制要求》（DB65/T 3997-2017）及《石油天然气开采业固体废物污染控制技术规范（试行）》（HJ1461-2026）标准后，用于井场平整；</w:t>
            </w:r>
            <w:r>
              <w:rPr>
                <w:rFonts w:hint="eastAsia" w:ascii="Times New Roman" w:cs="Times New Roman"/>
                <w:bCs/>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bCs/>
                <w:color w:val="auto"/>
                <w:sz w:val="24"/>
                <w:szCs w:val="24"/>
                <w:highlight w:val="none"/>
                <w:lang w:val="en-US" w:eastAsia="zh-CN"/>
              </w:rPr>
              <w:t>，处理达标后还原土用于铺垫油区内的井场、道路。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（3）生活垃圾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szCs w:val="24"/>
                <w:highlight w:val="none"/>
                <w:lang w:val="en-US" w:eastAsia="zh-CN"/>
              </w:rPr>
              <w:t>井队人数为60人，工程预计钻井施工期为</w:t>
            </w:r>
            <w:r>
              <w:rPr>
                <w:rFonts w:hint="eastAsia" w:ascii="Times New Roman" w:cs="Times New Roman"/>
                <w:bCs/>
                <w:color w:val="auto"/>
                <w:sz w:val="24"/>
                <w:szCs w:val="24"/>
                <w:highlight w:val="none"/>
                <w:lang w:val="en-US" w:eastAsia="zh-CN"/>
              </w:rPr>
              <w:t>180</w:t>
            </w:r>
            <w:r>
              <w:rPr>
                <w:rFonts w:hint="default" w:ascii="Times New Roman" w:hAnsi="Times New Roman" w:eastAsia="宋体" w:cs="Times New Roman"/>
                <w:bCs/>
                <w:color w:val="auto"/>
                <w:sz w:val="24"/>
                <w:szCs w:val="24"/>
                <w:highlight w:val="none"/>
                <w:lang w:val="en-US" w:eastAsia="zh-CN"/>
              </w:rPr>
              <w:t>天，按生活垃圾产生量每人1kg/d计，生活垃圾产生量</w:t>
            </w:r>
            <w:r>
              <w:rPr>
                <w:rFonts w:hint="eastAsia" w:ascii="Times New Roman" w:cs="Times New Roman"/>
                <w:bCs/>
                <w:color w:val="auto"/>
                <w:sz w:val="24"/>
                <w:highlight w:val="none"/>
                <w:lang w:val="en-US" w:eastAsia="zh-CN"/>
              </w:rPr>
              <w:t>10.8</w:t>
            </w:r>
            <w:r>
              <w:rPr>
                <w:rFonts w:hint="default" w:ascii="Times New Roman" w:hAnsi="Times New Roman" w:eastAsia="宋体" w:cs="Times New Roman"/>
                <w:bCs/>
                <w:color w:val="auto"/>
                <w:sz w:val="24"/>
                <w:highlight w:val="none"/>
                <w:lang w:val="en-US" w:eastAsia="zh-CN"/>
              </w:rPr>
              <w:t>t，集中收集后，定期送至</w:t>
            </w:r>
            <w:r>
              <w:rPr>
                <w:rFonts w:hint="eastAsia" w:ascii="Times New Roman" w:cs="Times New Roman"/>
                <w:bCs/>
                <w:color w:val="auto"/>
                <w:sz w:val="24"/>
                <w:highlight w:val="none"/>
                <w:lang w:val="en-US" w:eastAsia="zh-CN"/>
              </w:rPr>
              <w:t>塔中镇生活垃圾填埋场处理</w:t>
            </w:r>
            <w:r>
              <w:rPr>
                <w:rFonts w:hint="default" w:ascii="Times New Roman" w:hAnsi="Times New Roman" w:eastAsia="宋体" w:cs="Times New Roman"/>
                <w:bCs/>
                <w:color w:val="auto"/>
                <w:sz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（4）锅炉灰渣及除尘灰</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锅炉灰渣与除尘灰统一收集后送至周边固废填埋场处理。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（5）废布袋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袋式除尘器更换后的废布袋产生后由厂家回收处理。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（6）撬装式污水处理站产生污泥</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撬装式污水处理站污泥定期排入污泥池，通过泵打入小型叠螺式污泥脱水机，其脱水原理为污泥在浓缩部经过重力浓缩后，被运输到脱水部，在前进的过程中随着滤缝及螺距的逐渐变小，以及背压板的阻挡作用下，产生极大的内压，容积不断缩小，达到充分脱水的目的。经叠螺式污泥脱水机脱水后可确保污泥含水率低于60%，满足垃圾填埋场进场污泥含水率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撬装式污水处理站污泥经脱水装置脱水后，产生量为0.12t，收集、合规暂存，</w:t>
            </w:r>
            <w:r>
              <w:rPr>
                <w:rFonts w:hint="default" w:ascii="Times New Roman" w:hAnsi="Times New Roman" w:eastAsia="宋体" w:cs="Times New Roman"/>
                <w:bCs/>
                <w:color w:val="auto"/>
                <w:spacing w:val="0"/>
                <w:sz w:val="24"/>
                <w:highlight w:val="none"/>
                <w:lang w:val="en-US" w:eastAsia="zh-CN"/>
              </w:rPr>
              <w:t>定期送至</w:t>
            </w:r>
            <w:r>
              <w:rPr>
                <w:rFonts w:hint="eastAsia" w:ascii="Times New Roman" w:cs="Times New Roman"/>
                <w:bCs/>
                <w:color w:val="auto"/>
                <w:spacing w:val="0"/>
                <w:sz w:val="24"/>
                <w:highlight w:val="none"/>
                <w:lang w:val="en-US" w:eastAsia="zh-CN"/>
              </w:rPr>
              <w:t>塔中镇生活垃圾填埋场处理</w:t>
            </w:r>
            <w:r>
              <w:rPr>
                <w:rFonts w:hint="default" w:ascii="Times New Roman" w:hAnsi="Times New Roman" w:eastAsia="宋体" w:cs="Times New Roman"/>
                <w:color w:val="auto"/>
                <w:spacing w:val="0"/>
                <w:kern w:val="2"/>
                <w:sz w:val="24"/>
                <w:szCs w:val="24"/>
                <w:highlight w:val="none"/>
                <w:lang w:val="en-US" w:eastAsia="zh-CN" w:bidi="ar-SA"/>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（7）废烧碱包装袋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废烧碱包装袋暂存于撬装式危废暂存间（8m</w:t>
            </w:r>
            <w:r>
              <w:rPr>
                <w:rFonts w:hint="default" w:ascii="Times New Roman" w:hAnsi="Times New Roman" w:eastAsia="宋体" w:cs="Times New Roman"/>
                <w:bCs/>
                <w:color w:val="auto"/>
                <w:spacing w:val="0"/>
                <w:sz w:val="24"/>
                <w:highlight w:val="none"/>
                <w:vertAlign w:val="superscript"/>
                <w:lang w:val="en-US" w:eastAsia="zh-CN"/>
              </w:rPr>
              <w:t>2</w:t>
            </w:r>
            <w:r>
              <w:rPr>
                <w:rFonts w:hint="default" w:ascii="Times New Roman" w:hAnsi="Times New Roman" w:eastAsia="宋体" w:cs="Times New Roman"/>
                <w:bCs/>
                <w:color w:val="auto"/>
                <w:spacing w:val="0"/>
                <w:sz w:val="24"/>
                <w:highlight w:val="none"/>
                <w:vertAlign w:val="baseline"/>
                <w:lang w:val="en-US" w:eastAsia="zh-CN"/>
              </w:rPr>
              <w:t>）</w:t>
            </w:r>
            <w:r>
              <w:rPr>
                <w:rFonts w:hint="default" w:ascii="Times New Roman" w:hAnsi="Times New Roman" w:eastAsia="宋体" w:cs="Times New Roman"/>
                <w:bCs/>
                <w:color w:val="auto"/>
                <w:spacing w:val="0"/>
                <w:sz w:val="24"/>
                <w:highlight w:val="none"/>
                <w:lang w:val="en-US" w:eastAsia="zh-CN"/>
              </w:rPr>
              <w:t>中，定期委托具有危废处置资质的单位接收处置。</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bCs/>
                <w:color w:val="auto"/>
                <w:spacing w:val="0"/>
                <w:sz w:val="24"/>
                <w:highlight w:val="none"/>
                <w:lang w:val="en-US" w:eastAsia="zh-CN"/>
              </w:rPr>
              <w:t>（8）</w:t>
            </w:r>
            <w:r>
              <w:rPr>
                <w:rFonts w:hint="default" w:ascii="Times New Roman" w:hAnsi="Times New Roman" w:eastAsia="宋体" w:cs="Times New Roman"/>
                <w:color w:val="auto"/>
                <w:spacing w:val="0"/>
                <w:sz w:val="24"/>
                <w:szCs w:val="24"/>
                <w:highlight w:val="none"/>
              </w:rPr>
              <w:t>废矿物油及其包装物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废</w:t>
            </w:r>
            <w:r>
              <w:rPr>
                <w:rFonts w:hint="default" w:ascii="Times New Roman" w:hAnsi="Times New Roman" w:eastAsia="宋体" w:cs="Times New Roman"/>
                <w:color w:val="auto"/>
                <w:spacing w:val="0"/>
                <w:sz w:val="24"/>
                <w:szCs w:val="24"/>
                <w:highlight w:val="none"/>
                <w:lang w:val="en-US" w:eastAsia="zh-CN"/>
              </w:rPr>
              <w:t>矿物油</w:t>
            </w:r>
            <w:r>
              <w:rPr>
                <w:rFonts w:hint="default" w:ascii="Times New Roman" w:hAnsi="Times New Roman" w:eastAsia="宋体" w:cs="Times New Roman"/>
                <w:color w:val="auto"/>
                <w:spacing w:val="0"/>
                <w:sz w:val="24"/>
                <w:szCs w:val="24"/>
                <w:highlight w:val="none"/>
              </w:rPr>
              <w:t>采用专用容器盛装，暂存于撬装式</w:t>
            </w:r>
            <w:r>
              <w:rPr>
                <w:rFonts w:hint="default" w:ascii="Times New Roman" w:hAnsi="Times New Roman" w:eastAsia="宋体" w:cs="Times New Roman"/>
                <w:color w:val="auto"/>
                <w:spacing w:val="0"/>
                <w:sz w:val="24"/>
                <w:szCs w:val="24"/>
                <w:highlight w:val="none"/>
                <w:lang w:eastAsia="zh-CN"/>
              </w:rPr>
              <w:t>危废暂存间（</w:t>
            </w:r>
            <w:r>
              <w:rPr>
                <w:rFonts w:hint="default" w:ascii="Times New Roman" w:hAnsi="Times New Roman" w:eastAsia="宋体" w:cs="Times New Roman"/>
                <w:color w:val="auto"/>
                <w:spacing w:val="0"/>
                <w:sz w:val="24"/>
                <w:szCs w:val="24"/>
                <w:highlight w:val="none"/>
              </w:rPr>
              <w:t>8m</w:t>
            </w:r>
            <w:r>
              <w:rPr>
                <w:rFonts w:hint="default" w:ascii="Times New Roman" w:hAnsi="Times New Roman" w:eastAsia="宋体" w:cs="Times New Roman"/>
                <w:color w:val="auto"/>
                <w:spacing w:val="0"/>
                <w:sz w:val="24"/>
                <w:szCs w:val="24"/>
                <w:highlight w:val="none"/>
                <w:vertAlign w:val="superscript"/>
              </w:rPr>
              <w:t>2</w:t>
            </w:r>
            <w:r>
              <w:rPr>
                <w:rFonts w:hint="default" w:ascii="Times New Roman" w:hAnsi="Times New Roman" w:eastAsia="宋体" w:cs="Times New Roman"/>
                <w:color w:val="auto"/>
                <w:spacing w:val="0"/>
                <w:sz w:val="24"/>
                <w:szCs w:val="24"/>
                <w:highlight w:val="none"/>
                <w:vertAlign w:val="baseline"/>
                <w:lang w:eastAsia="zh-CN"/>
              </w:rPr>
              <w:t>）</w:t>
            </w:r>
            <w:r>
              <w:rPr>
                <w:rFonts w:hint="default" w:ascii="Times New Roman" w:hAnsi="Times New Roman" w:eastAsia="宋体" w:cs="Times New Roman"/>
                <w:color w:val="auto"/>
                <w:spacing w:val="0"/>
                <w:sz w:val="24"/>
                <w:szCs w:val="24"/>
                <w:highlight w:val="none"/>
              </w:rPr>
              <w:t>中，定期委托具有危废处置资质的单位接收处置。</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color w:val="auto"/>
                <w:spacing w:val="0"/>
                <w:sz w:val="24"/>
                <w:szCs w:val="21"/>
                <w:highlight w:val="none"/>
                <w:lang w:val="en-US" w:eastAsia="zh-CN"/>
              </w:rPr>
            </w:pP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val="en-US" w:eastAsia="zh-CN"/>
              </w:rPr>
              <w:t>10</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b w:val="0"/>
                <w:color w:val="auto"/>
                <w:spacing w:val="0"/>
                <w:sz w:val="24"/>
                <w:szCs w:val="21"/>
                <w:highlight w:val="none"/>
                <w:lang w:val="en-US" w:eastAsia="zh-CN"/>
              </w:rPr>
              <w:t>沾油废物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color w:val="auto"/>
                <w:spacing w:val="0"/>
                <w:sz w:val="24"/>
                <w:szCs w:val="21"/>
                <w:highlight w:val="none"/>
                <w:lang w:val="en-US" w:eastAsia="zh-CN"/>
              </w:rPr>
              <w:t>沾油废物采用专用容器</w:t>
            </w:r>
            <w:r>
              <w:rPr>
                <w:rFonts w:hint="default" w:ascii="Times New Roman" w:hAnsi="Times New Roman" w:eastAsia="宋体" w:cs="Times New Roman"/>
                <w:b w:val="0"/>
                <w:color w:val="auto"/>
                <w:spacing w:val="0"/>
                <w:sz w:val="24"/>
                <w:szCs w:val="21"/>
                <w:highlight w:val="none"/>
              </w:rPr>
              <w:t>盛装，暂存于撬装式</w:t>
            </w:r>
            <w:r>
              <w:rPr>
                <w:rFonts w:hint="default" w:ascii="Times New Roman" w:hAnsi="Times New Roman" w:eastAsia="宋体" w:cs="Times New Roman"/>
                <w:b w:val="0"/>
                <w:color w:val="auto"/>
                <w:spacing w:val="0"/>
                <w:sz w:val="24"/>
                <w:szCs w:val="21"/>
                <w:highlight w:val="none"/>
                <w:lang w:eastAsia="zh-CN"/>
              </w:rPr>
              <w:t>危废暂存间（</w:t>
            </w:r>
            <w:r>
              <w:rPr>
                <w:rFonts w:hint="default" w:ascii="Times New Roman" w:hAnsi="Times New Roman" w:eastAsia="宋体" w:cs="Times New Roman"/>
                <w:b w:val="0"/>
                <w:color w:val="auto"/>
                <w:spacing w:val="0"/>
                <w:sz w:val="24"/>
                <w:szCs w:val="21"/>
                <w:highlight w:val="none"/>
              </w:rPr>
              <w:t>8m</w:t>
            </w:r>
            <w:r>
              <w:rPr>
                <w:rFonts w:hint="default" w:ascii="Times New Roman" w:hAnsi="Times New Roman" w:eastAsia="宋体" w:cs="Times New Roman"/>
                <w:b w:val="0"/>
                <w:color w:val="auto"/>
                <w:spacing w:val="0"/>
                <w:sz w:val="24"/>
                <w:szCs w:val="21"/>
                <w:highlight w:val="none"/>
                <w:vertAlign w:val="superscript"/>
              </w:rPr>
              <w:t>2</w:t>
            </w:r>
            <w:r>
              <w:rPr>
                <w:rFonts w:hint="default" w:ascii="Times New Roman" w:hAnsi="Times New Roman" w:eastAsia="宋体" w:cs="Times New Roman"/>
                <w:b w:val="0"/>
                <w:color w:val="auto"/>
                <w:spacing w:val="0"/>
                <w:sz w:val="24"/>
                <w:szCs w:val="21"/>
                <w:highlight w:val="none"/>
                <w:vertAlign w:val="baseline"/>
                <w:lang w:eastAsia="zh-CN"/>
              </w:rPr>
              <w:t>）</w:t>
            </w:r>
            <w:r>
              <w:rPr>
                <w:rFonts w:hint="default" w:ascii="Times New Roman" w:hAnsi="Times New Roman" w:eastAsia="宋体" w:cs="Times New Roman"/>
                <w:b w:val="0"/>
                <w:color w:val="auto"/>
                <w:spacing w:val="0"/>
                <w:sz w:val="24"/>
                <w:szCs w:val="21"/>
                <w:highlight w:val="none"/>
              </w:rPr>
              <w:t>中，定期委托具有危废处置资质的单位接收处置。施工车带罐作业，且在作业井场地面铺设膜，回收防渗膜的同时实现落地油100%回收。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6.1 固体废物管理要求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一般工业固体废物暂存设施的建设应满足《一般工业固体废物贮存和填埋污染控制标准》（GB 18599-2020）相关要求，贮存区采取防风、防雨措施，各类固废分类收集，贮存区按照《环境保护图形标志 固体废物贮存（处置）场》（GB 15562.2-1995）的要求设置环保图形标志，指定专人进行日常管理，并按照《一般工业固体废物管理台账制定指南（试行）》等相关要求建立工业固废管理台账妥善保存。</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本项目产生的危险废物桶装或袋装密闭收集后于危废暂存间（8m</w:t>
            </w:r>
            <w:r>
              <w:rPr>
                <w:rFonts w:hint="default" w:ascii="Times New Roman" w:hAnsi="Times New Roman" w:eastAsia="宋体" w:cs="Times New Roman"/>
                <w:bCs/>
                <w:color w:val="auto"/>
                <w:sz w:val="24"/>
                <w:highlight w:val="none"/>
                <w:vertAlign w:val="superscript"/>
                <w:lang w:val="en-US" w:eastAsia="zh-CN"/>
              </w:rPr>
              <w:t>2</w:t>
            </w:r>
            <w:r>
              <w:rPr>
                <w:rFonts w:hint="default" w:ascii="Times New Roman" w:hAnsi="Times New Roman" w:eastAsia="宋体" w:cs="Times New Roman"/>
                <w:bCs/>
                <w:color w:val="auto"/>
                <w:sz w:val="24"/>
                <w:highlight w:val="none"/>
                <w:lang w:val="en-US" w:eastAsia="zh-CN"/>
              </w:rPr>
              <w:t>）贮存，危废暂存间属于危废贮存点，按照《危险废物贮存污染控制标准》（GB18597-2023）要求，贮存点</w:t>
            </w:r>
            <w:r>
              <w:rPr>
                <w:rFonts w:hint="default" w:ascii="Times New Roman" w:hAnsi="Times New Roman" w:eastAsia="宋体" w:cs="Times New Roman"/>
                <w:color w:val="auto"/>
                <w:sz w:val="24"/>
                <w:szCs w:val="24"/>
              </w:rPr>
              <w:t>贮存</w:t>
            </w:r>
            <w:r>
              <w:rPr>
                <w:rFonts w:hint="default" w:ascii="Times New Roman" w:hAnsi="Times New Roman" w:eastAsia="宋体" w:cs="Times New Roman"/>
                <w:color w:val="auto"/>
                <w:sz w:val="24"/>
                <w:szCs w:val="24"/>
                <w:lang w:eastAsia="zh-CN"/>
              </w:rPr>
              <w:t>的</w:t>
            </w:r>
            <w:r>
              <w:rPr>
                <w:rFonts w:hint="default" w:ascii="Times New Roman" w:hAnsi="Times New Roman" w:eastAsia="宋体" w:cs="Times New Roman"/>
                <w:color w:val="auto"/>
                <w:sz w:val="24"/>
                <w:szCs w:val="24"/>
              </w:rPr>
              <w:t>危险废物应置于容器或包装物中，不应直接散堆</w:t>
            </w:r>
            <w:r>
              <w:rPr>
                <w:rFonts w:hint="default" w:ascii="Times New Roman" w:hAnsi="Times New Roman" w:eastAsia="宋体" w:cs="Times New Roman"/>
                <w:bCs/>
                <w:color w:val="auto"/>
                <w:sz w:val="24"/>
                <w:highlight w:val="none"/>
                <w:lang w:val="en-US" w:eastAsia="zh-CN"/>
              </w:rPr>
              <w:t>，及时清运贮存的危险废</w:t>
            </w:r>
            <w:r>
              <w:rPr>
                <w:rFonts w:hint="default" w:ascii="Times New Roman" w:hAnsi="Times New Roman" w:eastAsia="宋体" w:cs="Times New Roman"/>
                <w:color w:val="auto"/>
                <w:sz w:val="24"/>
                <w:szCs w:val="24"/>
                <w:lang w:val="en-US" w:eastAsia="zh-CN"/>
              </w:rPr>
              <w:t>物，实时贮存量不应超过3吨。按照《</w:t>
            </w:r>
            <w:r>
              <w:rPr>
                <w:rFonts w:hint="default" w:ascii="Times New Roman" w:hAnsi="Times New Roman" w:eastAsia="宋体" w:cs="Times New Roman"/>
                <w:color w:val="auto"/>
                <w:sz w:val="24"/>
                <w:szCs w:val="24"/>
              </w:rPr>
              <w:t>危险废物收集</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贮存 运输技术规范</w:t>
            </w:r>
            <w:r>
              <w:rPr>
                <w:rFonts w:hint="default" w:ascii="Times New Roman" w:hAnsi="Times New Roman" w:eastAsia="宋体" w:cs="Times New Roman"/>
                <w:color w:val="auto"/>
                <w:sz w:val="24"/>
                <w:szCs w:val="24"/>
                <w:lang w:val="en-US" w:eastAsia="zh-CN"/>
              </w:rPr>
              <w:t>》（HJ 2025-2012）要求，项目贮存点应配备通讯设备、照明设施和消防设施。</w:t>
            </w:r>
            <w:r>
              <w:rPr>
                <w:rFonts w:hint="default" w:ascii="Times New Roman" w:hAnsi="Times New Roman" w:eastAsia="宋体" w:cs="Times New Roman"/>
                <w:bCs/>
                <w:color w:val="auto"/>
                <w:sz w:val="24"/>
                <w:highlight w:val="none"/>
                <w:lang w:val="en-US" w:eastAsia="zh-CN"/>
              </w:rPr>
              <w:t>危险废物运输应由持有危险废物经营许可证的单位按照其许可证的经营范围组织实施，承担危险废物运输的单位应获得交通运输部门颁发的危险货物运输资质。危险废物公路运输应按照《道路危险货物运输管理规定》（交通部令〔2005年〕第9号）、JT617以及JT618 执行。危险废物运输过程中全部采用密闭容器储存，正常情况下不会发生散落或泄漏，危险废物在运输过程中发生散落或泄漏时，及时清理，危险废物转移过程中应采取防扬散、防流失、防渗漏措施，不得擅自倾倒、堆放、丢弃、遗撒；《危险废物管理计划和管理台账制定技术导则》（HJ1259-2022）制定危险废物突发环境事件的防范措施和应急预案</w:t>
            </w:r>
            <w:r>
              <w:rPr>
                <w:rFonts w:hint="eastAsia" w:ascii="Times New Roman" w:cs="Times New Roman"/>
                <w:bCs/>
                <w:color w:val="auto"/>
                <w:sz w:val="24"/>
                <w:highlight w:val="none"/>
                <w:lang w:val="en-US" w:eastAsia="zh-CN"/>
              </w:rPr>
              <w:t>，在</w:t>
            </w:r>
            <w:r>
              <w:rPr>
                <w:rFonts w:hint="default" w:ascii="Times New Roman" w:hAnsi="Times New Roman" w:eastAsia="宋体" w:cs="Times New Roman"/>
                <w:bCs/>
                <w:color w:val="auto"/>
                <w:sz w:val="24"/>
                <w:highlight w:val="none"/>
                <w:lang w:val="en-US" w:eastAsia="zh-CN"/>
              </w:rPr>
              <w:t>发生危险废物突发环境事件时，采取有效措施消除或者减轻对环境的污染危害；制定危险废物管理计划，结合自身的实际情况，与生产记录相衔接，建立危险废物管理台账记录，如实记载产生危险废物的种类、数量、流向、贮存、利用处置等信息，并填写、运行危险废物转移联单。</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本项目产生的危险废物全部委托有相应资质的危险废物处置单位处理，不会对周边环境产生明显影响。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6.2 危险废物管理要求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本工程严格落实《中华人民共和国固体废物污染环境防治法</w:t>
            </w:r>
            <w:r>
              <w:rPr>
                <w:rFonts w:hint="eastAsia" w:ascii="Times New Roman" w:cs="Times New Roman"/>
                <w:bCs/>
                <w:color w:val="auto"/>
                <w:sz w:val="24"/>
                <w:highlight w:val="none"/>
                <w:lang w:val="en-US" w:eastAsia="zh-CN"/>
              </w:rPr>
              <w:t>》等</w:t>
            </w:r>
            <w:r>
              <w:rPr>
                <w:rFonts w:hint="default" w:ascii="Times New Roman" w:hAnsi="Times New Roman" w:eastAsia="宋体" w:cs="Times New Roman"/>
                <w:bCs/>
                <w:color w:val="auto"/>
                <w:sz w:val="24"/>
                <w:highlight w:val="none"/>
                <w:lang w:val="en-US" w:eastAsia="zh-CN"/>
              </w:rPr>
              <w:t>有关规定，建设单位作为钻井固体废物的管理责任主体。同时油气田各类制度和环境保护要求由各基层单位负责向各承包单位传达，并监督其实施。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本工程产生的危险废物主要管理要求如下：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（1）废防渗材料等危险废物，储存、处置要严格执行国家和地方生态环境主管部门的环保规定。</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（2）主要管理职责</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①危险废物产生单位为危险废物管理责任主体，负责日常管理工作。</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②危险废物产生单位应建立交接制度，填写交接单，标明危险废物产生原因、回收数量和地点，负责与危险废物处置单位签订合同，明确双方安全环保权利、义务和责任。</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（3）监督管理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①危险废物产生和处置单位应建立健全危险废物管理制度，制定管理计划，健全资料台账。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②合格土满足《油气田钻井固体废物综合利用污染控制要求》（DB65/T3997-2017），去向明确，满足政府环保部门要求，不准随意抛弃、堆放。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③危险废物产生和处置单位制定相关应急预案，报当地生态环境主管部门和公司安全环保处备案。</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④废防渗材料等危险废物在收集、贮存、运送、处置过程中，产生单位于每月底将转移数量报送当地县级以上政府生态环境主管部门及公司安全环保处备案。</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⑤公司质量安全环保部会同相关部门不定期检查危险废物收集、贮存、运送、处置过程，将结果纳入HSE管理考核内容。</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⑥禁止将危险废物混入非危险废物进行贮存和处置；非危险废物被危险废物污染的，均按照危险废物进行管理和处置；废弃物经固液分离后产生的废水应严格执行废水的相关标准进行处理和管理。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（4）贮存、运输、处置主要管理规定</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危险废物由专用运输车辆进行运输、转移，并严格按照《危险废物转移管理办法》，实施危险废物全过程管理。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①危险废物贮存设施必须满足具备防渗、防外溢、防泄漏等基本要求，按照《环境保护图形标志—固体废物贮存（处置）场》危险废物标志牌式样设置明显标志。</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危险废物临时贮存场所要严格按照《危险废物贮存污染控制标准》中的有关规范进行设计和管理。井下作业时带罐作业，落地油100%回收。危险废物贮存场所必须按照《石油化工工程防渗技术规范》（GB/T50934-2013）中的相关要求进行分区和防渗。</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③危险废物处置单位采用专用车辆到指定地点收集运输危险废物，运输过程中不准设置中转储存点，严禁偷排、洒落、泄漏和随意倾倒等。</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④产生单位向处置单位转移危险废物时，交接数量必须与生态环境主管部门批准的转移量相符。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危险废物贮存设施退役前应妥善处理处置贮存设施内的危险废物，并对贮存设施进行清理，并依据《中华人民共和国土壤污染防治法》等相关法律法规加强场地环境风险防控。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7、土壤污染防治措施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（1）为保护工程区土壤，采取以下防治措施：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①源头控制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设备检修期间，采用专用收集罐收集废油；油罐下设防渗；泥浆材料区铺设土工布；钻井期间泥浆、岩屑不落地；采用凝析油罐回收原油；施工车带罐作业，实现落地油100%回收。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②过程防控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增强施工人员环保意识，禁止随意倾倒废弃物；加强日常管理，并制定完善的作业制度，如定期检查储罐罐体、施工车带罐作业等，避免形成落地油；发生土壤污染事件，及时对受污染土壤进行收集处理。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③跟踪监测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本工程可不制定跟踪监测计划，但在施工过程中应严格按照规章制度进行作业，避免发生土壤污染事件，施工结束后做到工完、料净、场地清，杜绝泥浆材料遗留现场。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（2）为保护工程区土壤，采取以下保护措施：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①应严格控制施工期临时占地面积，按设计及规划的施工范围进行施工作业，减少土壤扰动。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②施工机械及运输车辆应按规定的道路行驶，减少对土壤的碾压，减少碾压造成的土壤紧实度增加及养分流失。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③施工产生的建筑垃圾不得随意</w:t>
            </w:r>
            <w:r>
              <w:rPr>
                <w:rFonts w:hint="eastAsia" w:ascii="Times New Roman" w:cs="Times New Roman"/>
                <w:bCs/>
                <w:color w:val="auto"/>
                <w:sz w:val="24"/>
                <w:highlight w:val="none"/>
                <w:lang w:val="en-US" w:eastAsia="zh-CN"/>
              </w:rPr>
              <w:t>抛洒</w:t>
            </w:r>
            <w:r>
              <w:rPr>
                <w:rFonts w:hint="default" w:ascii="Times New Roman" w:hAnsi="Times New Roman" w:eastAsia="宋体" w:cs="Times New Roman"/>
                <w:bCs/>
                <w:color w:val="auto"/>
                <w:sz w:val="24"/>
                <w:highlight w:val="none"/>
                <w:lang w:val="en-US" w:eastAsia="zh-CN"/>
              </w:rPr>
              <w:t>，应集中收集并及时清运，防止污染物进入土壤环境造成污染。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④确保</w:t>
            </w:r>
            <w:r>
              <w:rPr>
                <w:rFonts w:hint="eastAsia" w:ascii="Times New Roman" w:cs="Times New Roman"/>
                <w:bCs/>
                <w:color w:val="auto"/>
                <w:sz w:val="24"/>
                <w:highlight w:val="none"/>
                <w:lang w:val="en-US" w:eastAsia="zh-CN"/>
              </w:rPr>
              <w:t>各项</w:t>
            </w:r>
            <w:r>
              <w:rPr>
                <w:rFonts w:hint="default" w:ascii="Times New Roman" w:hAnsi="Times New Roman" w:eastAsia="宋体" w:cs="Times New Roman"/>
                <w:bCs/>
                <w:color w:val="auto"/>
                <w:sz w:val="24"/>
                <w:highlight w:val="none"/>
                <w:lang w:val="en-US" w:eastAsia="zh-CN"/>
              </w:rPr>
              <w:t>环保设施正常运行，污水进罐、落地油回收等，避免各种污染物对土壤环境的影响。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综上所述，正常情况下，钻井工程不会污染土壤环境，非正常情况下，采取有效措施后可减轻对土壤环境的影响。在做好源头控制、过程防控等措施的前提下，工程实施对土壤环境产生的影响可接受。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8、施工期环境风险防范措施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 风险防范措施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 w:val="0"/>
                <w:bCs w:val="0"/>
                <w:color w:val="auto"/>
                <w:sz w:val="24"/>
                <w:szCs w:val="21"/>
                <w:highlight w:val="none"/>
                <w:lang w:val="en-US" w:eastAsia="zh-CN"/>
              </w:rPr>
              <w:t>本项目环境风险主要为</w:t>
            </w:r>
            <w:r>
              <w:rPr>
                <w:rFonts w:hint="default" w:ascii="Times New Roman" w:hAnsi="Times New Roman" w:eastAsia="宋体" w:cs="Times New Roman"/>
                <w:b w:val="0"/>
                <w:bCs w:val="0"/>
                <w:color w:val="auto"/>
                <w:sz w:val="24"/>
                <w:szCs w:val="21"/>
                <w:highlight w:val="none"/>
              </w:rPr>
              <w:t>井喷</w:t>
            </w:r>
            <w:r>
              <w:rPr>
                <w:rFonts w:hint="default" w:ascii="Times New Roman" w:hAnsi="Times New Roman" w:eastAsia="宋体" w:cs="Times New Roman"/>
                <w:b w:val="0"/>
                <w:bCs w:val="0"/>
                <w:color w:val="auto"/>
                <w:sz w:val="24"/>
                <w:szCs w:val="21"/>
                <w:highlight w:val="none"/>
                <w:lang w:val="en-US" w:eastAsia="zh-CN"/>
              </w:rPr>
              <w:t>事故，</w:t>
            </w:r>
            <w:r>
              <w:rPr>
                <w:rFonts w:hint="default" w:ascii="Times New Roman" w:hAnsi="Times New Roman" w:eastAsia="宋体" w:cs="Times New Roman"/>
                <w:b w:val="0"/>
                <w:bCs w:val="0"/>
                <w:color w:val="auto"/>
                <w:sz w:val="24"/>
                <w:szCs w:val="21"/>
                <w:highlight w:val="none"/>
              </w:rPr>
              <w:t>钻井作业及安装放喷装置</w:t>
            </w:r>
            <w:r>
              <w:rPr>
                <w:rFonts w:hint="default" w:ascii="Times New Roman" w:hAnsi="Times New Roman" w:eastAsia="宋体" w:cs="Times New Roman"/>
                <w:b w:val="0"/>
                <w:bCs w:val="0"/>
                <w:color w:val="auto"/>
                <w:sz w:val="24"/>
                <w:szCs w:val="21"/>
                <w:highlight w:val="none"/>
                <w:lang w:val="en-US" w:eastAsia="zh-CN"/>
              </w:rPr>
              <w:t>过程中发生井喷事故可能性大，因此，井喷</w:t>
            </w:r>
            <w:r>
              <w:rPr>
                <w:rFonts w:hint="default" w:ascii="Times New Roman" w:hAnsi="Times New Roman" w:eastAsia="宋体" w:cs="Times New Roman"/>
                <w:b w:val="0"/>
                <w:bCs w:val="0"/>
                <w:color w:val="auto"/>
                <w:sz w:val="24"/>
                <w:szCs w:val="21"/>
                <w:highlight w:val="none"/>
              </w:rPr>
              <w:t>防范措施主要</w:t>
            </w:r>
            <w:r>
              <w:rPr>
                <w:rFonts w:hint="default" w:ascii="Times New Roman" w:hAnsi="Times New Roman" w:eastAsia="宋体" w:cs="Times New Roman"/>
                <w:b w:val="0"/>
                <w:bCs w:val="0"/>
                <w:color w:val="auto"/>
                <w:sz w:val="24"/>
                <w:szCs w:val="21"/>
                <w:highlight w:val="none"/>
                <w:lang w:val="en-US" w:eastAsia="zh-CN"/>
              </w:rPr>
              <w:t>从</w:t>
            </w:r>
            <w:r>
              <w:rPr>
                <w:rFonts w:hint="default" w:ascii="Times New Roman" w:hAnsi="Times New Roman" w:eastAsia="宋体" w:cs="Times New Roman"/>
                <w:b w:val="0"/>
                <w:bCs w:val="0"/>
                <w:color w:val="auto"/>
                <w:sz w:val="24"/>
                <w:szCs w:val="21"/>
                <w:highlight w:val="none"/>
              </w:rPr>
              <w:t>施工设计、钻井作业及安装放喷装置三个方面进行。</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8.1.1 施工设计中的防井喷措施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 w:val="0"/>
                <w:color w:val="auto"/>
                <w:sz w:val="24"/>
                <w:szCs w:val="21"/>
                <w:highlight w:val="none"/>
              </w:rPr>
            </w:pPr>
            <w:r>
              <w:rPr>
                <w:rFonts w:hint="default" w:ascii="Times New Roman" w:hAnsi="Times New Roman" w:eastAsia="宋体" w:cs="Times New Roman"/>
                <w:b w:val="0"/>
                <w:color w:val="auto"/>
                <w:sz w:val="24"/>
                <w:szCs w:val="21"/>
                <w:highlight w:val="none"/>
              </w:rPr>
              <w:t>根据井场的具体</w:t>
            </w:r>
            <w:r>
              <w:rPr>
                <w:rFonts w:hint="default" w:ascii="Times New Roman" w:hAnsi="Times New Roman" w:eastAsia="宋体" w:cs="Times New Roman"/>
                <w:b w:val="0"/>
                <w:color w:val="auto"/>
                <w:sz w:val="24"/>
                <w:szCs w:val="21"/>
                <w:highlight w:val="none"/>
                <w:lang w:val="en-US" w:eastAsia="zh-CN"/>
              </w:rPr>
              <w:t>分布</w:t>
            </w:r>
            <w:r>
              <w:rPr>
                <w:rFonts w:hint="default" w:ascii="Times New Roman" w:hAnsi="Times New Roman" w:eastAsia="宋体" w:cs="Times New Roman"/>
                <w:b w:val="0"/>
                <w:color w:val="auto"/>
                <w:sz w:val="24"/>
                <w:szCs w:val="21"/>
                <w:highlight w:val="none"/>
              </w:rPr>
              <w:t>情况，</w:t>
            </w:r>
            <w:r>
              <w:rPr>
                <w:rFonts w:hint="default" w:ascii="Times New Roman" w:hAnsi="Times New Roman" w:eastAsia="宋体" w:cs="Times New Roman"/>
                <w:b w:val="0"/>
                <w:color w:val="auto"/>
                <w:sz w:val="24"/>
                <w:szCs w:val="21"/>
                <w:highlight w:val="none"/>
                <w:lang w:val="en-US" w:eastAsia="zh-CN"/>
              </w:rPr>
              <w:t>为避免井喷事故发生，</w:t>
            </w:r>
            <w:r>
              <w:rPr>
                <w:rFonts w:hint="default" w:ascii="Times New Roman" w:hAnsi="Times New Roman" w:eastAsia="宋体" w:cs="Times New Roman"/>
                <w:b w:val="0"/>
                <w:color w:val="auto"/>
                <w:sz w:val="24"/>
                <w:szCs w:val="21"/>
                <w:highlight w:val="none"/>
              </w:rPr>
              <w:t>在施工设计中应做好防井喷措施：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b w:val="0"/>
                <w:color w:val="auto"/>
                <w:kern w:val="2"/>
                <w:sz w:val="24"/>
                <w:szCs w:val="21"/>
                <w:highlight w:val="none"/>
                <w:lang w:val="en-US" w:eastAsia="zh-CN"/>
              </w:rPr>
            </w:pPr>
            <w:r>
              <w:rPr>
                <w:rFonts w:hint="default" w:ascii="Times New Roman" w:hAnsi="Times New Roman" w:eastAsia="宋体" w:cs="Times New Roman"/>
                <w:b w:val="0"/>
                <w:color w:val="auto"/>
                <w:kern w:val="2"/>
                <w:sz w:val="24"/>
                <w:szCs w:val="21"/>
                <w:highlight w:val="none"/>
                <w:lang w:val="en-US" w:eastAsia="zh-CN"/>
              </w:rPr>
              <w:t>（1）</w:t>
            </w:r>
            <w:r>
              <w:rPr>
                <w:rFonts w:hint="default" w:ascii="Times New Roman" w:hAnsi="Times New Roman" w:eastAsia="宋体" w:cs="Times New Roman"/>
                <w:color w:val="auto"/>
                <w:sz w:val="24"/>
                <w:szCs w:val="24"/>
              </w:rPr>
              <w:t>项目总平面布置中，应充分考虑总体布置的安全性，生产装置区内外道路保持通畅，便于消防及安全疏散。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（2）选择合理的压井液。测试放喷施工应参照钻穿油、气层时钻井泥浆性能，认真选择合理的压井液，避免因压井液性能达不到施工要求而造成井喷污染；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（3）选择合理的射孔方式；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（4）规定上提钻具的速度。井内下有大直径工具（工具外径超过油层套管内径80%以上）的井，严禁高速起钻，防止因高速起钻引起抽汲作用造成井喷事故；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（5）对放喷装置的配备要有明确要求；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（6）选择使用有利于防止和控制井喷的井下管柱和工具，以适应突发事故的处理和补救措施的需要。</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8.1.2 钻井作业中的井喷防范措施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施工单位应严格执行石油天然气钻井HSE管理体系及井控技术标准和规范中的相关规定，并针对工程情况制定具体的可操作的实施方案，主要包括：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（1）开钻前向全队职工、钻井现场的所有工作人员进行地质、工程、钻井液和井控装备等方面的技术交底，并提出具体要求。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（2）严格执行井控工作管理制度，落实溢流监测岗位、关井操作岗位和钻井队干部24h值班制度，井控准备工作及应急预案必须经验收合格后，方可钻开油气层。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（3）气层钻进中，必须在近钻头位置安装钻具回压阀，同时钻台上配备一只与钻具尺寸相符的回压阀，且备有相应的抢接工具，在大门坡道上准备一根放喷单根（钻杆下部有与钻铤扣相符的配合接头）。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（4）按班组进行放喷演习，并达到规定要求。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5）严格落实坐岗制度，无论钻进还是起下钻，或其它辅助作业，钻井班落实专人坐岗观察钻井液池液面变化和钻井液出口情况，录井人员除了在仪表上观察外，还对钻井液池液面变化和钻井液出口进行定时观察，定时测量进出口钻井液性能，两个岗都必须做好真实准确记录，值班干部必须对上述两个岗位工作情况进行定时和不定时检查，并当班签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（6）认真搞好地层压力的监测工作，发现地层压力异常、溢流、井涌等情况，应及时关井并调整钻井液密度，同时上报有关部门。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（7）严格控制起下钻速度，起钻必须按规定灌满钻井液。</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（8）钻井中遇到钻速突然加快、放空、井漏、气测及油气水显示异常等情况，应立即停钻观察，如发生溢流要按规定及时发出报警信号，并按正确的关井程序及时关井，关井求压后迅速实施压井作业。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（9）发生溢流后，根据关井压力，尽快在井口、地层和套管安全条件下压井，待井内平稳后才恢复钻进。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（10）关井压力不得超过井口装置的工作压力、套管抗内压强度的80%和地层破裂压力。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
                <w:bCs w:val="0"/>
                <w:color w:val="auto"/>
                <w:sz w:val="24"/>
                <w:highlight w:val="none"/>
                <w:lang w:val="en-US" w:eastAsia="zh-CN"/>
              </w:rPr>
              <w:t>8.1.3安装放喷装置防井喷措施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1</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以半封和全封防喷器为主体的防喷装置，包括高压闸门、自封、四通、套管头、过渡法兰等；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2</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以节流管汇为主体的井控管汇，包括放喷管线、压井管线等；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3</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井下管柱防喷工具，包括钻具、防喷单流阀等；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4</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具有净化、加大密度、原料储备及自动调配、自动灌装等功能的压井液储备系统；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5</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防止井喷失控的专用设备、设施，包括高压自封、不压井起下管柱装置等。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8.1.4硫化氢泄漏的监控与预防措施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1）硫化氢监测与安全防护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硫化氢监测与安全防护应按照《硫化氢环境人身防护规范》（SY/T 6277-2017）和《硫化氢环境天然气采集与处理安全规范》（SY/T6137-2024）要求进行。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①作业人员巡检时应携带硫化氢监测仪（第1级预警阈值应设置为15mg/m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（或10ppm），第2级报警阈值应设置为30mg/m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（或20ppm），进入上述区域应注意是否有报警信号。</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②作业人员在检修和抢险作业时应</w:t>
            </w:r>
            <w:r>
              <w:rPr>
                <w:rFonts w:hint="default" w:ascii="Times New Roman" w:hAnsi="Times New Roman" w:eastAsia="宋体" w:cs="Times New Roman"/>
                <w:color w:val="auto"/>
                <w:kern w:val="21"/>
                <w:sz w:val="24"/>
                <w:szCs w:val="24"/>
                <w:highlight w:val="none"/>
                <w:lang w:eastAsia="zh-CN"/>
              </w:rPr>
              <w:t>携带</w:t>
            </w:r>
            <w:r>
              <w:rPr>
                <w:rFonts w:hint="default" w:ascii="Times New Roman" w:hAnsi="Times New Roman" w:eastAsia="宋体" w:cs="Times New Roman"/>
                <w:color w:val="auto"/>
                <w:kern w:val="21"/>
                <w:sz w:val="24"/>
                <w:szCs w:val="24"/>
                <w:highlight w:val="none"/>
              </w:rPr>
              <w:t>硫化氢监测仪和正压式空气呼吸器。</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③当监测到空气中硫化氢的浓度达到15mg/m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（或10ppm）时，作业人员应检查泄漏点，准备防护用具实施应急程序。</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④当监测到空气中硫化氢的浓度达到30mg/m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（或20ppm）时，作业人员应该迅速打开排风扇，疏散人员。作业人员应戴上防护用具，进入紧急状态，立即实施应急方案。</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⑤当监测到空气中硫化氢浓度达到150mg/m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（或100ppm）时，应组织周边危险区域内的作业人员有秩序地迅速向上风向撤离到安全区域。</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2）预防措施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在含硫化氢环境中的作业人员上岗前都应接受H</w:t>
            </w:r>
            <w:r>
              <w:rPr>
                <w:rFonts w:hint="default" w:ascii="Times New Roman" w:hAnsi="Times New Roman" w:eastAsia="宋体" w:cs="Times New Roman"/>
                <w:color w:val="auto"/>
                <w:kern w:val="21"/>
                <w:sz w:val="24"/>
                <w:szCs w:val="24"/>
                <w:highlight w:val="none"/>
                <w:vertAlign w:val="subscript"/>
              </w:rPr>
              <w:t>2</w:t>
            </w:r>
            <w:r>
              <w:rPr>
                <w:rFonts w:hint="default" w:ascii="Times New Roman" w:hAnsi="Times New Roman" w:eastAsia="宋体" w:cs="Times New Roman"/>
                <w:color w:val="auto"/>
                <w:kern w:val="21"/>
                <w:sz w:val="24"/>
                <w:szCs w:val="24"/>
                <w:highlight w:val="none"/>
              </w:rPr>
              <w:t>S危害及人身防护措施的培训，经考核合格后方能持证上岗。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①为避免无风和微风情况下硫化氢的积聚，可以使用防爆通风设备将有毒气体吹往期望的方向。</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②应特别注意低洼的工作区域，由于较重的硫化氢或二氧化硫在这些地点的沉积，可能会达到有害的浓度。</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③当人员在达到硫化氢危险临界浓度〔150mg/m</w:t>
            </w:r>
            <w:r>
              <w:rPr>
                <w:rFonts w:hint="default" w:ascii="Times New Roman" w:hAnsi="Times New Roman" w:eastAsia="宋体" w:cs="Times New Roman"/>
                <w:color w:val="auto"/>
                <w:kern w:val="21"/>
                <w:sz w:val="24"/>
                <w:szCs w:val="24"/>
                <w:highlight w:val="none"/>
                <w:vertAlign w:val="superscript"/>
                <w:lang w:val="en-US" w:eastAsia="zh-CN"/>
              </w:rPr>
              <w:t>3</w:t>
            </w:r>
            <w:r>
              <w:rPr>
                <w:rFonts w:hint="eastAsia" w:ascii="Times New Roman" w:eastAsia="宋体" w:cs="Times New Roman"/>
                <w:color w:val="auto"/>
                <w:kern w:val="21"/>
                <w:sz w:val="24"/>
                <w:szCs w:val="24"/>
                <w:highlight w:val="none"/>
                <w:lang w:val="en-US" w:eastAsia="zh-CN"/>
              </w:rPr>
              <w:t>（</w:t>
            </w:r>
            <w:r>
              <w:rPr>
                <w:rFonts w:hint="default" w:ascii="Times New Roman" w:hAnsi="Times New Roman" w:eastAsia="宋体" w:cs="Times New Roman"/>
                <w:color w:val="auto"/>
                <w:kern w:val="21"/>
                <w:sz w:val="24"/>
                <w:szCs w:val="24"/>
                <w:highlight w:val="none"/>
                <w:lang w:val="en-US" w:eastAsia="zh-CN"/>
              </w:rPr>
              <w:t>100ppm</w:t>
            </w:r>
            <w:r>
              <w:rPr>
                <w:rFonts w:hint="eastAsia" w:ascii="Times New Roman" w:eastAsia="宋体" w:cs="Times New Roman"/>
                <w:color w:val="auto"/>
                <w:kern w:val="21"/>
                <w:sz w:val="24"/>
                <w:szCs w:val="24"/>
                <w:highlight w:val="none"/>
                <w:lang w:val="en-US" w:eastAsia="zh-CN"/>
              </w:rPr>
              <w:t>）</w:t>
            </w:r>
            <w:r>
              <w:rPr>
                <w:rFonts w:hint="default" w:ascii="Times New Roman" w:hAnsi="Times New Roman" w:eastAsia="宋体" w:cs="Times New Roman"/>
                <w:color w:val="auto"/>
                <w:kern w:val="21"/>
                <w:sz w:val="24"/>
                <w:szCs w:val="24"/>
                <w:highlight w:val="none"/>
                <w:lang w:val="en-US" w:eastAsia="zh-CN"/>
              </w:rPr>
              <w:t>〕的大气环境中执行任务时，应有接受过救护技术培训的值班救护人员，同时应备有必要的救护设备，包括适用的呼吸器具。</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kern w:val="21"/>
                <w:sz w:val="24"/>
                <w:szCs w:val="24"/>
                <w:highlight w:val="none"/>
                <w:lang w:val="en-US" w:eastAsia="zh-CN" w:bidi="ar-SA"/>
              </w:rPr>
            </w:pPr>
            <w:r>
              <w:rPr>
                <w:rFonts w:hint="default" w:ascii="Times New Roman" w:hAnsi="Times New Roman" w:eastAsia="宋体" w:cs="Times New Roman"/>
                <w:color w:val="auto"/>
                <w:spacing w:val="0"/>
                <w:kern w:val="21"/>
                <w:sz w:val="24"/>
                <w:szCs w:val="24"/>
                <w:highlight w:val="none"/>
                <w:lang w:val="en-US" w:eastAsia="zh-CN" w:bidi="ar-SA"/>
              </w:rPr>
              <w:t>④在井场入口、临时安全区、钻台上、循环系统、防喷器原场控制台、放喷点火口等处应设置风向标。</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kern w:val="21"/>
                <w:sz w:val="24"/>
                <w:szCs w:val="24"/>
                <w:highlight w:val="none"/>
                <w:lang w:val="en-US" w:eastAsia="zh-CN" w:bidi="ar-SA"/>
              </w:rPr>
            </w:pPr>
            <w:r>
              <w:rPr>
                <w:rFonts w:hint="default" w:ascii="Times New Roman" w:hAnsi="Times New Roman" w:eastAsia="宋体" w:cs="Times New Roman"/>
                <w:color w:val="auto"/>
                <w:spacing w:val="0"/>
                <w:kern w:val="21"/>
                <w:sz w:val="24"/>
                <w:szCs w:val="24"/>
                <w:highlight w:val="none"/>
                <w:lang w:val="en-US" w:eastAsia="zh-CN" w:bidi="ar-SA"/>
              </w:rPr>
              <w:t>⑤当空气中硫化氢含量超过安全临界浓度的污染区进行必要的作业时，应做好人员安全防护工作。</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kern w:val="21"/>
                <w:sz w:val="24"/>
                <w:szCs w:val="24"/>
                <w:highlight w:val="none"/>
                <w:lang w:val="en-US" w:eastAsia="zh-CN" w:bidi="ar-SA"/>
              </w:rPr>
            </w:pPr>
            <w:r>
              <w:rPr>
                <w:rFonts w:hint="default" w:ascii="Times New Roman" w:hAnsi="Times New Roman" w:eastAsia="宋体" w:cs="Times New Roman"/>
                <w:color w:val="auto"/>
                <w:spacing w:val="0"/>
                <w:kern w:val="21"/>
                <w:sz w:val="24"/>
                <w:szCs w:val="24"/>
                <w:highlight w:val="none"/>
                <w:lang w:val="en-US" w:eastAsia="zh-CN" w:bidi="ar-SA"/>
              </w:rPr>
              <w:t>⑥钻井队在现场条件不能实施井控作业而放喷时，通过放喷管线放出的含硫油气应实施点火。</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spacing w:val="0"/>
                <w:kern w:val="21"/>
                <w:sz w:val="24"/>
                <w:szCs w:val="24"/>
                <w:highlight w:val="none"/>
                <w:lang w:val="en-US" w:eastAsia="zh-CN" w:bidi="ar-SA"/>
              </w:rPr>
              <w:t>⑦钻井队应制定防喷、防硫化氢的应急处置程序，并组织现场作业队伍开展演练。</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bCs/>
                <w:color w:val="auto"/>
                <w:kern w:val="21"/>
                <w:sz w:val="24"/>
                <w:szCs w:val="21"/>
                <w:highlight w:val="none"/>
                <w:lang w:val="en-US" w:eastAsia="zh-CN"/>
              </w:rPr>
            </w:pPr>
            <w:r>
              <w:rPr>
                <w:rFonts w:hint="default" w:ascii="Times New Roman" w:hAnsi="Times New Roman" w:eastAsia="宋体" w:cs="Times New Roman"/>
                <w:b/>
                <w:bCs/>
                <w:color w:val="auto"/>
                <w:kern w:val="21"/>
                <w:sz w:val="24"/>
                <w:szCs w:val="21"/>
                <w:highlight w:val="none"/>
                <w:lang w:val="en-US" w:eastAsia="zh-CN"/>
              </w:rPr>
              <w:t>8.1.5防腐防渗措施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b w:val="0"/>
                <w:color w:val="auto"/>
                <w:kern w:val="21"/>
                <w:sz w:val="24"/>
                <w:szCs w:val="21"/>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从工程设计上已经考虑了防止污水池泄漏的措施，在实际工程中，污水池的建设应严格按照设计进行建设。主要措施为：</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b w:val="0"/>
                <w:color w:val="auto"/>
                <w:kern w:val="21"/>
                <w:sz w:val="24"/>
                <w:szCs w:val="21"/>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①污水池避开不良地质和岩土松软的地段。设计时留有一定的多余容积。</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②污水池采用整体钢结构池，确保不发生渗漏。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 其他环境风险防范措施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8.2.1油品储罐泄漏事故防范措施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严格按《危险化学品安全管理条例》的要求，加强对危险化学品的管理；制定危险化学品安全操作规程，要求操作人员严格按操作规程作业；对从事危险化学品作业人员定期进行安全培训教育；经常性对危险化学品作业场所进行安全检查。设立专用存放区，使其符合储存危险化学品的相关条件（如防晒、防潮、通风、防雷、防静电等）；建立健全安全规程及值勤制度，设置通信、报警装置，确保其处于完好状态；对储存危险化学品的容器，需经有关检验部门检验合格，并设置明显的标识及警示牌；对使用危险化学品的名称、数量进行严格登记；凡储存、使用危险化学品的岗位，都应配置合格的防毒、消防器材，并确保其处于完好状态；所有进入存放、使用危险化学品区域的人员，都必须严格遵守《危险化学品管理制度》</w:t>
            </w:r>
            <w:r>
              <w:rPr>
                <w:rFonts w:hint="default" w:ascii="Times New Roman" w:hAnsi="Times New Roman" w:eastAsia="宋体" w:cs="Times New Roman"/>
                <w:color w:val="auto"/>
                <w:kern w:val="21"/>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8.2.2 放喷池容积及防渗</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工程建设时严格按设计要求建设放喷池（100m</w:t>
            </w:r>
            <w:r>
              <w:rPr>
                <w:rFonts w:hint="default" w:ascii="Times New Roman" w:hAnsi="Times New Roman" w:eastAsia="宋体" w:cs="Times New Roman"/>
                <w:color w:val="auto"/>
                <w:kern w:val="21"/>
                <w:sz w:val="24"/>
                <w:szCs w:val="24"/>
                <w:highlight w:val="none"/>
                <w:vertAlign w:val="superscript"/>
                <w:lang w:val="en-US" w:eastAsia="zh-CN"/>
              </w:rPr>
              <w:t>3</w:t>
            </w:r>
            <w:r>
              <w:rPr>
                <w:rFonts w:hint="default" w:ascii="Times New Roman" w:hAnsi="Times New Roman" w:eastAsia="宋体" w:cs="Times New Roman"/>
                <w:color w:val="auto"/>
                <w:kern w:val="21"/>
                <w:sz w:val="24"/>
                <w:szCs w:val="24"/>
                <w:highlight w:val="none"/>
                <w:lang w:val="en-US" w:eastAsia="zh-CN"/>
              </w:rPr>
              <w:t>），工程设计上已经考虑了防止放喷池泄漏的措施，在实际工程中，放喷池的建设应严格按照设计进行建设。主要措施为：</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（1）放喷池避开不良地质和岩土松软的地段。</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（2）放喷池采用“整体型钢板池”。</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（3）放喷池设2个放喷池，每个100m</w:t>
            </w:r>
            <w:r>
              <w:rPr>
                <w:rFonts w:hint="default" w:ascii="Times New Roman" w:hAnsi="Times New Roman" w:eastAsia="宋体" w:cs="Times New Roman"/>
                <w:color w:val="auto"/>
                <w:kern w:val="21"/>
                <w:sz w:val="24"/>
                <w:szCs w:val="24"/>
                <w:highlight w:val="none"/>
                <w:vertAlign w:val="superscript"/>
                <w:lang w:val="en-US" w:eastAsia="zh-CN"/>
              </w:rPr>
              <w:t>3</w:t>
            </w:r>
            <w:r>
              <w:rPr>
                <w:rFonts w:hint="default" w:ascii="Times New Roman" w:hAnsi="Times New Roman" w:eastAsia="宋体" w:cs="Times New Roman"/>
                <w:color w:val="auto"/>
                <w:kern w:val="21"/>
                <w:sz w:val="24"/>
                <w:szCs w:val="24"/>
                <w:highlight w:val="none"/>
                <w:lang w:val="en-US" w:eastAsia="zh-CN"/>
              </w:rPr>
              <w:t>，对井喷事故液量的收集能力为200m</w:t>
            </w:r>
            <w:r>
              <w:rPr>
                <w:rFonts w:hint="default" w:ascii="Times New Roman" w:hAnsi="Times New Roman" w:eastAsia="宋体" w:cs="Times New Roman"/>
                <w:color w:val="auto"/>
                <w:kern w:val="21"/>
                <w:sz w:val="24"/>
                <w:szCs w:val="24"/>
                <w:highlight w:val="none"/>
                <w:vertAlign w:val="superscript"/>
                <w:lang w:val="en-US" w:eastAsia="zh-CN"/>
              </w:rPr>
              <w:t>3</w:t>
            </w:r>
            <w:r>
              <w:rPr>
                <w:rFonts w:hint="default" w:ascii="Times New Roman" w:hAnsi="Times New Roman" w:eastAsia="宋体" w:cs="Times New Roman"/>
                <w:color w:val="auto"/>
                <w:kern w:val="21"/>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8.2.3 防柴油外溢措施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钻井期间使用柴油发电机，柴油储存在油罐中，为防止柴油罐泄漏污染土壤和地下水，环评要求采取以下措施：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（1）加强油罐的维护保养，避免柴油泄漏事件的发生。</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（2）在油罐底部采用防渗膜防渗，如发生油品泄漏，应及时把污染的部分收集在铁桶中，施工结束交由有资质单位处理。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8.3 应急预案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8.3.1 应急预案编制内容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（1）应急预案编制内容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工程在施工过程中应结合工程实际情况及《突发事件应急预案管理办法》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国办发﹝2013﹞101号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、《企业事业单位突发环境事件应急预案备案管理办法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试行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环发﹝2015﹞4号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、《新疆维吾尔自治区突发环境事件应急预案编制导则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试行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》中的要求，编制环境应急预案，其主要内容包括：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①说明工程所处的地理位置及周围情况</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占地面积、人员分布情况、气象状况等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、生产规模与现状、道路及运输情况等内容。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②明确危险源的数量及分布。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③确定应急救援指挥机构的设置和职责。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④准备必要装备并确定通信联络和联络方式。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⑤组织应急救援</w:t>
            </w:r>
            <w:r>
              <w:rPr>
                <w:rFonts w:hint="default" w:ascii="Times New Roman" w:hAnsi="Times New Roman" w:eastAsia="宋体" w:cs="Times New Roman"/>
                <w:color w:val="auto"/>
                <w:sz w:val="24"/>
                <w:szCs w:val="24"/>
                <w:highlight w:val="none"/>
                <w:lang w:eastAsia="zh-CN"/>
              </w:rPr>
              <w:t>专业队伍</w:t>
            </w:r>
            <w:r>
              <w:rPr>
                <w:rFonts w:hint="default" w:ascii="Times New Roman" w:hAnsi="Times New Roman" w:eastAsia="宋体" w:cs="Times New Roman"/>
                <w:color w:val="auto"/>
                <w:sz w:val="24"/>
                <w:szCs w:val="24"/>
                <w:highlight w:val="none"/>
              </w:rPr>
              <w:t>，明确他们的任务，并经常进行训练和演习。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⑥事故发生后，应立即与当地环境监测站取得联系，并对事故现场进行监测。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⑦制定重大事故的应急处置方案和救援程序。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⑧发生事故后，抢险人员应根据事先拟定的方案，在做好个人防护的技术基础上，以最快的速度及时堵漏排险、消灭事故。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⑨发生事故后，对受伤人员进行及时有效的现场医疗救护。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⑩发生重大事故可能对工作人员构成威胁时，必须在指挥部统一指挥下，紧急疏散与事故应急救援无关的人员，疏散方向、距离和集中地点，必须根据不同事故，</w:t>
            </w:r>
            <w:r>
              <w:rPr>
                <w:rFonts w:hint="eastAsia" w:ascii="Times New Roman" w:cs="Times New Roman"/>
                <w:color w:val="auto"/>
                <w:sz w:val="24"/>
                <w:szCs w:val="24"/>
                <w:highlight w:val="none"/>
                <w:lang w:eastAsia="zh-CN"/>
              </w:rPr>
              <w:t>作出</w:t>
            </w:r>
            <w:r>
              <w:rPr>
                <w:rFonts w:hint="default" w:ascii="Times New Roman" w:hAnsi="Times New Roman" w:eastAsia="宋体" w:cs="Times New Roman"/>
                <w:color w:val="auto"/>
                <w:sz w:val="24"/>
                <w:szCs w:val="24"/>
                <w:highlight w:val="none"/>
              </w:rPr>
              <w:t>具体规定。总的原则是疏散安全点处于当时的上风向。对爆炸、热辐射可能威胁到的工作人员，指挥部应立即给予引导，迅速撤离到安全地点。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⑪一旦发生重大事故，建设单位抢险救援力量不足时，指挥部必须立即向上级通报，必要时请求</w:t>
            </w:r>
            <w:r>
              <w:rPr>
                <w:rFonts w:hint="default" w:ascii="Times New Roman" w:hAnsi="Times New Roman" w:eastAsia="宋体" w:cs="Times New Roman"/>
                <w:color w:val="auto"/>
                <w:sz w:val="24"/>
                <w:szCs w:val="24"/>
                <w:highlight w:val="none"/>
                <w:lang w:eastAsia="zh-CN"/>
              </w:rPr>
              <w:t>社会力量帮扶</w:t>
            </w:r>
            <w:r>
              <w:rPr>
                <w:rFonts w:hint="default" w:ascii="Times New Roman" w:hAnsi="Times New Roman" w:eastAsia="宋体" w:cs="Times New Roman"/>
                <w:color w:val="auto"/>
                <w:sz w:val="24"/>
                <w:szCs w:val="24"/>
                <w:highlight w:val="none"/>
              </w:rPr>
              <w:t>。社会救援队伍进入现场时，指挥部应责成专人联络，引导并告知安全注意事项。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⑫确定事故应急救援工作结束，通知本单位及相关部门，事故危险已解除。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⑬对应急救援人员进行培训，加强应急响应知识的宣传。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⑭明确演练计划。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outlineLvl w:val="9"/>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表5-</w:t>
            </w:r>
            <w:r>
              <w:rPr>
                <w:rFonts w:hint="default" w:ascii="Times New Roman" w:hAnsi="Times New Roman" w:eastAsia="宋体" w:cs="Times New Roman"/>
                <w:b/>
                <w:bCs/>
                <w:color w:val="auto"/>
                <w:kern w:val="0"/>
                <w:sz w:val="24"/>
                <w:szCs w:val="24"/>
                <w:highlight w:val="none"/>
                <w:lang w:val="en-US" w:eastAsia="zh-CN"/>
              </w:rPr>
              <w:t xml:space="preserve">2    </w:t>
            </w:r>
            <w:r>
              <w:rPr>
                <w:rFonts w:hint="default" w:ascii="Times New Roman" w:hAnsi="Times New Roman" w:eastAsia="宋体" w:cs="Times New Roman"/>
                <w:b/>
                <w:bCs/>
                <w:color w:val="auto"/>
                <w:kern w:val="0"/>
                <w:sz w:val="24"/>
                <w:szCs w:val="24"/>
                <w:highlight w:val="none"/>
              </w:rPr>
              <w:t>应急预案主要内容一览表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1119"/>
              <w:gridCol w:w="6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项目</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应急计划区</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储罐、井口、管线等。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应急组织机构、人员</w:t>
                  </w:r>
                </w:p>
              </w:tc>
              <w:tc>
                <w:tcPr>
                  <w:tcW w:w="5880" w:type="dxa"/>
                  <w:shd w:val="clear" w:color="auto" w:fill="auto"/>
                  <w:vAlign w:val="top"/>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实施三级应急</w:t>
                  </w:r>
                  <w:r>
                    <w:rPr>
                      <w:rFonts w:hint="default" w:ascii="Times New Roman" w:hAnsi="Times New Roman" w:eastAsia="宋体" w:cs="Times New Roman"/>
                      <w:color w:val="auto"/>
                      <w:kern w:val="0"/>
                      <w:sz w:val="21"/>
                      <w:szCs w:val="21"/>
                      <w:highlight w:val="none"/>
                      <w:lang w:eastAsia="zh-CN"/>
                    </w:rPr>
                    <w:t>组织</w:t>
                  </w:r>
                  <w:r>
                    <w:rPr>
                      <w:rFonts w:hint="default" w:ascii="Times New Roman" w:hAnsi="Times New Roman" w:eastAsia="宋体" w:cs="Times New Roman"/>
                      <w:color w:val="auto"/>
                      <w:kern w:val="0"/>
                      <w:sz w:val="21"/>
                      <w:szCs w:val="21"/>
                      <w:highlight w:val="none"/>
                    </w:rPr>
                    <w:t>机构，各级别主要负责人为应急计划、协调第一人，应急人员必须为培训上岗熟练工；区域应急组织结构由当地政府、相关行业专家、卫生安全相关单位组成，并由当地政府进行统一调度。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预案分级响应条件</w:t>
                  </w:r>
                </w:p>
              </w:tc>
              <w:tc>
                <w:tcPr>
                  <w:tcW w:w="5880" w:type="dxa"/>
                  <w:shd w:val="clear" w:color="auto" w:fill="auto"/>
                  <w:vAlign w:val="top"/>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根据事故的严重程度制定相应级别的应急预案，以及适合相应情况的处理措施。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应急救援</w:t>
                  </w:r>
                </w:p>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保障</w:t>
                  </w:r>
                </w:p>
              </w:tc>
              <w:tc>
                <w:tcPr>
                  <w:tcW w:w="5880" w:type="dxa"/>
                  <w:shd w:val="clear" w:color="auto" w:fill="auto"/>
                  <w:vAlign w:val="top"/>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应急设施，设备与器材等：井场配备甲烷、H</w:t>
                  </w:r>
                  <w:r>
                    <w:rPr>
                      <w:rFonts w:hint="default" w:ascii="Times New Roman" w:hAnsi="Times New Roman" w:eastAsia="宋体" w:cs="Times New Roman"/>
                      <w:color w:val="auto"/>
                      <w:kern w:val="0"/>
                      <w:sz w:val="21"/>
                      <w:szCs w:val="21"/>
                      <w:highlight w:val="none"/>
                      <w:vertAlign w:val="subscript"/>
                    </w:rPr>
                    <w:t>2</w:t>
                  </w:r>
                  <w:r>
                    <w:rPr>
                      <w:rFonts w:hint="default" w:ascii="Times New Roman" w:hAnsi="Times New Roman" w:eastAsia="宋体" w:cs="Times New Roman"/>
                      <w:color w:val="auto"/>
                      <w:kern w:val="0"/>
                      <w:sz w:val="21"/>
                      <w:szCs w:val="21"/>
                      <w:highlight w:val="none"/>
                    </w:rPr>
                    <w:t>S测试、防毒、医疗、消防等应急设施，同时钻开气层前通知医疗、消防等方面</w:t>
                  </w:r>
                  <w:r>
                    <w:rPr>
                      <w:rFonts w:hint="default" w:ascii="Times New Roman" w:hAnsi="Times New Roman" w:eastAsia="宋体" w:cs="Times New Roman"/>
                      <w:color w:val="auto"/>
                      <w:kern w:val="0"/>
                      <w:sz w:val="21"/>
                      <w:szCs w:val="21"/>
                      <w:highlight w:val="none"/>
                      <w:lang w:eastAsia="zh-CN"/>
                    </w:rPr>
                    <w:t>救援</w:t>
                  </w:r>
                  <w:r>
                    <w:rPr>
                      <w:rFonts w:hint="default" w:ascii="Times New Roman" w:hAnsi="Times New Roman" w:eastAsia="宋体" w:cs="Times New Roman"/>
                      <w:color w:val="auto"/>
                      <w:kern w:val="0"/>
                      <w:sz w:val="21"/>
                      <w:szCs w:val="21"/>
                      <w:highlight w:val="none"/>
                    </w:rPr>
                    <w:t>力量及钻井队主管部门应急救援单位。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报警、通讯联络方式</w:t>
                  </w:r>
                </w:p>
              </w:tc>
              <w:tc>
                <w:tcPr>
                  <w:tcW w:w="5880" w:type="dxa"/>
                  <w:shd w:val="clear" w:color="auto" w:fill="auto"/>
                  <w:vAlign w:val="top"/>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规定应急状态下的报警通讯方式、通知方式和交通保障、管制：协调井队通过广播系统和电话通知，至少在1个小组设立2个电话联络点，小组通知人员指定人员负责通知本小组内的</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kern w:val="0"/>
                      <w:sz w:val="21"/>
                      <w:szCs w:val="21"/>
                      <w:highlight w:val="none"/>
                    </w:rPr>
                    <w:t>，并电话通知当地交警队负责交通保障及管制，不允许非救援车辆进入井口周边区域。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应急环境监测、抢险、救援及控制措施</w:t>
                  </w:r>
                </w:p>
              </w:tc>
              <w:tc>
                <w:tcPr>
                  <w:tcW w:w="588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环境应急监测可组织协调当地环境监测中心站监测，抢险、救助组织协调当地消防队、医院和钻井主管部门的应急队伍。控制措施主要由钻井队和其管理部门等</w:t>
                  </w:r>
                  <w:r>
                    <w:rPr>
                      <w:rFonts w:hint="eastAsia" w:ascii="Times New Roman" w:cs="Times New Roman"/>
                      <w:color w:val="auto"/>
                      <w:sz w:val="21"/>
                      <w:szCs w:val="21"/>
                      <w:highlight w:val="none"/>
                      <w:lang w:eastAsia="zh-CN"/>
                    </w:rPr>
                    <w:t>协商</w:t>
                  </w:r>
                  <w:r>
                    <w:rPr>
                      <w:rFonts w:hint="default" w:ascii="Times New Roman" w:hAnsi="Times New Roman" w:eastAsia="宋体" w:cs="Times New Roman"/>
                      <w:color w:val="auto"/>
                      <w:sz w:val="21"/>
                      <w:szCs w:val="21"/>
                      <w:highlight w:val="none"/>
                    </w:rPr>
                    <w:t>控制。</w:t>
                  </w:r>
                </w:p>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井喷失控的关键控制措施：应立即组织撤离井口周边500m的工作人员，同时保证井喷失控在5min内点火井口燃烧。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应急检测、防护措施、清除泄漏措施和器材</w:t>
                  </w:r>
                </w:p>
              </w:tc>
              <w:tc>
                <w:tcPr>
                  <w:tcW w:w="588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事故现场、油井邻近区域、控制防火区域，控制和清除污染措施及相应设备的数量、使用方法、使用人员。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人员紧急撤离、疏散，应急剂量控制、撤离组织计划</w:t>
                  </w:r>
                </w:p>
              </w:tc>
              <w:tc>
                <w:tcPr>
                  <w:tcW w:w="588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pacing w:val="-4"/>
                      <w:kern w:val="0"/>
                      <w:sz w:val="21"/>
                      <w:szCs w:val="21"/>
                      <w:highlight w:val="none"/>
                    </w:rPr>
                  </w:pPr>
                  <w:r>
                    <w:rPr>
                      <w:rFonts w:hint="default" w:ascii="Times New Roman" w:hAnsi="Times New Roman" w:eastAsia="宋体" w:cs="Times New Roman"/>
                      <w:color w:val="auto"/>
                      <w:spacing w:val="-4"/>
                      <w:kern w:val="0"/>
                      <w:sz w:val="21"/>
                      <w:szCs w:val="21"/>
                      <w:highlight w:val="none"/>
                    </w:rPr>
                    <w:t>紧急撤离区：井口附近的居民，撤离路线应根据钻井井场风险表，沿发生事故时的上</w:t>
                  </w:r>
                  <w:r>
                    <w:rPr>
                      <w:rFonts w:hint="default" w:ascii="Times New Roman" w:hAnsi="Times New Roman" w:eastAsia="宋体" w:cs="Times New Roman"/>
                      <w:color w:val="auto"/>
                      <w:spacing w:val="-4"/>
                      <w:kern w:val="0"/>
                      <w:sz w:val="21"/>
                      <w:szCs w:val="21"/>
                      <w:highlight w:val="none"/>
                      <w:lang w:eastAsia="zh-CN"/>
                    </w:rPr>
                    <w:t>风</w:t>
                  </w:r>
                  <w:r>
                    <w:rPr>
                      <w:rFonts w:hint="default" w:ascii="Times New Roman" w:hAnsi="Times New Roman" w:eastAsia="宋体" w:cs="Times New Roman"/>
                      <w:color w:val="auto"/>
                      <w:spacing w:val="-4"/>
                      <w:kern w:val="0"/>
                      <w:sz w:val="21"/>
                      <w:szCs w:val="21"/>
                      <w:highlight w:val="none"/>
                    </w:rPr>
                    <w:t>方向进行撤离。通过高音喇叭、广播、电话及时通知周边</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spacing w:val="-4"/>
                      <w:kern w:val="0"/>
                      <w:sz w:val="21"/>
                      <w:szCs w:val="21"/>
                      <w:highlight w:val="none"/>
                    </w:rPr>
                    <w:t>，保证全部及时通知撤离。</w:t>
                  </w:r>
                </w:p>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一般撤离区：一般撤离范围为井口周边2km，当发生井喷失控时，一般撤离范围可根据监测情况决定，在发生事故时应自发在应急组织机构的带领下及时撤离，撤离路线应根据钻井井场风向标，沿发生事故时的上风向进行撤离。应通过应急组织机构负责组织撤离，通过广播系统和电话系统通知，在通知撤离时由专业人员根据风向标说明撤离方向，可通过广播系统和电话系统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事故应急救援关闭程序与恢复措施</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规定应急状态终止程序事故现场善后处理，恢复措施邻近区域解除事故警戒及善后恢复措施①井喷失控得到控制，伤亡人员得到全部救援和安置，危险区域的</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kern w:val="0"/>
                      <w:sz w:val="21"/>
                      <w:szCs w:val="21"/>
                      <w:highlight w:val="none"/>
                    </w:rPr>
                    <w:t>全部撤离②恢复措施：对事故伤亡情况进行统计，应做好详细的记录并存档，行政领导组应尽快协调各</w:t>
                  </w:r>
                  <w:r>
                    <w:rPr>
                      <w:rFonts w:hint="default" w:ascii="Times New Roman" w:hAnsi="Times New Roman" w:eastAsia="宋体" w:cs="Times New Roman"/>
                      <w:color w:val="auto"/>
                      <w:kern w:val="0"/>
                      <w:sz w:val="21"/>
                      <w:szCs w:val="21"/>
                      <w:highlight w:val="none"/>
                      <w:lang w:eastAsia="zh-CN"/>
                    </w:rPr>
                    <w:t>部门</w:t>
                  </w:r>
                  <w:r>
                    <w:rPr>
                      <w:rFonts w:hint="default" w:ascii="Times New Roman" w:hAnsi="Times New Roman" w:eastAsia="宋体" w:cs="Times New Roman"/>
                      <w:color w:val="auto"/>
                      <w:kern w:val="0"/>
                      <w:sz w:val="21"/>
                      <w:szCs w:val="21"/>
                      <w:highlight w:val="none"/>
                    </w:rPr>
                    <w:t>做好医疗救助工作，包括医疗经费的提供、受伤人员的住院安排与护理以及善后赔偿等；钻井队主管单位配合相关部门人员对受损设备尽快安排修复并投入生产使用。钻井队</w:t>
                  </w:r>
                  <w:r>
                    <w:rPr>
                      <w:rFonts w:hint="default" w:ascii="Times New Roman" w:hAnsi="Times New Roman" w:eastAsia="宋体" w:cs="Times New Roman"/>
                      <w:color w:val="auto"/>
                      <w:kern w:val="0"/>
                      <w:sz w:val="21"/>
                      <w:szCs w:val="21"/>
                      <w:highlight w:val="none"/>
                      <w:lang w:eastAsia="zh-CN"/>
                    </w:rPr>
                    <w:t>主管部门</w:t>
                  </w:r>
                  <w:r>
                    <w:rPr>
                      <w:rFonts w:hint="default" w:ascii="Times New Roman" w:hAnsi="Times New Roman" w:eastAsia="宋体" w:cs="Times New Roman"/>
                      <w:color w:val="auto"/>
                      <w:kern w:val="0"/>
                      <w:sz w:val="21"/>
                      <w:szCs w:val="21"/>
                      <w:highlight w:val="none"/>
                    </w:rPr>
                    <w:t>、政府成立事故调查小组，调查原因按四不放过原则进行事故处理，做出事故调查报告，同时总结事故教训，实行安全事故的教育培训，杜绝类似事件的再次发生。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应急</w:t>
                  </w:r>
                </w:p>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培训计划</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应急计划制定后，平时安排人员培训与演练。着重在钻开含气层前的演练，井队安全监督要对井队全体员工进行应急救援培训，</w:t>
                  </w:r>
                  <w:r>
                    <w:rPr>
                      <w:rFonts w:hint="default" w:ascii="Times New Roman" w:hAnsi="Times New Roman" w:eastAsia="宋体" w:cs="Times New Roman"/>
                      <w:color w:val="auto"/>
                      <w:kern w:val="0"/>
                      <w:sz w:val="21"/>
                      <w:szCs w:val="21"/>
                      <w:highlight w:val="none"/>
                      <w:lang w:eastAsia="zh-CN"/>
                    </w:rPr>
                    <w:t>提高</w:t>
                  </w:r>
                  <w:r>
                    <w:rPr>
                      <w:rFonts w:hint="default" w:ascii="Times New Roman" w:hAnsi="Times New Roman" w:eastAsia="宋体" w:cs="Times New Roman"/>
                      <w:color w:val="auto"/>
                      <w:kern w:val="0"/>
                      <w:sz w:val="21"/>
                      <w:szCs w:val="21"/>
                      <w:highlight w:val="none"/>
                    </w:rPr>
                    <w:t>员工的应急救援能力，</w:t>
                  </w:r>
                  <w:r>
                    <w:rPr>
                      <w:rFonts w:hint="default" w:ascii="Times New Roman" w:hAnsi="Times New Roman" w:eastAsia="宋体" w:cs="Times New Roman"/>
                      <w:color w:val="auto"/>
                      <w:kern w:val="0"/>
                      <w:sz w:val="21"/>
                      <w:szCs w:val="21"/>
                      <w:highlight w:val="none"/>
                      <w:lang w:eastAsia="zh-CN"/>
                    </w:rPr>
                    <w:t>加强</w:t>
                  </w:r>
                  <w:r>
                    <w:rPr>
                      <w:rFonts w:hint="default" w:ascii="Times New Roman" w:hAnsi="Times New Roman" w:eastAsia="宋体" w:cs="Times New Roman"/>
                      <w:color w:val="auto"/>
                      <w:kern w:val="0"/>
                      <w:sz w:val="21"/>
                      <w:szCs w:val="21"/>
                      <w:highlight w:val="none"/>
                    </w:rPr>
                    <w:t>组织人员向井场附近居民宣传井喷的危害及相关知识，井队队长及安全员负责制定应急培训计划，定期对应急组织机构成员和应急保障系统、应急信息的有关人员进行综合性应急培训并做好培训记录。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公众教育和信息</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对勘探井邻近地区开展公众教育、培训和发布有关信息。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夜间特别</w:t>
                  </w:r>
                </w:p>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管理机制</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井场配备高音喇叭、防爆灯具，以便夜间事故及时通知周边较近距离的</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kern w:val="0"/>
                      <w:sz w:val="21"/>
                      <w:szCs w:val="21"/>
                      <w:highlight w:val="none"/>
                    </w:rPr>
                    <w:t>，防爆灯具应布置在井场内风向标处，以便井场人员判断风向。井场实行轮班制度，保证夜间各岗位有相应值班人员。</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8.3.2 井喷及井喷失控应急处理预案</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根据事态发展变化情况，事故现场抢险指挥部根据应急领导小组的指令并在充分考虑专家和有关意见的基础上，依法采取紧急措施，并注意做好以下工作：</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（1）井喷失控后严防着火和爆炸，应立即停钻机，切断井架、钻台、机泵房等处全部用电设备的电源，熄灭一切火源，需要时打开专用探照灯</w:t>
            </w:r>
            <w:r>
              <w:rPr>
                <w:rFonts w:hint="default" w:ascii="Times New Roman" w:hAnsi="Times New Roman" w:eastAsia="宋体" w:cs="Times New Roman"/>
                <w:color w:val="auto"/>
                <w:spacing w:val="0"/>
                <w:kern w:val="21"/>
                <w:sz w:val="24"/>
                <w:szCs w:val="24"/>
                <w:highlight w:val="none"/>
                <w:lang w:val="en-US" w:eastAsia="zh-CN"/>
              </w:rPr>
              <w:t>，</w:t>
            </w:r>
            <w:r>
              <w:rPr>
                <w:rFonts w:hint="default" w:ascii="Times New Roman" w:hAnsi="Times New Roman" w:eastAsia="宋体" w:cs="Times New Roman"/>
                <w:color w:val="auto"/>
                <w:sz w:val="24"/>
                <w:szCs w:val="32"/>
                <w:highlight w:val="none"/>
              </w:rPr>
              <w:t>井场四周设置围堤，防止喷出物污染环境</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依据井喷事件程度确定警戒范围，撤离无关人员。</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（2）迅速成立现场抢险领导小组，根据失控状况制定抢险方案，统一指挥、组织和协调抢险工作。抢险方案制定及实施，要把环境保护同时考虑，同时实施，防止出现次生环境事故。</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（3）井喷发生后，及时安排消防车、救护车、医护人员和技安人员到现场。</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（4）在事故处理结束后，确认作业现场及其周围环境安全的情况下，商定警戒解除及工作人员的返回时间。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8.3.3 井喷应急疏散预案</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当井喷失控时，应立即疏散可能受影响的工作人员，根据监测情况，考虑风向、地形、受污染程度等情况及时</w:t>
            </w:r>
            <w:r>
              <w:rPr>
                <w:rFonts w:hint="eastAsia" w:ascii="Times New Roman" w:eastAsia="宋体" w:cs="Times New Roman"/>
                <w:color w:val="auto"/>
                <w:kern w:val="21"/>
                <w:sz w:val="24"/>
                <w:szCs w:val="24"/>
                <w:highlight w:val="none"/>
                <w:lang w:val="en-US" w:eastAsia="zh-CN"/>
              </w:rPr>
              <w:t>做出</w:t>
            </w:r>
            <w:r>
              <w:rPr>
                <w:rFonts w:hint="default" w:ascii="Times New Roman" w:hAnsi="Times New Roman" w:eastAsia="宋体" w:cs="Times New Roman"/>
                <w:color w:val="auto"/>
                <w:kern w:val="21"/>
                <w:sz w:val="24"/>
                <w:szCs w:val="24"/>
                <w:highlight w:val="none"/>
                <w:lang w:val="en-US" w:eastAsia="zh-CN"/>
              </w:rPr>
              <w:t>风险和危害程度评估，决定是否扩大撤离范围。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为了保障每位工作人员的生命安全，应按正确的方法和方向撤离，每位接到撤离通知的工作人员应按下列程序撤离。</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（1）井队员工由井队组织撤离；</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（2）拉起警戒线，撤离与抢险急救无关人员；</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（3）逃生时要注意风向，一要沿上风（逆风）方向逃生，二要沿着地面上的高处跑；</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（4）时间就是生命，紧急逃生时，不要因贵重物品等事宜延误时间，并且要轻装撤离逃生；</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1"/>
                <w:sz w:val="24"/>
                <w:szCs w:val="24"/>
                <w:highlight w:val="none"/>
                <w:lang w:val="en-US" w:eastAsia="zh-CN"/>
              </w:rPr>
              <w:t>（5）当所处位置离井场很远时，向偏离风向往离井场越来越远的方向逃生即可。</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8.3.4三级防控</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勘探井三级防控体系，是针对勘探钻井作业全过程，按照风险发生顺序建立的三道防线，实现污染物从产生、扩散到应急封堵的分级管控，防范钻井废液、落地原油、含油岩屑、井喷流体进入土壤、地表水、地下水环境；同时配套井控安全管控，将环境风险与井控风险结合。</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一级防控：源头控制（第一道防线，预防，不让污染物出来）；</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二级防控：过程拦截（第二道防线，发生泄漏后，控制在井场范围内不外溢）；</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三级防控：末端应急（第三道防线，一二级失效时，应急收容、封堵，防止场外扩散）。</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8.3.4.1一级防控（源头预防，第一道防线）</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主动预防，从源头减少污染物产生、杜绝泄漏发生。优先管控，正常工况下依靠本层防线。</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①井控源头管控</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钻井设计阶段开展地层压力预测，合理确定井身结构、套管程序，做好压力剖面设计；优选钻井液体系，做好防漏、防涌设计。</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配备、安装、试压井口井控装备（防喷器组、节流管汇、压井管汇、液控系统），按规范定期检验试压。</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落实坐岗制度，实时监测泥浆池液面、进出口流量、气测值，早发现溢流。</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②现场污染物源头控制</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井场硬化：钻井平台、循环罐区、油品药剂区做防渗硬化，防渗层满足规范要求。</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密闭循环系统：钻井液采用密闭循环罐，钻井液不落地工艺，减少钻井废液落地。</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物料分区存放：柴油、润滑油、化学处理剂置于防渗托盘/防渗围堰内；含油岩屑及时密闭收集。</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设备维护：钻井泵、管线、接头定期巡检，防止跑冒滴漏；严禁随意排放废液。</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8.3.4.2二级防控（过程拦截，第二道防线）</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一级防控失效，发生少量泄漏、溢流、井内流体渗出时，在井场内部拦截，污染物不流出井场范围。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①井场集排防渗设施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井场设置环形防渗沟、导排沟，所有硬化区的渗漏、溢液依靠导排沟汇入应急废液池（收集池）。</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钻井液循环罐区、油料区周边设置防渗围堰，罐区泄漏液体限制在围堰内部。</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配套收集池，容积按照最大可能泄漏量核算，防渗结构完整，可临时储存泄漏钻井液、落地油、污水。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②井控应急前置措施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发生溢流、井涌，立即关井，通过节流管汇循环压井，将流体控制在井控系统内；</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一旦有流体从井口、管线溢出，导流设施快速将液体导入收集池，不漫流到场外土壤、沟渠。</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③日常管理</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定期检查围堰、导排沟、收集池，清理淤泥杂物，保证导排通畅；雨季提前检查，防止雨水漫顶。</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8.3.4.3三级防控（末端兜底，第三道防线）</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一、二级防控全部失效，发生大规模井喷、大量原油/钻井液外泄，井场内围堰、收集池容纳不下时，启动场外/大范围应急封堵，阻止污染物进入外环境（河流、水塘、农田、地下水）。</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①工程应急封堵设施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井场外围预设应急挡水坝、截污堰、土工膜围隔，根据地形沿下游、地表径流方向布设；</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准备应急物资：防渗土工膜、吸油毡、沙袋、围油栏、抽液泵、应急储液罐。</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②应急处置程序</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发生大面积泄漏/井喷失控，立即启动应急预案，人员撤离至上风安全区域；</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在污染物扩散下游快速构筑沙袋截污坝、铺设土工膜，切断扩散通道；</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使用围油栏拦截浮油，吸油毡吸附油品，泵抽废液转移至应急储存容器，防止进入水体。</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同步上报，联动应急、环保、井控专业队伍实施压井、污染物回收、土壤清理。</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8.3.5宣传、培训和演习</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（1）培训。石油天然气开采有关应急救援队伍按照有关规定参加业务培训；石油天然气开采企业按照有关规定对员工进行应急培训；各级应急救援管理机构加强应急管理、救援人员的上岗前培训和常规性培训。</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（2）演习。中国石油天然气股份有限公司塔里木油田分公司及所属单位每年至少组织一次井喷失控事故应急的桌面演习或全面演习，并将演习总结报应急办公室。</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8.3.6风险管理措施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为加强环境风险预防措施，在工程施工期间对人员管理应做好以下几个方面：</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（1）加强各级干部、职工的风险意识和环境意识教育，增强环保意识。建立健全了各种规章制度、规程，使制度落到实处，严格遵守，杜绝违章作业。</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（2）强化岗位责任制，严格各项操作规程和奖惩制度，对生产操作的工人必须培训经考核后上岗，使其了解工艺过程，熟悉操作规程，对各种情况能进行正确判断，并严格遵守开、停工规程。</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（3）对事故易发部位、易泄漏地点，除本岗工人及时检查外，应设巡检员。对工程具有较大危险因素的重点部位（如：井控装置、储罐等）进行必要的定期巡检。</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（4）施工、设备、材料应按规章进行认真的检查、验收。设计、工艺、管理三部门通力合作，严防不合格设备、材料蒙混过关。</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（5）提高自动化水平保证各系统在优化和安全状态下进行操作。</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（6）对研究各种典型的事故要注意研究，充分吸取教训，并注意在技术措施上的改进和防范，尽可能减少人为的烦琐操作过程。</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（7）加强油地互动，宣传有关环保知识及法律法规，建立联合防范体系，杜绝人为破坏</w:t>
            </w:r>
            <w:r>
              <w:rPr>
                <w:rFonts w:hint="default" w:ascii="Times New Roman" w:hAnsi="Times New Roman" w:eastAsia="宋体" w:cs="Times New Roman"/>
                <w:b w:val="0"/>
                <w:bCs/>
                <w:color w:val="auto"/>
                <w:kern w:val="21"/>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9、环境管理及监测计划</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（1）建立和实施施工作业队伍的HSE管理体系。</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（2）实施施工作业环境监理制度，以确保施工作业对生态环境造成的破坏降到最低限度。</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（3）本项目仅涉及施工期，因此针对施工期临时占地区域植被恢复情况进行生态监测，监测因子为植被恢复效果，纳入竣工环境保护验收监测。植被恢复质量标准：临时占地植被恢复至原状态。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0" w:hRule="atLeast"/>
          <w:jc w:val="center"/>
        </w:trPr>
        <w:tc>
          <w:tcPr>
            <w:tcW w:w="899" w:type="dxa"/>
            <w:noWrap w:val="0"/>
            <w:tcMar>
              <w:left w:w="108" w:type="dxa"/>
              <w:right w:w="108" w:type="dxa"/>
            </w:tcMar>
            <w:vAlign w:val="center"/>
          </w:tcPr>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0" w:firstLineChars="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kern w:val="21"/>
                <w:sz w:val="24"/>
                <w:szCs w:val="24"/>
                <w:highlight w:val="none"/>
                <w:lang w:val="en-US" w:eastAsia="zh-CN"/>
              </w:rPr>
              <w:t>运营</w:t>
            </w:r>
            <w:r>
              <w:rPr>
                <w:rFonts w:hint="default" w:ascii="Times New Roman" w:hAnsi="Times New Roman" w:eastAsia="宋体" w:cs="Times New Roman"/>
                <w:color w:val="auto"/>
                <w:szCs w:val="21"/>
                <w:highlight w:val="none"/>
              </w:rPr>
              <w:t>期生态环境保护措施</w:t>
            </w:r>
          </w:p>
        </w:tc>
        <w:tc>
          <w:tcPr>
            <w:tcW w:w="8187" w:type="dxa"/>
            <w:noWrap w:val="0"/>
            <w:tcMar>
              <w:left w:w="108" w:type="dxa"/>
              <w:right w:w="108" w:type="dxa"/>
            </w:tcMar>
            <w:vAlign w:val="center"/>
          </w:tcPr>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20"/>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kern w:val="21"/>
                <w:sz w:val="24"/>
                <w:szCs w:val="24"/>
                <w:highlight w:val="none"/>
                <w:lang w:val="en-US" w:eastAsia="zh-CN"/>
              </w:rPr>
              <w:t>工程不涉及运营期，因此不对运营期进行生态环境保护措施分析。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99" w:type="dxa"/>
            <w:noWrap w:val="0"/>
            <w:tcMar>
              <w:left w:w="108" w:type="dxa"/>
              <w:right w:w="108" w:type="dxa"/>
            </w:tcMar>
            <w:vAlign w:val="center"/>
          </w:tcPr>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Cs w:val="21"/>
                <w:highlight w:val="none"/>
              </w:rPr>
              <w:t>其他</w:t>
            </w:r>
          </w:p>
        </w:tc>
        <w:tc>
          <w:tcPr>
            <w:tcW w:w="8187" w:type="dxa"/>
            <w:noWrap w:val="0"/>
            <w:tcMar>
              <w:left w:w="108" w:type="dxa"/>
              <w:right w:w="108" w:type="dxa"/>
            </w:tcMar>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1、封井环境影响保护措施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1.1 封井环境空气保护措施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（1）封井废气主要是施工过程中产生的扬尘，要求封井作业时，采取洒水抑尘的降尘措施，同时要求严禁在大风天气进行作业。</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（2）运输车辆使用符合国家标准的油品。</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（3）封井施工过程中，应加强施工质量管理，避免出现封井不严等非正常工况的烃类等其他物质泄漏。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1.2 封井水环境污染防治措施</w:t>
            </w:r>
          </w:p>
          <w:p>
            <w:pPr>
              <w:pStyle w:val="62"/>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封井无废水污染物产生，要求在闭井作业过程中，严格按照《废弃井封井回填技术指南（试行）》（环办土壤函〔2020〕72号）、《废弃井及长停井处置指南》（SY/T6646-2017）要求进行施工作业，首先进行井场进行环境风险评估，根据评估等级分别采用不同的固井、封井方式，确保固井、封井措施的有效性，避免发生油水窜层。坚持“预防为主、防治结合、过程控制”的原则，将生态环境保护与恢复治理贯穿开采的全过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1.3 封井噪声防治措施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（1）选用低噪声机械和车辆。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（2）加强设备检查维修，保证其正常运行。</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（3）加强运输车辆管理，合理规划运输路线，禁止运输车辆随意高声鸣笛。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1.4 封井固体废物处置措施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（1）地面设施拆除、井场清理等工作中会产生废弃建筑残渣，应集中清理收集。废弃建筑残渣等收集后送垃圾填埋场妥善处理。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（2）对应封堵的井拆除井口装置，清理场地，清除各种固体废弃物，施工结束后及时恢复原状。</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（3）运输过程中，运输车辆均加盖篷布，以防止行驶过程中固体废物的散落。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1.5 封井生态恢复措施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后期按照《矿山生态环境保护与恢复治理技术规范（试行）》（HJ651-2013）、《石油天然气项目土地复垦与生态修复技术规范》（GB/T 43936-2024）、《陆上石油天然气开采业绿色矿山建设规范》（DZ/T0317-2018）、《废弃井封井回填技术指南（试行）》（环办土壤函〔2020〕72号）、《废弃井及长停井处置指南》（SY/T6646-2017）的相关要求对井口进行封堵，并对井场后期根据景观相似原则，对探矿活动造成的土壤、植被和地表景观破坏进行恢复，恢复至原貌。采取的生态恢复措施如下：</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（1）各种机动车辆固定线路，禁止随意开路。</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（2）严格按照《废弃井及长停井处置指南》（SY/T6646-2017）相关要求，先封堵内外井眼，拆除井口装置，拆除地面设施、清理井场、清除各种固体废物等，拆除的报废设备和建筑废料等由建设单位进行回收处置。</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（3）保证封井措施有效可行，防止窜层，产生二次污染。</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（4）将井场占地范围内的水泥平台和砂砾石路面进行清理，然后根据周边区域的自然现状对其进行恢复，使井场恢复到相对自然的一种状态。</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（5）临时占地范围不具备植被恢复条件的，建议保留井口水泥底座，以防止沙化，起到防沙固沙作用。</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6）通过宣传教育的形式，使施工工作人员对在项目区生存的野生动物及植物有基本的认识与了解。加强对《中华人民共和国野生动物保护法》和《中华人民共和国野生植物保护条例》的普及、教育工作，强化保护野生动植物的观念。通过采取以上生态保护措施，对于减少植被破坏、减缓水土流失、抵制荒漠化发展起到了一定的积极作用，可有效保护脆弱的荒漠生态环境。</w:t>
            </w:r>
          </w:p>
          <w:p>
            <w:pPr>
              <w:pStyle w:val="24"/>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kern w:val="21"/>
                <w:sz w:val="24"/>
                <w:szCs w:val="24"/>
                <w:highlight w:val="none"/>
                <w:lang w:val="en-US" w:eastAsia="zh-CN" w:bidi="ar-SA"/>
              </w:rPr>
              <w:t>环保投资</w:t>
            </w:r>
          </w:p>
        </w:tc>
        <w:tc>
          <w:tcPr>
            <w:tcW w:w="8187" w:type="dxa"/>
            <w:noWrap w:val="0"/>
            <w:tcMar>
              <w:left w:w="108" w:type="dxa"/>
              <w:right w:w="108" w:type="dxa"/>
            </w:tcMar>
            <w:vAlign w:val="top"/>
          </w:tcPr>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表5-3    环保投资一览表</w:t>
            </w:r>
          </w:p>
          <w:tbl>
            <w:tblPr>
              <w:tblStyle w:val="3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81"/>
              <w:gridCol w:w="1"/>
              <w:gridCol w:w="818"/>
              <w:gridCol w:w="432"/>
              <w:gridCol w:w="1267"/>
              <w:gridCol w:w="996"/>
              <w:gridCol w:w="1194"/>
              <w:gridCol w:w="883"/>
              <w:gridCol w:w="19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类别</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污染源</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环保措施</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治理效果</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投资</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（万元）</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验收标准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废气</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柴油发电机</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烟气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柴油发电机定期检修、运行良好，燃用符合质量标准的燃料</w:t>
                  </w:r>
                  <w:r>
                    <w:rPr>
                      <w:rFonts w:hint="default" w:ascii="Times New Roman" w:hAnsi="Times New Roman" w:eastAsia="宋体" w:cs="Times New Roman"/>
                      <w:color w:val="auto"/>
                      <w:spacing w:val="-10"/>
                      <w:sz w:val="21"/>
                      <w:szCs w:val="21"/>
                      <w:highlight w:val="none"/>
                      <w:lang w:eastAsia="zh-CN"/>
                    </w:rPr>
                    <w:t>。</w:t>
                  </w:r>
                </w:p>
              </w:tc>
              <w:tc>
                <w:tcPr>
                  <w:tcW w:w="750" w:type="pct"/>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eastAsia" w:ascii="Times New Roman" w:cs="Times New Roman"/>
                      <w:color w:val="auto"/>
                      <w:spacing w:val="-10"/>
                      <w:kern w:val="0"/>
                      <w:sz w:val="21"/>
                      <w:szCs w:val="21"/>
                      <w:highlight w:val="none"/>
                      <w:lang w:val="en-US" w:eastAsia="zh-CN"/>
                    </w:rPr>
                    <w:t>二氧化硫</w:t>
                  </w:r>
                  <w:r>
                    <w:rPr>
                      <w:rFonts w:hint="default" w:ascii="Times New Roman" w:hAnsi="Times New Roman" w:eastAsia="宋体" w:cs="Times New Roman"/>
                      <w:color w:val="auto"/>
                      <w:spacing w:val="-10"/>
                      <w:kern w:val="0"/>
                      <w:sz w:val="21"/>
                      <w:szCs w:val="21"/>
                      <w:highlight w:val="none"/>
                    </w:rPr>
                    <w:t>≤</w:t>
                  </w:r>
                  <w:r>
                    <w:rPr>
                      <w:rFonts w:hint="eastAsia" w:ascii="Times New Roman" w:cs="Times New Roman"/>
                      <w:color w:val="auto"/>
                      <w:spacing w:val="-10"/>
                      <w:kern w:val="0"/>
                      <w:sz w:val="21"/>
                      <w:szCs w:val="21"/>
                      <w:highlight w:val="none"/>
                      <w:lang w:val="en-US" w:eastAsia="zh-CN"/>
                    </w:rPr>
                    <w:t>0.4</w:t>
                  </w: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r>
                    <w:rPr>
                      <w:rFonts w:hint="eastAsia" w:ascii="Times New Roman" w:cs="Times New Roman"/>
                      <w:color w:val="auto"/>
                      <w:spacing w:val="-10"/>
                      <w:sz w:val="21"/>
                      <w:szCs w:val="21"/>
                      <w:highlight w:val="none"/>
                      <w:vertAlign w:val="baseline"/>
                      <w:lang w:eastAsia="zh-CN" w:bidi="ar"/>
                    </w:rPr>
                    <w:t>、</w:t>
                  </w:r>
                  <w:r>
                    <w:rPr>
                      <w:rFonts w:hint="eastAsia" w:ascii="Times New Roman" w:cs="Times New Roman"/>
                      <w:color w:val="auto"/>
                      <w:spacing w:val="-10"/>
                      <w:kern w:val="0"/>
                      <w:sz w:val="21"/>
                      <w:szCs w:val="21"/>
                      <w:highlight w:val="none"/>
                      <w:lang w:val="en-US" w:eastAsia="zh-CN"/>
                    </w:rPr>
                    <w:t>氮氧化物</w:t>
                  </w:r>
                  <w:r>
                    <w:rPr>
                      <w:rFonts w:hint="default" w:ascii="Times New Roman" w:hAnsi="Times New Roman" w:eastAsia="宋体" w:cs="Times New Roman"/>
                      <w:color w:val="auto"/>
                      <w:spacing w:val="-10"/>
                      <w:kern w:val="0"/>
                      <w:sz w:val="21"/>
                      <w:szCs w:val="21"/>
                      <w:highlight w:val="none"/>
                    </w:rPr>
                    <w:t>≤</w:t>
                  </w:r>
                  <w:r>
                    <w:rPr>
                      <w:rFonts w:hint="eastAsia" w:ascii="Times New Roman" w:cs="Times New Roman"/>
                      <w:color w:val="auto"/>
                      <w:spacing w:val="-10"/>
                      <w:kern w:val="0"/>
                      <w:sz w:val="21"/>
                      <w:szCs w:val="21"/>
                      <w:highlight w:val="none"/>
                      <w:lang w:val="en-US" w:eastAsia="zh-CN"/>
                    </w:rPr>
                    <w:t>0.12</w:t>
                  </w: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r>
                    <w:rPr>
                      <w:rFonts w:hint="eastAsia" w:ascii="Times New Roman" w:cs="Times New Roman"/>
                      <w:color w:val="auto"/>
                      <w:spacing w:val="-10"/>
                      <w:kern w:val="0"/>
                      <w:sz w:val="21"/>
                      <w:szCs w:val="21"/>
                      <w:highlight w:val="none"/>
                      <w:lang w:val="en-US" w:eastAsia="zh-CN"/>
                    </w:rPr>
                    <w:t>、</w:t>
                  </w:r>
                  <w:r>
                    <w:rPr>
                      <w:rFonts w:hint="default" w:ascii="Times New Roman" w:hAnsi="Times New Roman" w:eastAsia="宋体" w:cs="Times New Roman"/>
                      <w:color w:val="auto"/>
                      <w:spacing w:val="-10"/>
                      <w:kern w:val="0"/>
                      <w:sz w:val="21"/>
                      <w:szCs w:val="21"/>
                      <w:highlight w:val="none"/>
                    </w:rPr>
                    <w:t>颗粒物≤</w:t>
                  </w:r>
                  <w:r>
                    <w:rPr>
                      <w:rFonts w:hint="eastAsia" w:ascii="Times New Roman" w:cs="Times New Roman"/>
                      <w:color w:val="auto"/>
                      <w:spacing w:val="-10"/>
                      <w:kern w:val="0"/>
                      <w:sz w:val="21"/>
                      <w:szCs w:val="21"/>
                      <w:highlight w:val="none"/>
                      <w:lang w:val="en-US" w:eastAsia="zh-CN"/>
                    </w:rPr>
                    <w:t>1.0</w:t>
                  </w: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《大气污染物综合排放标准》</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GB16297-1996</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表2新污染源大气污染物无组织排放监控浓度限值要求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rPr>
                    <w:t>生物质锅炉烟气</w:t>
                  </w:r>
                </w:p>
              </w:tc>
              <w:tc>
                <w:tcPr>
                  <w:tcW w:w="1423"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低氮燃烧技术+布袋除尘</w:t>
                  </w:r>
                </w:p>
              </w:tc>
              <w:tc>
                <w:tcPr>
                  <w:tcW w:w="750"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0"/>
                      <w:szCs w:val="21"/>
                    </w:rPr>
                  </w:pPr>
                  <w:r>
                    <w:rPr>
                      <w:rFonts w:hint="default" w:ascii="Times New Roman" w:hAnsi="Times New Roman" w:eastAsia="宋体" w:cs="Times New Roman"/>
                      <w:color w:val="auto"/>
                      <w:spacing w:val="-10"/>
                      <w:kern w:val="0"/>
                      <w:szCs w:val="21"/>
                    </w:rPr>
                    <w:t>颗粒物≤20</w:t>
                  </w:r>
                  <w:r>
                    <w:rPr>
                      <w:rFonts w:hint="default" w:ascii="Times New Roman" w:hAnsi="Times New Roman" w:eastAsia="宋体" w:cs="Times New Roman"/>
                      <w:color w:val="auto"/>
                      <w:spacing w:val="-10"/>
                      <w:szCs w:val="21"/>
                    </w:rPr>
                    <w:t>mg/m</w:t>
                  </w:r>
                  <w:r>
                    <w:rPr>
                      <w:rFonts w:hint="default" w:ascii="Times New Roman" w:hAnsi="Times New Roman" w:eastAsia="宋体" w:cs="Times New Roman"/>
                      <w:color w:val="auto"/>
                      <w:spacing w:val="-10"/>
                      <w:szCs w:val="21"/>
                      <w:vertAlign w:val="superscript"/>
                    </w:rPr>
                    <w:t>3</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rPr>
                  </w:pPr>
                  <w:r>
                    <w:rPr>
                      <w:rFonts w:hint="default" w:ascii="Times New Roman" w:hAnsi="Times New Roman" w:eastAsia="宋体" w:cs="Times New Roman"/>
                      <w:color w:val="auto"/>
                      <w:spacing w:val="-10"/>
                      <w:szCs w:val="21"/>
                    </w:rPr>
                    <w:t>二氧化硫≤50mg/m</w:t>
                  </w:r>
                  <w:r>
                    <w:rPr>
                      <w:rFonts w:hint="default" w:ascii="Times New Roman" w:hAnsi="Times New Roman" w:eastAsia="宋体" w:cs="Times New Roman"/>
                      <w:color w:val="auto"/>
                      <w:spacing w:val="-10"/>
                      <w:szCs w:val="21"/>
                      <w:vertAlign w:val="superscript"/>
                    </w:rPr>
                    <w:t>3</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rPr>
                  </w:pPr>
                  <w:r>
                    <w:rPr>
                      <w:rFonts w:hint="default" w:ascii="Times New Roman" w:hAnsi="Times New Roman" w:eastAsia="宋体" w:cs="Times New Roman"/>
                      <w:color w:val="auto"/>
                      <w:spacing w:val="-10"/>
                      <w:szCs w:val="21"/>
                    </w:rPr>
                    <w:t>氮氧化物≤</w:t>
                  </w:r>
                  <w:r>
                    <w:rPr>
                      <w:rFonts w:hint="eastAsia" w:ascii="Times New Roman" w:cs="Times New Roman"/>
                      <w:color w:val="auto"/>
                      <w:spacing w:val="-10"/>
                      <w:szCs w:val="21"/>
                      <w:lang w:val="en-US" w:eastAsia="zh-CN"/>
                    </w:rPr>
                    <w:t>200</w:t>
                  </w:r>
                  <w:r>
                    <w:rPr>
                      <w:rFonts w:hint="default" w:ascii="Times New Roman" w:hAnsi="Times New Roman" w:eastAsia="宋体" w:cs="Times New Roman"/>
                      <w:color w:val="auto"/>
                      <w:spacing w:val="-10"/>
                      <w:szCs w:val="21"/>
                    </w:rPr>
                    <w:t>mg/m</w:t>
                  </w:r>
                  <w:r>
                    <w:rPr>
                      <w:rFonts w:hint="default" w:ascii="Times New Roman" w:hAnsi="Times New Roman" w:eastAsia="宋体" w:cs="Times New Roman"/>
                      <w:color w:val="auto"/>
                      <w:spacing w:val="-10"/>
                      <w:szCs w:val="21"/>
                      <w:vertAlign w:val="superscript"/>
                    </w:rPr>
                    <w:t>3</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szCs w:val="21"/>
                    </w:rPr>
                    <w:t>烟气黑度≤1级</w:t>
                  </w:r>
                </w:p>
              </w:tc>
              <w:tc>
                <w:tcPr>
                  <w:tcW w:w="555"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5</w:t>
                  </w:r>
                </w:p>
              </w:tc>
              <w:tc>
                <w:tcPr>
                  <w:tcW w:w="1244" w:type="pct"/>
                  <w:tcBorders>
                    <w:right w:val="single" w:color="auto" w:sz="4" w:space="0"/>
                  </w:tcBorders>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lang w:bidi="ar"/>
                    </w:rPr>
                  </w:pPr>
                  <w:r>
                    <w:rPr>
                      <w:rFonts w:hint="default" w:ascii="Times New Roman" w:hAnsi="Times New Roman" w:eastAsia="宋体" w:cs="Times New Roman"/>
                      <w:color w:val="auto"/>
                      <w:spacing w:val="-10"/>
                      <w:szCs w:val="21"/>
                      <w:lang w:bidi="ar"/>
                    </w:rPr>
                    <w:t>《锅炉大气污染物排放标准》（GB13271-2014）表2中燃气锅炉标准</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lang w:bidi="ar"/>
                    </w:rPr>
                    <w:t>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测试放喷</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废气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测试放喷</w:t>
                  </w:r>
                  <w:r>
                    <w:rPr>
                      <w:rFonts w:hint="default" w:ascii="Times New Roman" w:hAnsi="Times New Roman" w:eastAsia="宋体" w:cs="Times New Roman"/>
                      <w:color w:val="auto"/>
                      <w:spacing w:val="-10"/>
                      <w:kern w:val="0"/>
                      <w:sz w:val="21"/>
                      <w:szCs w:val="21"/>
                      <w:highlight w:val="none"/>
                    </w:rPr>
                    <w:t>科学测算放喷时间，减少天然气点火放空造成的环境污染</w:t>
                  </w:r>
                  <w:r>
                    <w:rPr>
                      <w:rFonts w:hint="default" w:ascii="Times New Roman" w:hAnsi="Times New Roman" w:eastAsia="宋体" w:cs="Times New Roman"/>
                      <w:color w:val="auto"/>
                      <w:spacing w:val="-10"/>
                      <w:kern w:val="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井场储罐挥发无组织废气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密闭储罐</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1"/>
                      <w:sz w:val="21"/>
                      <w:szCs w:val="21"/>
                      <w:highlight w:val="none"/>
                    </w:rPr>
                    <w:t>《陆上石油天然气开采工业大气污染物排放标准》（GB39728-2020）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施工扬尘</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洒水抑尘</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扬尘产生量</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减少</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lang w:bidi="ar"/>
                    </w:rPr>
                    <w:t>机械设备和车辆尾气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bCs/>
                      <w:color w:val="auto"/>
                      <w:spacing w:val="-10"/>
                      <w:sz w:val="21"/>
                      <w:szCs w:val="21"/>
                      <w:highlight w:val="none"/>
                      <w:lang w:bidi="ar"/>
                    </w:rPr>
                    <w:t>检修设备和车辆，保证设备正常稳定运行，燃用合格的燃料，设备和车辆不超负荷运行</w:t>
                  </w:r>
                  <w:r>
                    <w:rPr>
                      <w:rFonts w:hint="default" w:ascii="Times New Roman" w:hAnsi="Times New Roman" w:eastAsia="宋体" w:cs="Times New Roman"/>
                      <w:bCs/>
                      <w:color w:val="auto"/>
                      <w:spacing w:val="-10"/>
                      <w:sz w:val="21"/>
                      <w:szCs w:val="21"/>
                      <w:highlight w:val="none"/>
                      <w:lang w:eastAsia="zh-CN" w:bidi="ar"/>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减少排放量</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0.2</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废水</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Cs/>
                      <w:color w:val="auto"/>
                      <w:spacing w:val="-10"/>
                      <w:sz w:val="21"/>
                      <w:szCs w:val="21"/>
                      <w:highlight w:val="none"/>
                      <w:lang w:bidi="ar"/>
                    </w:rPr>
                  </w:pPr>
                  <w:r>
                    <w:rPr>
                      <w:rFonts w:hint="default" w:ascii="Times New Roman" w:hAnsi="Times New Roman" w:eastAsia="宋体" w:cs="Times New Roman"/>
                      <w:bCs/>
                      <w:color w:val="auto"/>
                      <w:spacing w:val="-10"/>
                      <w:sz w:val="21"/>
                      <w:szCs w:val="21"/>
                      <w:highlight w:val="none"/>
                      <w:lang w:bidi="ar"/>
                    </w:rPr>
                    <w:t>钻井废水</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Cs/>
                      <w:color w:val="auto"/>
                      <w:spacing w:val="-10"/>
                      <w:sz w:val="21"/>
                      <w:szCs w:val="21"/>
                      <w:highlight w:val="none"/>
                      <w:lang w:eastAsia="zh-CN" w:bidi="ar"/>
                    </w:rPr>
                  </w:pPr>
                  <w:r>
                    <w:rPr>
                      <w:rFonts w:hint="default" w:ascii="Times New Roman" w:hAnsi="Times New Roman" w:eastAsia="宋体" w:cs="Times New Roman"/>
                      <w:bCs/>
                      <w:color w:val="auto"/>
                      <w:spacing w:val="-10"/>
                      <w:sz w:val="21"/>
                      <w:szCs w:val="21"/>
                      <w:highlight w:val="none"/>
                      <w:lang w:bidi="ar"/>
                    </w:rPr>
                    <w:t>钻井废水与钻井泥浆、岩屑一同进入不落地系统处理，处理后的液相全部回用于钻井液配制</w:t>
                  </w:r>
                  <w:r>
                    <w:rPr>
                      <w:rFonts w:hint="default" w:ascii="Times New Roman" w:hAnsi="Times New Roman" w:eastAsia="宋体" w:cs="Times New Roman"/>
                      <w:bCs/>
                      <w:color w:val="auto"/>
                      <w:spacing w:val="-10"/>
                      <w:sz w:val="21"/>
                      <w:szCs w:val="21"/>
                      <w:highlight w:val="none"/>
                      <w:lang w:val="en-US" w:eastAsia="zh-CN" w:bidi="ar"/>
                    </w:rPr>
                    <w:t>，完井后拉运至下一口井再利用，</w:t>
                  </w:r>
                  <w:r>
                    <w:rPr>
                      <w:rFonts w:hint="default" w:ascii="Times New Roman" w:hAnsi="Times New Roman" w:eastAsia="宋体" w:cs="Times New Roman"/>
                      <w:bCs/>
                      <w:color w:val="auto"/>
                      <w:spacing w:val="-10"/>
                      <w:sz w:val="21"/>
                      <w:szCs w:val="21"/>
                      <w:highlight w:val="none"/>
                      <w:lang w:bidi="ar"/>
                    </w:rPr>
                    <w:t>不外排</w:t>
                  </w:r>
                  <w:r>
                    <w:rPr>
                      <w:rFonts w:hint="default" w:ascii="Times New Roman" w:hAnsi="Times New Roman" w:eastAsia="宋体" w:cs="Times New Roman"/>
                      <w:bCs/>
                      <w:color w:val="auto"/>
                      <w:spacing w:val="-10"/>
                      <w:sz w:val="21"/>
                      <w:szCs w:val="21"/>
                      <w:highlight w:val="none"/>
                      <w:lang w:eastAsia="zh-CN" w:bidi="ar"/>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bCs/>
                      <w:color w:val="auto"/>
                      <w:spacing w:val="-10"/>
                      <w:sz w:val="21"/>
                      <w:szCs w:val="21"/>
                      <w:highlight w:val="none"/>
                      <w:lang w:bidi="ar"/>
                    </w:rPr>
                    <w:t>不外排</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0.8</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酸化压裂返排液</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在井场加碱中和后，暂存在</w:t>
                  </w:r>
                  <w:r>
                    <w:rPr>
                      <w:rFonts w:hint="eastAsia" w:ascii="Times New Roman" w:cs="Times New Roman"/>
                      <w:color w:val="auto"/>
                      <w:spacing w:val="-10"/>
                      <w:sz w:val="21"/>
                      <w:szCs w:val="21"/>
                      <w:highlight w:val="none"/>
                      <w:lang w:val="en-US" w:eastAsia="zh-CN"/>
                    </w:rPr>
                    <w:t>废液</w:t>
                  </w:r>
                  <w:r>
                    <w:rPr>
                      <w:rFonts w:hint="default" w:ascii="Times New Roman" w:hAnsi="Times New Roman" w:eastAsia="宋体" w:cs="Times New Roman"/>
                      <w:color w:val="auto"/>
                      <w:spacing w:val="-10"/>
                      <w:sz w:val="21"/>
                      <w:szCs w:val="21"/>
                      <w:highlight w:val="none"/>
                    </w:rPr>
                    <w:t>收集罐，运至</w:t>
                  </w:r>
                  <w:r>
                    <w:rPr>
                      <w:rFonts w:hint="default" w:ascii="Times New Roman" w:hAnsi="Times New Roman" w:eastAsia="宋体" w:cs="Times New Roman"/>
                      <w:color w:val="auto"/>
                      <w:spacing w:val="-10"/>
                      <w:sz w:val="21"/>
                      <w:szCs w:val="21"/>
                      <w:highlight w:val="none"/>
                      <w:lang w:eastAsia="zh-CN"/>
                    </w:rPr>
                    <w:t>富源7环保处理站</w:t>
                  </w:r>
                  <w:r>
                    <w:rPr>
                      <w:rFonts w:hint="default" w:ascii="Times New Roman" w:hAnsi="Times New Roman" w:eastAsia="宋体" w:cs="Times New Roman"/>
                      <w:color w:val="auto"/>
                      <w:spacing w:val="-10"/>
                      <w:sz w:val="21"/>
                      <w:szCs w:val="21"/>
                      <w:highlight w:val="none"/>
                    </w:rPr>
                    <w:t>处置</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不外排</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Cs w:val="21"/>
                    </w:rPr>
                    <w:t>锅炉排污水</w:t>
                  </w:r>
                </w:p>
              </w:tc>
              <w:tc>
                <w:tcPr>
                  <w:tcW w:w="1423"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井场洒水抑尘</w:t>
                  </w:r>
                </w:p>
              </w:tc>
              <w:tc>
                <w:tcPr>
                  <w:tcW w:w="750"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不外排</w:t>
                  </w:r>
                </w:p>
              </w:tc>
              <w:tc>
                <w:tcPr>
                  <w:tcW w:w="555"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w:t>
                  </w:r>
                </w:p>
              </w:tc>
              <w:tc>
                <w:tcPr>
                  <w:tcW w:w="1244"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生活污水</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生活污水</w:t>
                  </w:r>
                  <w:r>
                    <w:rPr>
                      <w:rFonts w:hint="default" w:ascii="Times New Roman" w:hAnsi="Times New Roman" w:eastAsia="宋体" w:cs="Times New Roman"/>
                      <w:color w:val="auto"/>
                      <w:spacing w:val="-10"/>
                      <w:sz w:val="21"/>
                      <w:szCs w:val="21"/>
                      <w:highlight w:val="none"/>
                      <w:lang w:val="en-US" w:eastAsia="zh-CN"/>
                    </w:rPr>
                    <w:t>经污水处理站处理后用于荒漠生态恢复</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不外排</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噪声</w:t>
                  </w:r>
                </w:p>
              </w:tc>
              <w:tc>
                <w:tcPr>
                  <w:tcW w:w="786" w:type="pct"/>
                  <w:gridSpan w:val="2"/>
                  <w:noWrap w:val="0"/>
                  <w:tcMar>
                    <w:left w:w="28" w:type="dxa"/>
                    <w:right w:w="28" w:type="dxa"/>
                  </w:tcMar>
                  <w:vAlign w:val="center"/>
                </w:tcPr>
                <w:p>
                  <w:pPr>
                    <w:keepNext w:val="0"/>
                    <w:keepLines w:val="0"/>
                    <w:pageBreakBefore w:val="0"/>
                    <w:suppressLineNumbers w:val="0"/>
                    <w:kinsoku/>
                    <w:wordWrap/>
                    <w:overflowPunct w:val="0"/>
                    <w:topLinePunct w:val="0"/>
                    <w:autoSpaceDE w:val="0"/>
                    <w:autoSpaceDN w:val="0"/>
                    <w:bidi w:val="0"/>
                    <w:adjustRightInd/>
                    <w:snapToGrid/>
                    <w:spacing w:before="0" w:beforeAutospacing="0" w:after="0" w:afterAutospacing="0" w:line="350" w:lineRule="exact"/>
                    <w:ind w:left="0" w:right="0"/>
                    <w:jc w:val="center"/>
                    <w:textAlignment w:val="baseline"/>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设备噪声</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柴油发电机、泥浆泵、钻机、压裂车</w:t>
                  </w:r>
                  <w:r>
                    <w:rPr>
                      <w:rFonts w:hint="default" w:ascii="Times New Roman" w:hAnsi="Times New Roman" w:eastAsia="宋体" w:cs="Times New Roman"/>
                      <w:color w:val="auto"/>
                      <w:spacing w:val="-10"/>
                      <w:kern w:val="0"/>
                      <w:sz w:val="21"/>
                      <w:szCs w:val="21"/>
                      <w:highlight w:val="none"/>
                      <w:lang w:val="en-US" w:eastAsia="zh-CN"/>
                    </w:rPr>
                    <w:t>、风机</w:t>
                  </w:r>
                  <w:r>
                    <w:rPr>
                      <w:rFonts w:hint="default" w:ascii="Times New Roman" w:hAnsi="Times New Roman" w:eastAsia="宋体" w:cs="Times New Roman"/>
                      <w:color w:val="auto"/>
                      <w:spacing w:val="-10"/>
                      <w:kern w:val="0"/>
                      <w:sz w:val="21"/>
                      <w:szCs w:val="21"/>
                      <w:highlight w:val="none"/>
                    </w:rPr>
                    <w:t>安装等安装</w:t>
                  </w:r>
                  <w:r>
                    <w:rPr>
                      <w:rFonts w:hint="default" w:ascii="Times New Roman" w:hAnsi="Times New Roman" w:eastAsia="宋体" w:cs="Times New Roman"/>
                      <w:color w:val="auto"/>
                      <w:spacing w:val="-10"/>
                      <w:sz w:val="21"/>
                      <w:szCs w:val="21"/>
                      <w:highlight w:val="none"/>
                    </w:rPr>
                    <w:t>减振基础</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昼间≤70dB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夜间≤55dB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《建筑施工噪声排放标准》</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GB12523-2025</w:t>
                  </w:r>
                  <w:r>
                    <w:rPr>
                      <w:rFonts w:hint="eastAsia" w:ascii="Times New Roman"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固体废物</w:t>
                  </w: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泥浆</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采用“泥浆不落地”工艺收集，排入泥浆罐循环使用，完井后拉运至下一口井再利用</w:t>
                  </w:r>
                  <w:r>
                    <w:rPr>
                      <w:rFonts w:hint="default" w:ascii="Times New Roman" w:hAnsi="Times New Roman" w:eastAsia="宋体" w:cs="Times New Roman"/>
                      <w:bCs/>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4</w:t>
                  </w:r>
                  <w:r>
                    <w:rPr>
                      <w:rFonts w:hint="default" w:ascii="Times New Roman" w:hAnsi="Times New Roman" w:eastAsia="宋体" w:cs="Times New Roman"/>
                      <w:color w:val="auto"/>
                      <w:spacing w:val="-10"/>
                      <w:sz w:val="21"/>
                      <w:szCs w:val="21"/>
                      <w:highlight w:val="none"/>
                      <w:lang w:val="en-US" w:eastAsia="zh-CN"/>
                    </w:rPr>
                    <w:t>0</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0"/>
                      <w:kern w:val="2"/>
                      <w:sz w:val="21"/>
                      <w:szCs w:val="21"/>
                    </w:rPr>
                    <w:t>满足《油气田钻井固体废物综合利用污染控制要求》（DB65/T 3997-2017）表1综合利用污染限值的要求及《石油天然气开采业固体废物污染控制技术规范（试行）》（HJ1461-2026）中标准要求。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膨润土体系废弃钻井岩屑</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膨润土体系废弃钻井岩屑排入防渗岩屑池干化，经检测达标后，用于井场平整</w:t>
                  </w:r>
                  <w:r>
                    <w:rPr>
                      <w:rFonts w:hint="default" w:ascii="Times New Roman" w:hAnsi="Times New Roman" w:eastAsia="宋体" w:cs="Times New Roman"/>
                      <w:color w:val="auto"/>
                      <w:spacing w:val="0"/>
                      <w:sz w:val="21"/>
                      <w:szCs w:val="21"/>
                      <w:highlight w:val="none"/>
                      <w:lang w:eastAsia="zh-CN"/>
                    </w:rPr>
                    <w:t>。</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含水率＜60%、石油烃＜4500mg/kg</w:t>
                  </w: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聚磺体系废弃钻井岩屑</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snapToGrid w:val="0"/>
                      <w:color w:val="auto"/>
                      <w:spacing w:val="0"/>
                      <w:kern w:val="0"/>
                      <w:sz w:val="21"/>
                      <w:szCs w:val="21"/>
                      <w:highlight w:val="none"/>
                      <w:lang w:eastAsia="zh-CN" w:bidi="ar"/>
                    </w:rPr>
                    <w:t>聚磺体系废弃钻井岩屑收集后拉运至塔中油田钻试修废弃物环保处理站处理</w:t>
                  </w:r>
                  <w:r>
                    <w:rPr>
                      <w:rFonts w:hint="default" w:ascii="Times New Roman" w:hAnsi="Times New Roman" w:eastAsia="宋体" w:cs="Times New Roman"/>
                      <w:color w:val="auto"/>
                      <w:spacing w:val="0"/>
                      <w:sz w:val="21"/>
                      <w:szCs w:val="21"/>
                    </w:rPr>
                    <w:t>，</w:t>
                  </w:r>
                  <w:r>
                    <w:rPr>
                      <w:rFonts w:hint="default" w:ascii="Times New Roman" w:hAnsi="Times New Roman" w:eastAsia="宋体" w:cs="Times New Roman"/>
                      <w:color w:val="auto"/>
                      <w:spacing w:val="0"/>
                      <w:sz w:val="21"/>
                      <w:szCs w:val="21"/>
                      <w:highlight w:val="none"/>
                    </w:rPr>
                    <w:t>处理后还原土用于铺垫油区内的井场、道路</w:t>
                  </w:r>
                  <w:r>
                    <w:rPr>
                      <w:rFonts w:hint="default" w:ascii="Times New Roman" w:hAnsi="Times New Roman" w:eastAsia="宋体" w:cs="Times New Roman"/>
                      <w:color w:val="auto"/>
                      <w:spacing w:val="0"/>
                      <w:sz w:val="21"/>
                      <w:szCs w:val="21"/>
                      <w:highlight w:val="none"/>
                      <w:lang w:eastAsia="zh-CN"/>
                    </w:rPr>
                    <w:t>。</w:t>
                  </w: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固体废物</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0"/>
                      <w:sz w:val="21"/>
                      <w:szCs w:val="21"/>
                      <w:highlight w:val="none"/>
                      <w:lang w:eastAsia="zh-CN"/>
                    </w:rPr>
                    <w:t>沾油废物</w:t>
                  </w:r>
                  <w:r>
                    <w:rPr>
                      <w:rFonts w:hint="default" w:ascii="Times New Roman" w:hAnsi="Times New Roman" w:eastAsia="宋体" w:cs="Times New Roman"/>
                      <w:color w:val="auto"/>
                      <w:spacing w:val="0"/>
                      <w:sz w:val="21"/>
                      <w:szCs w:val="21"/>
                      <w:highlight w:val="none"/>
                    </w:rPr>
                    <w:t>（HW08 900-249-08）、废烧碱包装袋（HW49 900-</w:t>
                  </w:r>
                  <w:r>
                    <w:rPr>
                      <w:rFonts w:hint="default" w:ascii="Times New Roman" w:hAnsi="Times New Roman" w:eastAsia="宋体" w:cs="Times New Roman"/>
                      <w:color w:val="auto"/>
                      <w:spacing w:val="0"/>
                      <w:sz w:val="21"/>
                      <w:szCs w:val="21"/>
                      <w:highlight w:val="none"/>
                      <w:lang w:val="en-US" w:eastAsia="zh-CN"/>
                    </w:rPr>
                    <w:t>041-49</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sz w:val="21"/>
                      <w:szCs w:val="21"/>
                      <w:highlight w:val="none"/>
                      <w:lang w:eastAsia="zh-CN"/>
                    </w:rPr>
                    <w:t>废矿物油及其包装物</w:t>
                  </w:r>
                  <w:r>
                    <w:rPr>
                      <w:rFonts w:hint="default" w:ascii="Times New Roman" w:hAnsi="Times New Roman" w:eastAsia="宋体" w:cs="Times New Roman"/>
                      <w:color w:val="auto"/>
                      <w:spacing w:val="0"/>
                      <w:sz w:val="21"/>
                      <w:szCs w:val="21"/>
                      <w:highlight w:val="none"/>
                    </w:rPr>
                    <w:t>（HW08 900-249-08）</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桶装收集后暂存于</w:t>
                  </w:r>
                  <w:r>
                    <w:rPr>
                      <w:rFonts w:hint="default" w:ascii="Times New Roman" w:hAnsi="Times New Roman" w:eastAsia="宋体" w:cs="Times New Roman"/>
                      <w:color w:val="auto"/>
                      <w:spacing w:val="-10"/>
                      <w:sz w:val="21"/>
                      <w:szCs w:val="21"/>
                      <w:highlight w:val="none"/>
                      <w:lang w:eastAsia="zh-CN"/>
                    </w:rPr>
                    <w:t>危废暂存间</w:t>
                  </w:r>
                  <w:r>
                    <w:rPr>
                      <w:rFonts w:hint="default" w:ascii="Times New Roman" w:hAnsi="Times New Roman" w:eastAsia="宋体" w:cs="Times New Roman"/>
                      <w:color w:val="auto"/>
                      <w:spacing w:val="-10"/>
                      <w:sz w:val="21"/>
                      <w:szCs w:val="21"/>
                      <w:highlight w:val="none"/>
                    </w:rPr>
                    <w:t>，定期由有资质的单位接收处置</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废布袋</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厂家回收处置</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妥善处置</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锅炉灰渣及除尘灰</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统一收集后送至周边固废填埋场处理</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snapToGrid w:val="0"/>
                      <w:color w:val="auto"/>
                      <w:spacing w:val="0"/>
                      <w:kern w:val="0"/>
                      <w:szCs w:val="21"/>
                      <w:lang w:val="en-US" w:eastAsia="zh-CN" w:bidi="ar"/>
                    </w:rPr>
                    <w:t>其他原辅材料废包装</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外售综合利用</w:t>
                  </w:r>
                </w:p>
              </w:tc>
              <w:tc>
                <w:tcPr>
                  <w:tcW w:w="750" w:type="pct"/>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妥善处理</w:t>
                  </w: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污水处理站污泥</w:t>
                  </w:r>
                </w:p>
              </w:tc>
              <w:tc>
                <w:tcPr>
                  <w:tcW w:w="1423"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0"/>
                      <w:sz w:val="21"/>
                      <w:szCs w:val="21"/>
                      <w:highlight w:val="none"/>
                    </w:rPr>
                    <w:t>集中收集，</w:t>
                  </w:r>
                  <w:r>
                    <w:rPr>
                      <w:rFonts w:hint="default" w:ascii="Times New Roman" w:hAnsi="Times New Roman" w:eastAsia="宋体" w:cs="Times New Roman"/>
                      <w:color w:val="auto"/>
                      <w:spacing w:val="-10"/>
                      <w:sz w:val="21"/>
                      <w:szCs w:val="21"/>
                      <w:highlight w:val="none"/>
                    </w:rPr>
                    <w:t>定期送至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c>
                <w:tcPr>
                  <w:tcW w:w="750" w:type="pct"/>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妥善处理</w:t>
                  </w:r>
                </w:p>
              </w:tc>
              <w:tc>
                <w:tcPr>
                  <w:tcW w:w="555" w:type="pct"/>
                  <w:vMerge w:val="continue"/>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生活垃圾</w:t>
                  </w:r>
                </w:p>
              </w:tc>
              <w:tc>
                <w:tcPr>
                  <w:tcW w:w="1423"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环境风险管理</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环境风险</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防范措施</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snapToGrid w:val="0"/>
                      <w:color w:val="auto"/>
                      <w:spacing w:val="-10"/>
                      <w:sz w:val="21"/>
                      <w:szCs w:val="21"/>
                      <w:highlight w:val="none"/>
                    </w:rPr>
                    <w:t>安装井控设施、防喷培训、钻井液储备等，按钻井行业规范和设计要求完成；提高事故应急能力；防止污油泄漏下渗污染</w:t>
                  </w:r>
                  <w:r>
                    <w:rPr>
                      <w:rFonts w:hint="default" w:ascii="Times New Roman" w:hAnsi="Times New Roman" w:eastAsia="宋体" w:cs="Times New Roman"/>
                      <w:snapToGrid w:val="0"/>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snapToGrid w:val="0"/>
                      <w:color w:val="auto"/>
                      <w:spacing w:val="-10"/>
                      <w:sz w:val="21"/>
                      <w:szCs w:val="21"/>
                      <w:highlight w:val="none"/>
                    </w:rPr>
                    <w:t>风险防范设施数量按照消防、安全等相关要求设置</w:t>
                  </w:r>
                  <w:r>
                    <w:rPr>
                      <w:rFonts w:hint="default" w:ascii="Times New Roman" w:hAnsi="Times New Roman" w:eastAsia="宋体" w:cs="Times New Roman"/>
                      <w:snapToGrid w:val="0"/>
                      <w:color w:val="auto"/>
                      <w:spacing w:val="-10"/>
                      <w:sz w:val="21"/>
                      <w:szCs w:val="21"/>
                      <w:highlight w:val="none"/>
                      <w:lang w:eastAsia="zh-CN"/>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将环境风险控制在可防控范围内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应急预案</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合理有效组织各机构部门进行应急、抢险、救援、疏散及控制措施、应急监测</w:t>
                  </w:r>
                  <w:r>
                    <w:rPr>
                      <w:rFonts w:hint="default" w:ascii="Times New Roman" w:hAnsi="Times New Roman" w:eastAsia="宋体" w:cs="Times New Roman"/>
                      <w:color w:val="auto"/>
                      <w:spacing w:val="-10"/>
                      <w:sz w:val="21"/>
                      <w:szCs w:val="21"/>
                      <w:highlight w:val="none"/>
                      <w:lang w:eastAsia="zh-CN" w:bidi="ar"/>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修改完善，并定期演练</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将环境风险控制在可防控范围内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39"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生态恢复</w:t>
                  </w:r>
                </w:p>
              </w:tc>
              <w:tc>
                <w:tcPr>
                  <w:tcW w:w="2210" w:type="pct"/>
                  <w:gridSpan w:val="5"/>
                  <w:noWrap w:val="0"/>
                  <w:tcMar>
                    <w:left w:w="28" w:type="dxa"/>
                    <w:right w:w="28" w:type="dxa"/>
                  </w:tcMar>
                  <w:vAlign w:val="center"/>
                </w:tcPr>
                <w:p>
                  <w:pPr>
                    <w:keepNext w:val="0"/>
                    <w:keepLines w:val="0"/>
                    <w:pageBreakBefore w:val="0"/>
                    <w:widowControl/>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sz w:val="21"/>
                      <w:szCs w:val="21"/>
                      <w:highlight w:val="none"/>
                    </w:rPr>
                    <w:t>严格控制施工作业范围，施工车辆严禁停放在施工场地以外区域，避免对植被的碾压破坏</w:t>
                  </w:r>
                  <w:r>
                    <w:rPr>
                      <w:rFonts w:hint="default" w:ascii="Times New Roman" w:hAnsi="Times New Roman" w:eastAsia="宋体" w:cs="Times New Roman"/>
                      <w:color w:val="auto"/>
                      <w:spacing w:val="-10"/>
                      <w:sz w:val="21"/>
                      <w:szCs w:val="21"/>
                      <w:highlight w:val="none"/>
                      <w:lang w:eastAsia="zh-CN"/>
                    </w:rPr>
                    <w:t>。</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施工结束后及时恢复原状，不降低土壤环境质量</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13</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210" w:type="pct"/>
                  <w:gridSpan w:val="5"/>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sz w:val="21"/>
                      <w:szCs w:val="21"/>
                      <w:highlight w:val="none"/>
                    </w:rPr>
                    <w:t>完钻后</w:t>
                  </w:r>
                  <w:r>
                    <w:rPr>
                      <w:rFonts w:hint="default" w:ascii="Times New Roman" w:hAnsi="Times New Roman" w:eastAsia="宋体" w:cs="Times New Roman"/>
                      <w:color w:val="auto"/>
                      <w:spacing w:val="-10"/>
                      <w:kern w:val="0"/>
                      <w:sz w:val="21"/>
                      <w:szCs w:val="21"/>
                      <w:highlight w:val="none"/>
                      <w:lang w:bidi="ar"/>
                    </w:rPr>
                    <w:t>井场、生活区、道路等临时占地恢复，</w:t>
                  </w:r>
                  <w:r>
                    <w:rPr>
                      <w:rFonts w:hint="default" w:ascii="Times New Roman" w:hAnsi="Times New Roman" w:eastAsia="宋体" w:cs="Times New Roman"/>
                      <w:color w:val="auto"/>
                      <w:spacing w:val="-10"/>
                      <w:sz w:val="21"/>
                      <w:szCs w:val="21"/>
                      <w:highlight w:val="none"/>
                    </w:rPr>
                    <w:t>场地平整，防沙治沙</w:t>
                  </w:r>
                  <w:r>
                    <w:rPr>
                      <w:rFonts w:hint="default" w:ascii="Times New Roman" w:hAnsi="Times New Roman" w:eastAsia="宋体" w:cs="Times New Roman"/>
                      <w:color w:val="auto"/>
                      <w:spacing w:val="-10"/>
                      <w:sz w:val="21"/>
                      <w:szCs w:val="21"/>
                      <w:highlight w:val="none"/>
                      <w:lang w:eastAsia="zh-CN"/>
                    </w:rPr>
                    <w:t>。</w:t>
                  </w: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210" w:type="pct"/>
                  <w:gridSpan w:val="5"/>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rPr>
                    <w:t>针对施工期临时占地区域植被恢复情况进行生态监测，监测因子为植被恢复效果，纳入竣工环境保护验收监测，方法为巡视。植被恢复质量标准：临时占地植被恢复至原状态</w:t>
                  </w:r>
                  <w:r>
                    <w:rPr>
                      <w:rFonts w:hint="default" w:ascii="Times New Roman" w:hAnsi="Times New Roman" w:eastAsia="宋体" w:cs="Times New Roman"/>
                      <w:color w:val="auto"/>
                      <w:spacing w:val="-10"/>
                      <w:sz w:val="21"/>
                      <w:szCs w:val="21"/>
                      <w:highlight w:val="none"/>
                      <w:lang w:eastAsia="zh-CN"/>
                    </w:rPr>
                    <w:t>。</w:t>
                  </w: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防渗</w:t>
                  </w:r>
                </w:p>
              </w:tc>
              <w:tc>
                <w:tcPr>
                  <w:tcW w:w="515"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重点</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防渗区</w:t>
                  </w: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柴油罐区</w:t>
                  </w:r>
                </w:p>
              </w:tc>
              <w:tc>
                <w:tcPr>
                  <w:tcW w:w="626"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铺设防渗材料</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等效黏土防渗层Mb≥6.0m，K≤1×10</w:t>
                  </w:r>
                  <w:r>
                    <w:rPr>
                      <w:rFonts w:hint="default" w:ascii="Times New Roman" w:hAnsi="Times New Roman" w:eastAsia="宋体" w:cs="Times New Roman"/>
                      <w:color w:val="auto"/>
                      <w:spacing w:val="-10"/>
                      <w:kern w:val="0"/>
                      <w:sz w:val="21"/>
                      <w:szCs w:val="21"/>
                      <w:highlight w:val="none"/>
                      <w:vertAlign w:val="superscript"/>
                    </w:rPr>
                    <w:t>-7</w:t>
                  </w:r>
                  <w:r>
                    <w:rPr>
                      <w:rFonts w:hint="default" w:ascii="Times New Roman" w:hAnsi="Times New Roman" w:eastAsia="宋体" w:cs="Times New Roman"/>
                      <w:color w:val="auto"/>
                      <w:spacing w:val="-10"/>
                      <w:kern w:val="0"/>
                      <w:sz w:val="21"/>
                      <w:szCs w:val="21"/>
                      <w:highlight w:val="none"/>
                    </w:rPr>
                    <w:t>cm/s，或参照GB18598执行</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val="en-US" w:eastAsia="zh-CN"/>
                    </w:rPr>
                    <w:t>5</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按要求建设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危废暂存间</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不落地收集装置</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放喷池</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钻井平台</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柴油发电机区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凝析油罐区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试油区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62"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一般</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防渗区</w:t>
                  </w: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泥浆泵区</w:t>
                  </w:r>
                </w:p>
              </w:tc>
              <w:tc>
                <w:tcPr>
                  <w:tcW w:w="626"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铺设防渗材料</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一般防渗区等效黏土防渗层Mb≥1.5m，K≤1×10</w:t>
                  </w:r>
                  <w:r>
                    <w:rPr>
                      <w:rFonts w:hint="default" w:ascii="Times New Roman" w:hAnsi="Times New Roman" w:eastAsia="宋体" w:cs="Times New Roman"/>
                      <w:color w:val="auto"/>
                      <w:spacing w:val="-10"/>
                      <w:kern w:val="0"/>
                      <w:sz w:val="21"/>
                      <w:szCs w:val="21"/>
                      <w:highlight w:val="none"/>
                      <w:vertAlign w:val="superscript"/>
                    </w:rPr>
                    <w:t>-7</w:t>
                  </w:r>
                  <w:r>
                    <w:rPr>
                      <w:rFonts w:hint="default" w:ascii="Times New Roman" w:hAnsi="Times New Roman" w:eastAsia="宋体" w:cs="Times New Roman"/>
                      <w:color w:val="auto"/>
                      <w:spacing w:val="-10"/>
                      <w:kern w:val="0"/>
                      <w:sz w:val="21"/>
                      <w:szCs w:val="21"/>
                      <w:highlight w:val="none"/>
                    </w:rPr>
                    <w:t>cm/s，或参照GB18598执行</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按要求建设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5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泥浆罐区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膨润土岩</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屑池</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其他费用</w:t>
                  </w:r>
                </w:p>
              </w:tc>
              <w:tc>
                <w:tcPr>
                  <w:tcW w:w="2961" w:type="pct"/>
                  <w:gridSpan w:val="6"/>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征地费</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961" w:type="pct"/>
                  <w:gridSpan w:val="6"/>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专项评价及验收费</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961" w:type="pct"/>
                  <w:gridSpan w:val="6"/>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 xml:space="preserve">场地准备及临时设施费 </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0" w:type="pct"/>
                  <w:gridSpan w:val="7"/>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环保投资合计</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bl>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line="440" w:lineRule="exact"/>
              <w:ind w:left="0" w:right="0"/>
              <w:rPr>
                <w:rFonts w:hint="default" w:ascii="Times New Roman" w:hAnsi="Times New Roman" w:eastAsia="宋体" w:cs="Times New Roman"/>
                <w:color w:val="auto"/>
                <w:szCs w:val="21"/>
                <w:highlight w:val="none"/>
                <w:lang w:eastAsia="zh-CN"/>
              </w:rPr>
            </w:pPr>
          </w:p>
        </w:tc>
      </w:tr>
    </w:tbl>
    <w:p>
      <w:pPr>
        <w:pStyle w:val="29"/>
        <w:jc w:val="center"/>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bCs/>
          <w:color w:val="0000FF"/>
          <w:szCs w:val="21"/>
          <w:highlight w:val="none"/>
        </w:rPr>
        <w:br w:type="page"/>
      </w:r>
      <w:bookmarkStart w:id="53" w:name="_Toc32339"/>
      <w:r>
        <w:rPr>
          <w:rFonts w:hint="default" w:ascii="Times New Roman" w:hAnsi="Times New Roman" w:eastAsia="宋体" w:cs="Times New Roman"/>
          <w:b/>
          <w:bCs/>
          <w:snapToGrid w:val="0"/>
          <w:color w:val="auto"/>
          <w:sz w:val="30"/>
          <w:szCs w:val="30"/>
          <w:highlight w:val="none"/>
        </w:rPr>
        <w:t>六、生态环境保护措施监督检查清单</w:t>
      </w:r>
      <w:bookmarkEnd w:id="53"/>
    </w:p>
    <w:tbl>
      <w:tblPr>
        <w:tblStyle w:val="32"/>
        <w:tblW w:w="500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942"/>
        <w:gridCol w:w="3789"/>
        <w:gridCol w:w="2753"/>
        <w:gridCol w:w="841"/>
        <w:gridCol w:w="74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restart"/>
            <w:tcBorders>
              <w:tl2br w:val="single" w:color="auto" w:sz="4" w:space="0"/>
            </w:tcBorders>
            <w:noWrap w:val="0"/>
            <w:tcMar>
              <w:left w:w="108" w:type="dxa"/>
              <w:right w:w="108" w:type="dxa"/>
            </w:tcMar>
            <w:vAlign w:val="top"/>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rPr>
              <w:t xml:space="preserve">  </w:t>
            </w:r>
            <w:bookmarkStart w:id="54" w:name="_Toc10017"/>
            <w:bookmarkStart w:id="55" w:name="_Toc197412929"/>
            <w:bookmarkStart w:id="56" w:name="_Toc25253"/>
            <w:bookmarkStart w:id="57" w:name="_Toc197413063"/>
            <w:bookmarkStart w:id="58" w:name="_Toc7662"/>
            <w:bookmarkStart w:id="59" w:name="_Toc29900"/>
            <w:bookmarkStart w:id="60" w:name="_Toc13496"/>
            <w:r>
              <w:rPr>
                <w:rFonts w:hint="default" w:ascii="Times New Roman" w:hAnsi="Times New Roman" w:eastAsia="宋体" w:cs="Times New Roman"/>
                <w:b/>
                <w:bCs/>
                <w:color w:val="auto"/>
                <w:kern w:val="2"/>
                <w:sz w:val="24"/>
                <w:szCs w:val="24"/>
                <w:highlight w:val="none"/>
                <w:lang w:val="en-US" w:eastAsia="zh-CN"/>
              </w:rPr>
              <w:t>内容</w:t>
            </w:r>
            <w:bookmarkEnd w:id="54"/>
            <w:bookmarkEnd w:id="55"/>
            <w:bookmarkEnd w:id="56"/>
            <w:bookmarkEnd w:id="57"/>
            <w:bookmarkEnd w:id="58"/>
            <w:bookmarkEnd w:id="59"/>
            <w:bookmarkEnd w:id="60"/>
          </w:p>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rPr>
              <w:t xml:space="preserve">  </w:t>
            </w:r>
          </w:p>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61" w:name="_Toc197412930"/>
            <w:bookmarkStart w:id="62" w:name="_Toc913"/>
            <w:bookmarkStart w:id="63" w:name="_Toc20981"/>
            <w:bookmarkStart w:id="64" w:name="_Toc197413064"/>
            <w:bookmarkStart w:id="65" w:name="_Toc31541"/>
            <w:bookmarkStart w:id="66" w:name="_Toc4698"/>
            <w:bookmarkStart w:id="67" w:name="_Toc18372"/>
            <w:r>
              <w:rPr>
                <w:rFonts w:hint="default" w:ascii="Times New Roman" w:hAnsi="Times New Roman" w:eastAsia="宋体" w:cs="Times New Roman"/>
                <w:b/>
                <w:bCs/>
                <w:color w:val="auto"/>
                <w:kern w:val="2"/>
                <w:sz w:val="24"/>
                <w:szCs w:val="24"/>
                <w:highlight w:val="none"/>
                <w:lang w:val="en-US" w:eastAsia="zh-CN"/>
              </w:rPr>
              <w:t>要素</w:t>
            </w:r>
            <w:bookmarkEnd w:id="61"/>
            <w:bookmarkEnd w:id="62"/>
            <w:bookmarkEnd w:id="63"/>
            <w:bookmarkEnd w:id="64"/>
            <w:bookmarkEnd w:id="65"/>
            <w:bookmarkEnd w:id="66"/>
            <w:bookmarkEnd w:id="67"/>
          </w:p>
        </w:tc>
        <w:tc>
          <w:tcPr>
            <w:tcW w:w="3605" w:type="pct"/>
            <w:gridSpan w:val="2"/>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68" w:name="_Toc9744"/>
            <w:bookmarkStart w:id="69" w:name="_Toc25849"/>
            <w:bookmarkStart w:id="70" w:name="_Toc197413065"/>
            <w:bookmarkStart w:id="71" w:name="_Toc13874"/>
            <w:bookmarkStart w:id="72" w:name="_Toc26832"/>
            <w:bookmarkStart w:id="73" w:name="_Toc197412931"/>
            <w:bookmarkStart w:id="74" w:name="_Toc11559"/>
            <w:r>
              <w:rPr>
                <w:rFonts w:hint="default" w:ascii="Times New Roman" w:hAnsi="Times New Roman" w:eastAsia="宋体" w:cs="Times New Roman"/>
                <w:b/>
                <w:bCs/>
                <w:color w:val="auto"/>
                <w:kern w:val="2"/>
                <w:sz w:val="24"/>
                <w:szCs w:val="24"/>
                <w:highlight w:val="none"/>
                <w:lang w:val="en-US" w:eastAsia="zh-CN"/>
              </w:rPr>
              <w:t>施工期</w:t>
            </w:r>
            <w:bookmarkEnd w:id="68"/>
            <w:bookmarkEnd w:id="69"/>
            <w:bookmarkEnd w:id="70"/>
            <w:bookmarkEnd w:id="71"/>
            <w:bookmarkEnd w:id="72"/>
            <w:bookmarkEnd w:id="73"/>
            <w:bookmarkEnd w:id="74"/>
          </w:p>
        </w:tc>
        <w:tc>
          <w:tcPr>
            <w:tcW w:w="874" w:type="pct"/>
            <w:gridSpan w:val="2"/>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75" w:name="_Toc197413066"/>
            <w:bookmarkStart w:id="76" w:name="_Toc4589"/>
            <w:bookmarkStart w:id="77" w:name="_Toc19021"/>
            <w:bookmarkStart w:id="78" w:name="_Toc13824"/>
            <w:bookmarkStart w:id="79" w:name="_Toc26913"/>
            <w:bookmarkStart w:id="80" w:name="_Toc7621"/>
            <w:bookmarkStart w:id="81" w:name="_Toc197412932"/>
            <w:r>
              <w:rPr>
                <w:rFonts w:hint="default" w:ascii="Times New Roman" w:hAnsi="Times New Roman" w:eastAsia="宋体" w:cs="Times New Roman"/>
                <w:b/>
                <w:bCs/>
                <w:color w:val="auto"/>
                <w:kern w:val="2"/>
                <w:sz w:val="24"/>
                <w:szCs w:val="24"/>
                <w:highlight w:val="none"/>
                <w:lang w:val="en-US" w:eastAsia="zh-CN"/>
              </w:rPr>
              <w:t>运营期</w:t>
            </w:r>
            <w:bookmarkEnd w:id="75"/>
            <w:bookmarkEnd w:id="76"/>
            <w:bookmarkEnd w:id="77"/>
            <w:bookmarkEnd w:id="78"/>
            <w:bookmarkEnd w:id="79"/>
            <w:bookmarkEnd w:id="80"/>
            <w:bookmarkEnd w:id="81"/>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continue"/>
            <w:noWrap w:val="0"/>
            <w:tcMar>
              <w:left w:w="108" w:type="dxa"/>
              <w:right w:w="108" w:type="dxa"/>
            </w:tcMar>
            <w:vAlign w:val="top"/>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84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p>
        </w:tc>
        <w:tc>
          <w:tcPr>
            <w:tcW w:w="2088" w:type="pct"/>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82" w:name="_Toc197412933"/>
            <w:bookmarkStart w:id="83" w:name="_Toc17800"/>
            <w:bookmarkStart w:id="84" w:name="_Toc741"/>
            <w:bookmarkStart w:id="85" w:name="_Toc197413067"/>
            <w:bookmarkStart w:id="86" w:name="_Toc11643"/>
            <w:bookmarkStart w:id="87" w:name="_Toc29174"/>
            <w:bookmarkStart w:id="88" w:name="_Toc32376"/>
            <w:r>
              <w:rPr>
                <w:rFonts w:hint="default" w:ascii="Times New Roman" w:hAnsi="Times New Roman" w:eastAsia="宋体" w:cs="Times New Roman"/>
                <w:b/>
                <w:bCs/>
                <w:color w:val="auto"/>
                <w:kern w:val="2"/>
                <w:sz w:val="24"/>
                <w:szCs w:val="24"/>
                <w:highlight w:val="none"/>
                <w:lang w:val="en-US" w:eastAsia="zh-CN"/>
              </w:rPr>
              <w:t>环境保护措施</w:t>
            </w:r>
            <w:bookmarkEnd w:id="82"/>
            <w:bookmarkEnd w:id="83"/>
            <w:bookmarkEnd w:id="84"/>
            <w:bookmarkEnd w:id="85"/>
            <w:bookmarkEnd w:id="86"/>
            <w:bookmarkEnd w:id="87"/>
            <w:bookmarkEnd w:id="88"/>
          </w:p>
        </w:tc>
        <w:tc>
          <w:tcPr>
            <w:tcW w:w="1517" w:type="pct"/>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89" w:name="_Toc3481"/>
            <w:bookmarkStart w:id="90" w:name="_Toc19084"/>
            <w:bookmarkStart w:id="91" w:name="_Toc197413068"/>
            <w:bookmarkStart w:id="92" w:name="_Toc197412934"/>
            <w:bookmarkStart w:id="93" w:name="_Toc19529"/>
            <w:bookmarkStart w:id="94" w:name="_Toc16286"/>
            <w:bookmarkStart w:id="95" w:name="_Toc27085"/>
            <w:r>
              <w:rPr>
                <w:rFonts w:hint="default" w:ascii="Times New Roman" w:hAnsi="Times New Roman" w:eastAsia="宋体" w:cs="Times New Roman"/>
                <w:b/>
                <w:bCs/>
                <w:color w:val="auto"/>
                <w:kern w:val="2"/>
                <w:sz w:val="24"/>
                <w:szCs w:val="24"/>
                <w:highlight w:val="none"/>
                <w:lang w:val="en-US" w:eastAsia="zh-CN"/>
              </w:rPr>
              <w:t>验收要求</w:t>
            </w:r>
            <w:bookmarkEnd w:id="89"/>
            <w:bookmarkEnd w:id="90"/>
            <w:bookmarkEnd w:id="91"/>
            <w:bookmarkEnd w:id="92"/>
            <w:bookmarkEnd w:id="93"/>
            <w:bookmarkEnd w:id="94"/>
            <w:bookmarkEnd w:id="95"/>
          </w:p>
        </w:tc>
        <w:tc>
          <w:tcPr>
            <w:tcW w:w="463" w:type="pct"/>
            <w:noWrap w:val="0"/>
            <w:tcMar>
              <w:left w:w="108" w:type="dxa"/>
              <w:right w:w="108" w:type="dxa"/>
            </w:tcMar>
            <w:vAlign w:val="center"/>
          </w:tcPr>
          <w:p>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96" w:name="_Toc18334"/>
            <w:bookmarkStart w:id="97" w:name="_Toc197412935"/>
            <w:bookmarkStart w:id="98" w:name="_Toc13005"/>
            <w:bookmarkStart w:id="99" w:name="_Toc13152"/>
            <w:bookmarkStart w:id="100" w:name="_Toc197413069"/>
            <w:bookmarkStart w:id="101" w:name="_Toc27641"/>
            <w:bookmarkStart w:id="102" w:name="_Toc14230"/>
            <w:r>
              <w:rPr>
                <w:rFonts w:hint="default" w:ascii="Times New Roman" w:hAnsi="Times New Roman" w:eastAsia="宋体" w:cs="Times New Roman"/>
                <w:b/>
                <w:bCs/>
                <w:color w:val="auto"/>
                <w:kern w:val="2"/>
                <w:sz w:val="24"/>
                <w:szCs w:val="24"/>
                <w:highlight w:val="none"/>
                <w:lang w:val="en-US" w:eastAsia="zh-CN"/>
              </w:rPr>
              <w:t>环境保护措施</w:t>
            </w:r>
            <w:bookmarkEnd w:id="96"/>
            <w:bookmarkEnd w:id="97"/>
            <w:bookmarkEnd w:id="98"/>
            <w:bookmarkEnd w:id="99"/>
            <w:bookmarkEnd w:id="100"/>
            <w:bookmarkEnd w:id="101"/>
            <w:bookmarkEnd w:id="102"/>
          </w:p>
        </w:tc>
        <w:tc>
          <w:tcPr>
            <w:tcW w:w="411" w:type="pct"/>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103" w:name="_Toc197413070"/>
            <w:bookmarkStart w:id="104" w:name="_Toc6308"/>
            <w:bookmarkStart w:id="105" w:name="_Toc22579"/>
            <w:bookmarkStart w:id="106" w:name="_Toc14554"/>
            <w:bookmarkStart w:id="107" w:name="_Toc197412936"/>
            <w:bookmarkStart w:id="108" w:name="_Toc24599"/>
            <w:bookmarkStart w:id="109" w:name="_Toc22696"/>
            <w:r>
              <w:rPr>
                <w:rFonts w:hint="default" w:ascii="Times New Roman" w:hAnsi="Times New Roman" w:eastAsia="宋体" w:cs="Times New Roman"/>
                <w:b/>
                <w:bCs/>
                <w:color w:val="auto"/>
                <w:kern w:val="2"/>
                <w:sz w:val="24"/>
                <w:szCs w:val="24"/>
                <w:highlight w:val="none"/>
                <w:lang w:val="en-US" w:eastAsia="zh-CN"/>
              </w:rPr>
              <w:t>验收要求</w:t>
            </w:r>
            <w:bookmarkEnd w:id="103"/>
            <w:bookmarkEnd w:id="104"/>
            <w:bookmarkEnd w:id="105"/>
            <w:bookmarkEnd w:id="106"/>
            <w:bookmarkEnd w:id="107"/>
            <w:bookmarkEnd w:id="108"/>
            <w:bookmarkEnd w:id="10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陆生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严格控制施工作业范围，施工车辆严禁停放在施工场地以外区域，避免对植被的碾压破坏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施工道路建设过程中充分利用现有道路。禁止猎杀野生动物。</w:t>
            </w:r>
          </w:p>
        </w:tc>
        <w:tc>
          <w:tcPr>
            <w:tcW w:w="1517"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施工</w:t>
            </w:r>
            <w:r>
              <w:rPr>
                <w:rFonts w:hint="default" w:ascii="Times New Roman" w:hAnsi="Times New Roman" w:eastAsia="宋体" w:cs="Times New Roman"/>
                <w:color w:val="auto"/>
                <w:sz w:val="24"/>
                <w:szCs w:val="24"/>
                <w:highlight w:val="none"/>
                <w:lang w:bidi="ar"/>
              </w:rPr>
              <w:t>结束后及时恢复原状，不降低</w:t>
            </w:r>
            <w:r>
              <w:rPr>
                <w:rFonts w:hint="default" w:ascii="Times New Roman" w:hAnsi="Times New Roman" w:eastAsia="宋体" w:cs="Times New Roman"/>
                <w:color w:val="auto"/>
                <w:sz w:val="24"/>
                <w:szCs w:val="24"/>
                <w:highlight w:val="none"/>
              </w:rPr>
              <w:t>土壤</w:t>
            </w:r>
            <w:r>
              <w:rPr>
                <w:rFonts w:hint="default" w:ascii="Times New Roman" w:hAnsi="Times New Roman" w:eastAsia="宋体" w:cs="Times New Roman"/>
                <w:color w:val="auto"/>
                <w:sz w:val="24"/>
                <w:szCs w:val="24"/>
                <w:highlight w:val="none"/>
                <w:lang w:bidi="ar"/>
              </w:rPr>
              <w:t>环境质量</w:t>
            </w:r>
            <w:r>
              <w:rPr>
                <w:rFonts w:hint="default" w:ascii="Times New Roman" w:hAnsi="Times New Roman" w:eastAsia="宋体" w:cs="Times New Roman"/>
                <w:color w:val="auto"/>
                <w:sz w:val="24"/>
                <w:szCs w:val="24"/>
                <w:highlight w:val="none"/>
                <w:lang w:eastAsia="zh-CN" w:bidi="ar"/>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加强施工管理，洒水施工，减少临时土方堆放等措施落实防沙治沙措施</w:t>
            </w:r>
            <w:r>
              <w:rPr>
                <w:rFonts w:hint="default" w:ascii="Times New Roman" w:hAnsi="Times New Roman" w:eastAsia="宋体" w:cs="Times New Roman"/>
                <w:color w:val="auto"/>
                <w:sz w:val="24"/>
                <w:szCs w:val="24"/>
                <w:highlight w:val="none"/>
                <w:lang w:eastAsia="zh-CN"/>
              </w:rPr>
              <w:t>。</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完钻后</w:t>
            </w:r>
            <w:r>
              <w:rPr>
                <w:rFonts w:hint="default" w:ascii="Times New Roman" w:hAnsi="Times New Roman" w:eastAsia="宋体" w:cs="Times New Roman"/>
                <w:color w:val="auto"/>
                <w:kern w:val="0"/>
                <w:sz w:val="24"/>
                <w:szCs w:val="24"/>
                <w:highlight w:val="none"/>
                <w:lang w:bidi="ar"/>
              </w:rPr>
              <w:t>井场、生活区、道路等临时占地恢复，</w:t>
            </w:r>
            <w:r>
              <w:rPr>
                <w:rFonts w:hint="default" w:ascii="Times New Roman" w:hAnsi="Times New Roman" w:eastAsia="宋体" w:cs="Times New Roman"/>
                <w:color w:val="auto"/>
                <w:sz w:val="24"/>
                <w:szCs w:val="24"/>
                <w:highlight w:val="none"/>
              </w:rPr>
              <w:t>场地平整</w:t>
            </w:r>
            <w:r>
              <w:rPr>
                <w:rFonts w:hint="default" w:ascii="Times New Roman" w:hAnsi="Times New Roman" w:eastAsia="宋体" w:cs="Times New Roman"/>
                <w:color w:val="auto"/>
                <w:sz w:val="24"/>
                <w:szCs w:val="24"/>
                <w:highlight w:val="none"/>
                <w:lang w:eastAsia="zh-CN"/>
              </w:rPr>
              <w:t>。</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w:t>
            </w:r>
          </w:p>
        </w:tc>
        <w:tc>
          <w:tcPr>
            <w:tcW w:w="2088"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517"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Cs/>
                <w:color w:val="auto"/>
                <w:sz w:val="24"/>
                <w:szCs w:val="24"/>
                <w:highlight w:val="none"/>
                <w:lang w:eastAsia="zh-CN" w:bidi="ar"/>
              </w:rPr>
            </w:pPr>
            <w:r>
              <w:rPr>
                <w:rFonts w:hint="default" w:ascii="Times New Roman" w:hAnsi="Times New Roman" w:eastAsia="宋体" w:cs="Times New Roman"/>
                <w:bCs/>
                <w:color w:val="auto"/>
                <w:sz w:val="24"/>
                <w:szCs w:val="24"/>
                <w:highlight w:val="none"/>
                <w:lang w:eastAsia="zh-CN" w:bidi="ar"/>
              </w:rPr>
              <w:t>钻井废水与钻井泥浆、岩屑一同进入不落地系统处理，处理后的液相全部回用于钻井液配制</w:t>
            </w:r>
            <w:r>
              <w:rPr>
                <w:rFonts w:hint="default" w:ascii="Times New Roman" w:hAnsi="Times New Roman" w:eastAsia="宋体" w:cs="Times New Roman"/>
                <w:bCs/>
                <w:color w:val="auto"/>
                <w:sz w:val="24"/>
                <w:szCs w:val="24"/>
                <w:highlight w:val="none"/>
                <w:lang w:val="en-US" w:eastAsia="zh-CN" w:bidi="ar"/>
              </w:rPr>
              <w:t>，</w:t>
            </w:r>
            <w:r>
              <w:rPr>
                <w:rFonts w:hint="default" w:ascii="Times New Roman" w:hAnsi="Times New Roman" w:eastAsia="宋体" w:cs="Times New Roman"/>
                <w:bCs/>
                <w:color w:val="auto"/>
                <w:sz w:val="24"/>
                <w:szCs w:val="24"/>
                <w:highlight w:val="none"/>
                <w:lang w:eastAsia="zh-CN" w:bidi="ar"/>
              </w:rPr>
              <w:t>不外排。</w:t>
            </w:r>
          </w:p>
        </w:tc>
        <w:tc>
          <w:tcPr>
            <w:tcW w:w="1517"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bCs/>
                <w:color w:val="auto"/>
                <w:sz w:val="24"/>
                <w:szCs w:val="24"/>
                <w:highlight w:val="none"/>
                <w:lang w:val="en-US" w:eastAsia="zh-CN" w:bidi="ar"/>
              </w:rPr>
              <w:t>不外排</w:t>
            </w:r>
            <w:r>
              <w:rPr>
                <w:rFonts w:hint="default" w:ascii="Times New Roman" w:hAnsi="Times New Roman" w:eastAsia="宋体" w:cs="Times New Roman"/>
                <w:bCs/>
                <w:color w:val="auto"/>
                <w:sz w:val="24"/>
                <w:szCs w:val="24"/>
                <w:highlight w:val="none"/>
                <w:lang w:eastAsia="zh-CN" w:bidi="ar"/>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Cs/>
                <w:color w:val="auto"/>
                <w:sz w:val="24"/>
                <w:szCs w:val="24"/>
                <w:highlight w:val="none"/>
                <w:lang w:eastAsia="zh-CN" w:bidi="ar"/>
              </w:rPr>
            </w:pPr>
            <w:r>
              <w:rPr>
                <w:rFonts w:hint="default" w:ascii="Times New Roman" w:hAnsi="Times New Roman" w:eastAsia="宋体" w:cs="Times New Roman"/>
                <w:bCs/>
                <w:color w:val="auto"/>
                <w:sz w:val="24"/>
                <w:szCs w:val="24"/>
                <w:highlight w:val="none"/>
                <w:lang w:bidi="ar"/>
              </w:rPr>
              <w:t>酸化压裂返排液在井场加碱中和后，暂存于废液收集罐，运至富源7环保处理站处置</w:t>
            </w:r>
            <w:r>
              <w:rPr>
                <w:rFonts w:hint="default" w:ascii="Times New Roman" w:hAnsi="Times New Roman" w:eastAsia="宋体" w:cs="Times New Roman"/>
                <w:bCs/>
                <w:color w:val="auto"/>
                <w:sz w:val="24"/>
                <w:szCs w:val="24"/>
                <w:highlight w:val="none"/>
                <w:lang w:eastAsia="zh-CN" w:bidi="ar"/>
              </w:rPr>
              <w:t>。</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Cs/>
                <w:color w:val="auto"/>
                <w:sz w:val="24"/>
                <w:szCs w:val="24"/>
                <w:highlight w:val="none"/>
                <w:lang w:eastAsia="zh-CN" w:bidi="ar"/>
              </w:rPr>
            </w:pPr>
            <w:r>
              <w:rPr>
                <w:rFonts w:hint="default" w:ascii="Times New Roman" w:hAnsi="Times New Roman" w:eastAsia="宋体" w:cs="Times New Roman"/>
                <w:bCs/>
                <w:color w:val="auto"/>
                <w:sz w:val="24"/>
                <w:szCs w:val="24"/>
                <w:highlight w:val="none"/>
                <w:lang w:bidi="ar"/>
              </w:rPr>
              <w:t>锅炉排污水用作周边洒水抑尘</w:t>
            </w:r>
            <w:r>
              <w:rPr>
                <w:rFonts w:hint="default" w:ascii="Times New Roman" w:hAnsi="Times New Roman" w:eastAsia="宋体" w:cs="Times New Roman"/>
                <w:bCs/>
                <w:color w:val="auto"/>
                <w:sz w:val="24"/>
                <w:szCs w:val="24"/>
                <w:highlight w:val="none"/>
                <w:lang w:eastAsia="zh-CN" w:bidi="ar"/>
              </w:rPr>
              <w:t>。</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生活污水</w:t>
            </w:r>
            <w:r>
              <w:rPr>
                <w:rFonts w:hint="default" w:ascii="Times New Roman" w:hAnsi="Times New Roman" w:eastAsia="宋体" w:cs="Times New Roman"/>
                <w:color w:val="auto"/>
                <w:sz w:val="24"/>
                <w:szCs w:val="24"/>
                <w:highlight w:val="none"/>
                <w:lang w:val="en-US" w:eastAsia="zh-CN"/>
              </w:rPr>
              <w:t>经污水处理站处理后，用于荒漠生态恢复</w:t>
            </w:r>
            <w:r>
              <w:rPr>
                <w:rFonts w:hint="default" w:ascii="Times New Roman" w:hAnsi="Times New Roman" w:eastAsia="宋体" w:cs="Times New Roman"/>
                <w:color w:val="auto"/>
                <w:sz w:val="24"/>
                <w:szCs w:val="24"/>
                <w:highlight w:val="none"/>
                <w:lang w:eastAsia="zh-CN"/>
              </w:rPr>
              <w:t>。</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地下水及土壤环境</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重点防渗区</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柴油罐区、柴油发电机区、</w:t>
            </w:r>
            <w:r>
              <w:rPr>
                <w:rFonts w:hint="default" w:ascii="Times New Roman" w:hAnsi="Times New Roman" w:eastAsia="宋体" w:cs="Times New Roman"/>
                <w:color w:val="auto"/>
                <w:sz w:val="24"/>
                <w:szCs w:val="24"/>
                <w:highlight w:val="none"/>
                <w:lang w:eastAsia="zh-CN"/>
              </w:rPr>
              <w:t>危废暂存间</w:t>
            </w:r>
            <w:r>
              <w:rPr>
                <w:rFonts w:hint="default" w:ascii="Times New Roman" w:hAnsi="Times New Roman" w:eastAsia="宋体" w:cs="Times New Roman"/>
                <w:color w:val="auto"/>
                <w:sz w:val="24"/>
                <w:szCs w:val="24"/>
                <w:highlight w:val="none"/>
              </w:rPr>
              <w:t>、放喷池、钻井平台、不落地收集装置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凝析油罐</w:t>
            </w:r>
            <w:r>
              <w:rPr>
                <w:rFonts w:hint="eastAsia" w:ascii="Times New Roman" w:cs="Times New Roman"/>
                <w:color w:val="auto"/>
                <w:sz w:val="24"/>
                <w:szCs w:val="24"/>
                <w:highlight w:val="none"/>
                <w:lang w:val="en-US" w:eastAsia="zh-CN"/>
              </w:rPr>
              <w:t>区</w:t>
            </w:r>
            <w:r>
              <w:rPr>
                <w:rFonts w:hint="default" w:ascii="Times New Roman" w:hAnsi="Times New Roman" w:eastAsia="宋体" w:cs="Times New Roman"/>
                <w:color w:val="auto"/>
                <w:sz w:val="24"/>
                <w:szCs w:val="24"/>
                <w:highlight w:val="none"/>
                <w:lang w:val="en-US" w:eastAsia="zh-CN"/>
              </w:rPr>
              <w:t>、试油区域</w:t>
            </w:r>
            <w:r>
              <w:rPr>
                <w:rFonts w:hint="default" w:ascii="Times New Roman" w:hAnsi="Times New Roman" w:eastAsia="宋体" w:cs="Times New Roman"/>
                <w:color w:val="auto"/>
                <w:sz w:val="24"/>
                <w:szCs w:val="24"/>
                <w:highlight w:val="none"/>
              </w:rPr>
              <w:t>等铺设防渗材料，</w:t>
            </w:r>
            <w:r>
              <w:rPr>
                <w:rFonts w:hint="default" w:ascii="Times New Roman" w:hAnsi="Times New Roman" w:eastAsia="宋体" w:cs="Times New Roman"/>
                <w:color w:val="auto"/>
                <w:kern w:val="0"/>
                <w:sz w:val="24"/>
                <w:szCs w:val="24"/>
                <w:highlight w:val="none"/>
              </w:rPr>
              <w:t>等效黏土防渗层Mb≥6.0m，K≤1×10</w:t>
            </w:r>
            <w:r>
              <w:rPr>
                <w:rFonts w:hint="default" w:ascii="Times New Roman" w:hAnsi="Times New Roman" w:eastAsia="宋体" w:cs="Times New Roman"/>
                <w:color w:val="auto"/>
                <w:kern w:val="0"/>
                <w:sz w:val="24"/>
                <w:szCs w:val="24"/>
                <w:highlight w:val="none"/>
                <w:vertAlign w:val="superscript"/>
              </w:rPr>
              <w:t>-7</w:t>
            </w:r>
            <w:r>
              <w:rPr>
                <w:rFonts w:hint="default" w:ascii="Times New Roman" w:hAnsi="Times New Roman" w:eastAsia="宋体" w:cs="Times New Roman"/>
                <w:color w:val="auto"/>
                <w:kern w:val="0"/>
                <w:sz w:val="24"/>
                <w:szCs w:val="24"/>
                <w:highlight w:val="none"/>
              </w:rPr>
              <w:t>cm/s，或参照GB18598执行</w:t>
            </w:r>
            <w:r>
              <w:rPr>
                <w:rFonts w:hint="default" w:ascii="Times New Roman" w:hAnsi="Times New Roman" w:eastAsia="宋体" w:cs="Times New Roman"/>
                <w:color w:val="auto"/>
                <w:kern w:val="0"/>
                <w:sz w:val="24"/>
                <w:szCs w:val="24"/>
                <w:highlight w:val="none"/>
                <w:lang w:eastAsia="zh-CN"/>
              </w:rPr>
              <w:t>。</w:t>
            </w:r>
          </w:p>
        </w:tc>
        <w:tc>
          <w:tcPr>
            <w:tcW w:w="1517"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按要求建设</w:t>
            </w:r>
            <w:r>
              <w:rPr>
                <w:rFonts w:hint="default" w:ascii="Times New Roman" w:hAnsi="Times New Roman" w:eastAsia="宋体" w:cs="Times New Roman"/>
                <w:color w:val="auto"/>
                <w:sz w:val="24"/>
                <w:szCs w:val="24"/>
                <w:highlight w:val="none"/>
                <w:lang w:eastAsia="zh-CN"/>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一般防渗区</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泥浆泵区、泥浆罐区、膨润土岩屑池等铺设防渗材料，</w:t>
            </w:r>
            <w:r>
              <w:rPr>
                <w:rFonts w:hint="default" w:ascii="Times New Roman" w:hAnsi="Times New Roman" w:eastAsia="宋体" w:cs="Times New Roman"/>
                <w:color w:val="auto"/>
                <w:kern w:val="0"/>
                <w:sz w:val="24"/>
                <w:szCs w:val="24"/>
                <w:highlight w:val="none"/>
              </w:rPr>
              <w:t>一般防渗区等效黏土防渗层Mb≥1.5m，K≤1×10</w:t>
            </w:r>
            <w:r>
              <w:rPr>
                <w:rFonts w:hint="default" w:ascii="Times New Roman" w:hAnsi="Times New Roman" w:eastAsia="宋体" w:cs="Times New Roman"/>
                <w:color w:val="auto"/>
                <w:kern w:val="0"/>
                <w:sz w:val="24"/>
                <w:szCs w:val="24"/>
                <w:highlight w:val="none"/>
                <w:vertAlign w:val="superscript"/>
              </w:rPr>
              <w:t>-7</w:t>
            </w:r>
            <w:r>
              <w:rPr>
                <w:rFonts w:hint="default" w:ascii="Times New Roman" w:hAnsi="Times New Roman" w:eastAsia="宋体" w:cs="Times New Roman"/>
                <w:color w:val="auto"/>
                <w:kern w:val="0"/>
                <w:sz w:val="24"/>
                <w:szCs w:val="24"/>
                <w:highlight w:val="none"/>
              </w:rPr>
              <w:t>cm/s，或参照GB18598执行</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声环境</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0"/>
                <w:sz w:val="24"/>
                <w:szCs w:val="24"/>
                <w:highlight w:val="none"/>
              </w:rPr>
              <w:t>基础</w:t>
            </w:r>
            <w:r>
              <w:rPr>
                <w:rFonts w:hint="default" w:ascii="Times New Roman" w:hAnsi="Times New Roman" w:eastAsia="宋体" w:cs="Times New Roman"/>
                <w:color w:val="auto"/>
                <w:sz w:val="24"/>
                <w:szCs w:val="24"/>
                <w:highlight w:val="none"/>
              </w:rPr>
              <w:t>减振</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bidi="ar"/>
              </w:rPr>
              <w:t>《建筑施工噪声排放标准》（GB12523-2025）。</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振动</w:t>
            </w:r>
          </w:p>
        </w:tc>
        <w:tc>
          <w:tcPr>
            <w:tcW w:w="2088"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517"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大气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施工扬尘采取</w:t>
            </w:r>
            <w:r>
              <w:rPr>
                <w:rFonts w:hint="default" w:ascii="Times New Roman" w:hAnsi="Times New Roman" w:eastAsia="宋体" w:cs="Times New Roman"/>
                <w:color w:val="auto"/>
                <w:sz w:val="24"/>
                <w:szCs w:val="24"/>
                <w:highlight w:val="none"/>
              </w:rPr>
              <w:t>洒水抑尘、车辆减速慢行、物料苫盖、洒水抑尘</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《大气污染物综合排放标准》（GB16297-1996）中无组织排放监控浓度限值</w:t>
            </w:r>
            <w:r>
              <w:rPr>
                <w:rFonts w:hint="default" w:ascii="Times New Roman" w:hAnsi="Times New Roman" w:eastAsia="宋体" w:cs="Times New Roman"/>
                <w:color w:val="auto"/>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bookmarkStart w:id="110" w:name="_Toc197412944"/>
            <w:bookmarkStart w:id="111" w:name="_Toc30438"/>
            <w:bookmarkStart w:id="112" w:name="_Toc197413078"/>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测试放喷</w:t>
            </w:r>
            <w:r>
              <w:rPr>
                <w:rFonts w:hint="eastAsia" w:ascii="Times New Roman" w:cs="Times New Roman"/>
                <w:color w:val="auto"/>
                <w:sz w:val="24"/>
                <w:szCs w:val="24"/>
                <w:highlight w:val="none"/>
                <w:lang w:val="en-US" w:eastAsia="zh-CN"/>
              </w:rPr>
              <w:t>废气</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《陆上石油天然气开采工业大气污染物排放标准》（GB39728-2020）中边界污染物控制要求；《恶臭污染物排放标准》（GB14554-93）表1标准限值要求</w:t>
            </w:r>
            <w:r>
              <w:rPr>
                <w:rFonts w:hint="default" w:ascii="Times New Roman" w:hAnsi="Times New Roman" w:eastAsia="宋体" w:cs="Times New Roman"/>
                <w:color w:val="auto"/>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p>
        </w:tc>
      </w:tr>
      <w:bookmarkEnd w:id="110"/>
      <w:bookmarkEnd w:id="111"/>
      <w:bookmarkEnd w:id="112"/>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柴油发电机定期检修、运行良好，燃用符合质量标准的燃料</w:t>
            </w:r>
            <w:r>
              <w:rPr>
                <w:rFonts w:hint="default" w:ascii="Times New Roman" w:hAnsi="Times New Roman" w:eastAsia="宋体" w:cs="Times New Roman"/>
                <w:color w:val="auto"/>
                <w:spacing w:val="-11"/>
                <w:sz w:val="24"/>
                <w:szCs w:val="24"/>
                <w:highlight w:val="none"/>
                <w:lang w:eastAsia="zh-CN"/>
              </w:rPr>
              <w:t>。</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lang w:bidi="ar"/>
              </w:rPr>
              <w:t>《大气污染物综合排放标准》</w:t>
            </w:r>
            <w:r>
              <w:rPr>
                <w:rFonts w:hint="eastAsia" w:ascii="Times New Roman"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GB16297-1996</w:t>
            </w:r>
            <w:r>
              <w:rPr>
                <w:rFonts w:hint="eastAsia" w:ascii="Times New Roman"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表2新污染源大气污染物无组织排放监控浓度限值要求</w:t>
            </w:r>
            <w:r>
              <w:rPr>
                <w:rFonts w:hint="default" w:ascii="Times New Roman" w:hAnsi="Times New Roman" w:eastAsia="宋体" w:cs="Times New Roman"/>
                <w:color w:val="auto"/>
                <w:spacing w:val="-11"/>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88"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z w:val="24"/>
                <w:szCs w:val="24"/>
              </w:rPr>
              <w:t>生物质锅炉烟气采用“低氮燃烧技术+布袋除尘”工艺治理</w:t>
            </w:r>
          </w:p>
        </w:tc>
        <w:tc>
          <w:tcPr>
            <w:tcW w:w="1517"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bidi="ar"/>
              </w:rPr>
            </w:pPr>
            <w:r>
              <w:rPr>
                <w:rFonts w:hint="default" w:ascii="Times New Roman" w:hAnsi="Times New Roman" w:eastAsia="宋体" w:cs="Times New Roman"/>
                <w:color w:val="auto"/>
                <w:sz w:val="24"/>
                <w:szCs w:val="24"/>
                <w:lang w:bidi="ar"/>
              </w:rPr>
              <w:t>《锅炉大气污染物排放标准》（GB13271-2014）表2中燃气锅炉标准限值</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val="en-US" w:eastAsia="zh-CN"/>
              </w:rPr>
            </w:pPr>
            <w:r>
              <w:rPr>
                <w:rFonts w:hint="default" w:ascii="Times New Roman" w:hAnsi="Times New Roman" w:eastAsia="宋体" w:cs="Times New Roman"/>
                <w:color w:val="auto"/>
                <w:spacing w:val="-11"/>
                <w:sz w:val="24"/>
                <w:szCs w:val="24"/>
                <w:highlight w:val="none"/>
                <w:lang w:val="en-US" w:eastAsia="zh-CN"/>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val="en-US" w:eastAsia="zh-CN"/>
              </w:rPr>
            </w:pPr>
            <w:r>
              <w:rPr>
                <w:rFonts w:hint="default" w:ascii="Times New Roman" w:hAnsi="Times New Roman" w:eastAsia="宋体" w:cs="Times New Roman"/>
                <w:color w:val="auto"/>
                <w:spacing w:val="-11"/>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z w:val="24"/>
                <w:szCs w:val="24"/>
                <w:highlight w:val="none"/>
              </w:rPr>
              <w:t>密闭</w:t>
            </w:r>
            <w:r>
              <w:rPr>
                <w:rFonts w:hint="default" w:ascii="Times New Roman" w:hAnsi="Times New Roman" w:eastAsia="宋体" w:cs="Times New Roman"/>
                <w:color w:val="auto"/>
                <w:spacing w:val="-11"/>
                <w:sz w:val="24"/>
                <w:szCs w:val="24"/>
                <w:highlight w:val="none"/>
              </w:rPr>
              <w:t>储罐</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bidi="ar"/>
              </w:rPr>
            </w:pPr>
            <w:r>
              <w:rPr>
                <w:rFonts w:hint="default" w:ascii="Times New Roman" w:hAnsi="Times New Roman" w:eastAsia="宋体" w:cs="Times New Roman"/>
                <w:color w:val="auto"/>
                <w:spacing w:val="-11"/>
                <w:sz w:val="24"/>
                <w:szCs w:val="24"/>
                <w:highlight w:val="none"/>
                <w:lang w:bidi="ar"/>
              </w:rPr>
              <w:t>《陆上石油天然气开采工业大气污染物</w:t>
            </w:r>
            <w:r>
              <w:rPr>
                <w:rFonts w:hint="default" w:ascii="Times New Roman" w:hAnsi="Times New Roman" w:eastAsia="宋体" w:cs="Times New Roman"/>
                <w:color w:val="auto"/>
                <w:sz w:val="24"/>
                <w:szCs w:val="24"/>
                <w:highlight w:val="none"/>
              </w:rPr>
              <w:t>排放</w:t>
            </w:r>
            <w:r>
              <w:rPr>
                <w:rFonts w:hint="default" w:ascii="Times New Roman" w:hAnsi="Times New Roman" w:eastAsia="宋体" w:cs="Times New Roman"/>
                <w:color w:val="auto"/>
                <w:spacing w:val="-11"/>
                <w:sz w:val="24"/>
                <w:szCs w:val="24"/>
                <w:highlight w:val="none"/>
                <w:lang w:bidi="ar"/>
              </w:rPr>
              <w:t>标准》</w:t>
            </w:r>
            <w:r>
              <w:rPr>
                <w:rFonts w:hint="default" w:ascii="Times New Roman" w:hAnsi="Times New Roman" w:eastAsia="宋体"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GB39728-2020</w:t>
            </w:r>
            <w:r>
              <w:rPr>
                <w:rFonts w:hint="default" w:ascii="Times New Roman" w:hAnsi="Times New Roman" w:eastAsia="宋体"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中边界污染物控制要求</w:t>
            </w:r>
            <w:r>
              <w:rPr>
                <w:rFonts w:hint="default" w:ascii="Times New Roman" w:hAnsi="Times New Roman" w:eastAsia="宋体" w:cs="Times New Roman"/>
                <w:color w:val="auto"/>
                <w:spacing w:val="-11"/>
                <w:sz w:val="24"/>
                <w:szCs w:val="24"/>
                <w:highlight w:val="none"/>
                <w:lang w:eastAsia="zh-CN" w:bidi="ar"/>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2"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设备和车辆，保证设备正常稳定运行，燃用</w:t>
            </w:r>
            <w:r>
              <w:rPr>
                <w:rFonts w:hint="default" w:ascii="Times New Roman" w:hAnsi="Times New Roman" w:eastAsia="宋体" w:cs="Times New Roman"/>
                <w:color w:val="auto"/>
                <w:spacing w:val="-11"/>
                <w:sz w:val="24"/>
                <w:szCs w:val="24"/>
                <w:highlight w:val="none"/>
                <w:lang w:eastAsia="zh-CN"/>
              </w:rPr>
              <w:t>合格</w:t>
            </w:r>
            <w:r>
              <w:rPr>
                <w:rFonts w:hint="default" w:ascii="Times New Roman" w:hAnsi="Times New Roman" w:eastAsia="宋体" w:cs="Times New Roman"/>
                <w:color w:val="auto"/>
                <w:spacing w:val="-11"/>
                <w:sz w:val="24"/>
                <w:szCs w:val="24"/>
                <w:highlight w:val="none"/>
              </w:rPr>
              <w:t>的燃料，设备和车辆不超负荷运行</w:t>
            </w:r>
            <w:r>
              <w:rPr>
                <w:rFonts w:hint="default" w:ascii="Times New Roman" w:hAnsi="Times New Roman" w:eastAsia="宋体" w:cs="Times New Roman"/>
                <w:color w:val="auto"/>
                <w:spacing w:val="-11"/>
                <w:sz w:val="24"/>
                <w:szCs w:val="24"/>
                <w:highlight w:val="none"/>
                <w:lang w:eastAsia="zh-CN"/>
              </w:rPr>
              <w:t>。</w:t>
            </w:r>
          </w:p>
        </w:tc>
        <w:tc>
          <w:tcPr>
            <w:tcW w:w="1517"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bidi="ar"/>
              </w:rPr>
            </w:pPr>
            <w:r>
              <w:rPr>
                <w:rFonts w:hint="default" w:ascii="Times New Roman" w:hAnsi="Times New Roman" w:eastAsia="宋体" w:cs="Times New Roman"/>
                <w:color w:val="auto"/>
                <w:spacing w:val="-11"/>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65"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固体</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废物</w:t>
            </w:r>
          </w:p>
        </w:tc>
        <w:tc>
          <w:tcPr>
            <w:tcW w:w="2088"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kern w:val="2"/>
                <w:sz w:val="24"/>
                <w:szCs w:val="24"/>
                <w:highlight w:val="none"/>
                <w:lang w:val="en-US" w:eastAsia="zh-CN" w:bidi="ar-SA"/>
              </w:rPr>
            </w:pPr>
            <w:r>
              <w:rPr>
                <w:rFonts w:hint="default" w:ascii="Times New Roman" w:hAnsi="Times New Roman" w:eastAsia="宋体" w:cs="Times New Roman"/>
                <w:snapToGrid w:val="0"/>
                <w:color w:val="auto"/>
                <w:spacing w:val="0"/>
                <w:kern w:val="0"/>
                <w:sz w:val="24"/>
                <w:szCs w:val="24"/>
                <w:highlight w:val="none"/>
                <w:lang w:bidi="ar"/>
              </w:rPr>
              <w:t>泥浆采用“泥浆不落地”工艺收集，排入泥浆罐循环使用，完井后拉运至下一口井再利用</w:t>
            </w:r>
            <w:r>
              <w:rPr>
                <w:rFonts w:hint="default" w:ascii="Times New Roman" w:hAnsi="Times New Roman" w:eastAsia="宋体" w:cs="Times New Roman"/>
                <w:snapToGrid w:val="0"/>
                <w:color w:val="auto"/>
                <w:spacing w:val="0"/>
                <w:kern w:val="0"/>
                <w:sz w:val="24"/>
                <w:szCs w:val="24"/>
                <w:highlight w:val="none"/>
                <w:lang w:eastAsia="zh-CN" w:bidi="ar"/>
              </w:rPr>
              <w:t>。</w:t>
            </w:r>
          </w:p>
        </w:tc>
        <w:tc>
          <w:tcPr>
            <w:tcW w:w="1517"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0"/>
                <w:kern w:val="2"/>
                <w:sz w:val="24"/>
                <w:szCs w:val="24"/>
              </w:rPr>
              <w:t>满足《油气田钻井固体废物综合利用污染控制要求》</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DB65/T3997-2017</w:t>
            </w:r>
            <w:r>
              <w:rPr>
                <w:rFonts w:hint="eastAsia" w:ascii="Times New Roman"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 xml:space="preserve"> 表1综合利用污染限值的要求及《石油天然气开采业固体废物污染控制技术规范（试行）》（HJ1461-2026）中的相关限值要求</w:t>
            </w:r>
            <w:r>
              <w:rPr>
                <w:rFonts w:hint="eastAsia" w:ascii="Times New Roman" w:cs="Times New Roman"/>
                <w:color w:val="auto"/>
                <w:spacing w:val="0"/>
                <w:kern w:val="2"/>
                <w:sz w:val="24"/>
                <w:szCs w:val="24"/>
                <w:lang w:eastAsia="zh-CN"/>
              </w:rPr>
              <w:t>（</w:t>
            </w:r>
            <w:r>
              <w:rPr>
                <w:rFonts w:hint="eastAsia" w:ascii="Times New Roman" w:cs="Times New Roman"/>
                <w:color w:val="auto"/>
                <w:spacing w:val="0"/>
                <w:kern w:val="2"/>
                <w:sz w:val="24"/>
                <w:szCs w:val="24"/>
                <w:lang w:val="en-US" w:eastAsia="zh-CN"/>
              </w:rPr>
              <w:t>含水率＜60%、石油烃＜4500mg/kg</w:t>
            </w:r>
            <w:r>
              <w:rPr>
                <w:rFonts w:hint="eastAsia" w:ascii="Times New Roman"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27"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snapToGrid w:val="0"/>
                <w:color w:val="auto"/>
                <w:spacing w:val="-11"/>
                <w:kern w:val="0"/>
                <w:sz w:val="24"/>
                <w:szCs w:val="24"/>
                <w:highlight w:val="none"/>
                <w:lang w:val="en-US" w:eastAsia="zh-CN" w:bidi="ar"/>
              </w:rPr>
            </w:pPr>
            <w:r>
              <w:rPr>
                <w:rFonts w:hint="default" w:ascii="Times New Roman" w:hAnsi="Times New Roman" w:eastAsia="宋体" w:cs="Times New Roman"/>
                <w:color w:val="auto"/>
                <w:spacing w:val="0"/>
                <w:sz w:val="24"/>
                <w:szCs w:val="24"/>
                <w:highlight w:val="none"/>
              </w:rPr>
              <w:t>膨润土体系废弃钻井岩屑排入防渗岩屑池干化达标后用于井场平整</w:t>
            </w:r>
            <w:r>
              <w:rPr>
                <w:rFonts w:hint="default" w:ascii="Times New Roman" w:hAnsi="Times New Roman" w:eastAsia="宋体" w:cs="Times New Roman"/>
                <w:color w:val="auto"/>
                <w:spacing w:val="0"/>
                <w:sz w:val="24"/>
                <w:szCs w:val="24"/>
                <w:highlight w:val="none"/>
                <w:lang w:eastAsia="zh-CN"/>
              </w:rPr>
              <w:t>。</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kern w:val="2"/>
                <w:sz w:val="24"/>
                <w:szCs w:val="24"/>
                <w:highlight w:val="none"/>
                <w:lang w:val="en-US" w:eastAsia="zh-CN" w:bidi="ar-SA"/>
              </w:rPr>
            </w:pPr>
            <w:r>
              <w:rPr>
                <w:rFonts w:hint="eastAsia" w:ascii="Times New Roman" w:cs="Times New Roman"/>
                <w:color w:val="auto"/>
                <w:spacing w:val="0"/>
                <w:sz w:val="24"/>
                <w:szCs w:val="24"/>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0"/>
                <w:sz w:val="24"/>
                <w:szCs w:val="24"/>
                <w:highlight w:val="none"/>
                <w:lang w:eastAsia="zh-CN"/>
              </w:rPr>
              <w:t>，处理还原土用于铺垫油区内的井场、道路。</w:t>
            </w:r>
          </w:p>
        </w:tc>
        <w:tc>
          <w:tcPr>
            <w:tcW w:w="1517"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lang w:eastAsia="zh-CN"/>
              </w:rPr>
              <w:t>沾油废物</w:t>
            </w:r>
            <w:r>
              <w:rPr>
                <w:rFonts w:hint="default" w:ascii="Times New Roman" w:hAnsi="Times New Roman" w:eastAsia="宋体" w:cs="Times New Roman"/>
                <w:color w:val="auto"/>
                <w:spacing w:val="0"/>
                <w:sz w:val="24"/>
                <w:szCs w:val="24"/>
                <w:highlight w:val="none"/>
              </w:rPr>
              <w:t>（HW08 900-249-08）、废烧碱包装袋（HW49 900-</w:t>
            </w:r>
            <w:r>
              <w:rPr>
                <w:rFonts w:hint="default" w:ascii="Times New Roman" w:hAnsi="Times New Roman" w:eastAsia="宋体" w:cs="Times New Roman"/>
                <w:color w:val="auto"/>
                <w:spacing w:val="0"/>
                <w:sz w:val="24"/>
                <w:szCs w:val="24"/>
                <w:highlight w:val="none"/>
                <w:lang w:val="en-US" w:eastAsia="zh-CN"/>
              </w:rPr>
              <w:t>041-49</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eastAsia="zh-CN"/>
              </w:rPr>
              <w:t>废矿物油及其包装物</w:t>
            </w:r>
            <w:r>
              <w:rPr>
                <w:rFonts w:hint="default" w:ascii="Times New Roman" w:hAnsi="Times New Roman" w:eastAsia="宋体" w:cs="Times New Roman"/>
                <w:color w:val="auto"/>
                <w:spacing w:val="0"/>
                <w:sz w:val="24"/>
                <w:szCs w:val="24"/>
                <w:highlight w:val="none"/>
              </w:rPr>
              <w:t>（HW08 900-249-08）在</w:t>
            </w:r>
            <w:r>
              <w:rPr>
                <w:rFonts w:hint="default" w:ascii="Times New Roman" w:hAnsi="Times New Roman" w:eastAsia="宋体" w:cs="Times New Roman"/>
                <w:color w:val="auto"/>
                <w:spacing w:val="0"/>
                <w:sz w:val="24"/>
                <w:szCs w:val="24"/>
                <w:highlight w:val="none"/>
                <w:lang w:eastAsia="zh-CN"/>
              </w:rPr>
              <w:t>危废暂存间</w:t>
            </w:r>
            <w:r>
              <w:rPr>
                <w:rFonts w:hint="default" w:ascii="Times New Roman" w:hAnsi="Times New Roman" w:eastAsia="宋体" w:cs="Times New Roman"/>
                <w:color w:val="auto"/>
                <w:spacing w:val="0"/>
                <w:sz w:val="24"/>
                <w:szCs w:val="24"/>
                <w:highlight w:val="none"/>
              </w:rPr>
              <w:t>暂存</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危废贮存点</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，定期由有资质的单位回收</w:t>
            </w:r>
            <w:r>
              <w:rPr>
                <w:rFonts w:hint="default" w:ascii="Times New Roman" w:hAnsi="Times New Roman" w:eastAsia="宋体" w:cs="Times New Roman"/>
                <w:color w:val="auto"/>
                <w:spacing w:val="0"/>
                <w:sz w:val="24"/>
                <w:szCs w:val="24"/>
                <w:highlight w:val="none"/>
                <w:lang w:eastAsia="zh-CN"/>
              </w:rPr>
              <w:t>。</w:t>
            </w:r>
          </w:p>
        </w:tc>
        <w:tc>
          <w:tcPr>
            <w:tcW w:w="1517"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rPr>
              <w:t>《危险废物贮存污染控制标准》</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GB18597-2023</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；《危险废物管理计划和管理台账制定技术导则》（HJ1259-2022）中相关要求</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rPr>
              <w:t>废布袋</w:t>
            </w:r>
          </w:p>
        </w:tc>
        <w:tc>
          <w:tcPr>
            <w:tcW w:w="1517"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rPr>
              <w:t>厂家回收处理</w:t>
            </w:r>
            <w:r>
              <w:rPr>
                <w:rFonts w:hint="default" w:ascii="Times New Roman" w:hAnsi="Times New Roman" w:eastAsia="宋体" w:cs="Times New Roman"/>
                <w:color w:val="auto"/>
                <w:spacing w:val="0"/>
                <w:sz w:val="24"/>
                <w:szCs w:val="24"/>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50"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lang w:val="en-US" w:eastAsia="zh-CN" w:bidi="ar-SA"/>
              </w:rPr>
            </w:pPr>
            <w:r>
              <w:rPr>
                <w:rFonts w:hint="default" w:ascii="Times New Roman" w:hAnsi="Times New Roman" w:eastAsia="宋体" w:cs="Times New Roman"/>
                <w:color w:val="auto"/>
                <w:spacing w:val="0"/>
                <w:sz w:val="24"/>
                <w:szCs w:val="24"/>
                <w:lang w:val="en-US"/>
              </w:rPr>
              <w:t>锅炉灰渣与除尘灰统一收集后送至周边固废填埋场处理</w:t>
            </w:r>
          </w:p>
        </w:tc>
        <w:tc>
          <w:tcPr>
            <w:tcW w:w="1517"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lang w:val="en-US" w:eastAsia="zh-CN" w:bidi="ar-SA"/>
              </w:rPr>
            </w:pPr>
            <w:r>
              <w:rPr>
                <w:rFonts w:hint="default" w:ascii="Times New Roman" w:hAnsi="Times New Roman" w:eastAsia="宋体" w:cs="Times New Roman"/>
                <w:color w:val="auto"/>
                <w:spacing w:val="0"/>
                <w:sz w:val="24"/>
                <w:szCs w:val="24"/>
                <w:highlight w:val="none"/>
              </w:rPr>
              <w:t>妥善处置</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0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lang w:val="en-US" w:eastAsia="zh-CN" w:bidi="ar-SA"/>
              </w:rPr>
            </w:pPr>
            <w:r>
              <w:rPr>
                <w:rFonts w:hint="default" w:ascii="Times New Roman" w:hAnsi="Times New Roman" w:eastAsia="宋体" w:cs="Times New Roman"/>
                <w:color w:val="auto"/>
                <w:spacing w:val="0"/>
                <w:sz w:val="24"/>
                <w:szCs w:val="24"/>
                <w:lang w:val="en-US"/>
              </w:rPr>
              <w:t>其他原辅材料废包装外售综合利用</w:t>
            </w:r>
            <w:r>
              <w:rPr>
                <w:rFonts w:hint="default" w:ascii="Times New Roman" w:hAnsi="Times New Roman" w:eastAsia="宋体" w:cs="Times New Roman"/>
                <w:color w:val="auto"/>
                <w:spacing w:val="0"/>
                <w:sz w:val="24"/>
                <w:szCs w:val="24"/>
                <w:lang w:val="en-US" w:eastAsia="zh-CN"/>
              </w:rPr>
              <w:t>。</w:t>
            </w:r>
          </w:p>
        </w:tc>
        <w:tc>
          <w:tcPr>
            <w:tcW w:w="1517"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rPr>
              <w:t>妥善处置</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0"/>
                <w:sz w:val="24"/>
                <w:szCs w:val="24"/>
                <w:highlight w:val="none"/>
              </w:rPr>
              <w:t>生活垃圾</w:t>
            </w:r>
            <w:r>
              <w:rPr>
                <w:rFonts w:hint="default" w:ascii="Times New Roman" w:hAnsi="Times New Roman" w:eastAsia="宋体" w:cs="Times New Roman"/>
                <w:color w:val="auto"/>
                <w:spacing w:val="0"/>
                <w:sz w:val="24"/>
                <w:szCs w:val="24"/>
                <w:highlight w:val="none"/>
                <w:lang w:val="en-US" w:eastAsia="zh-CN"/>
              </w:rPr>
              <w:t>、污水处理站污泥</w:t>
            </w:r>
            <w:r>
              <w:rPr>
                <w:rFonts w:hint="default" w:ascii="Times New Roman" w:hAnsi="Times New Roman" w:eastAsia="宋体" w:cs="Times New Roman"/>
                <w:color w:val="auto"/>
                <w:spacing w:val="0"/>
                <w:sz w:val="24"/>
                <w:szCs w:val="24"/>
                <w:highlight w:val="none"/>
              </w:rPr>
              <w:t>送</w:t>
            </w:r>
            <w:r>
              <w:rPr>
                <w:rFonts w:hint="eastAsia" w:ascii="Times New Roman" w:cs="Times New Roman"/>
                <w:color w:val="auto"/>
                <w:spacing w:val="0"/>
                <w:sz w:val="24"/>
                <w:szCs w:val="24"/>
                <w:highlight w:val="none"/>
                <w:lang w:eastAsia="zh-CN"/>
              </w:rPr>
              <w:t>塔中镇生活垃圾填埋场处理</w:t>
            </w:r>
            <w:r>
              <w:rPr>
                <w:rFonts w:hint="default" w:ascii="Times New Roman" w:hAnsi="Times New Roman" w:eastAsia="宋体" w:cs="Times New Roman"/>
                <w:color w:val="auto"/>
                <w:spacing w:val="0"/>
                <w:sz w:val="24"/>
                <w:szCs w:val="24"/>
                <w:highlight w:val="none"/>
                <w:lang w:eastAsia="zh-CN"/>
              </w:rPr>
              <w:t>。</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0"/>
                <w:sz w:val="24"/>
                <w:szCs w:val="24"/>
                <w:highlight w:val="none"/>
              </w:rPr>
              <w:t>妥善处置</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5"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电磁</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环境</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35"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环境</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风险</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环境风险防范措施</w:t>
            </w:r>
            <w:r>
              <w:rPr>
                <w:rFonts w:hint="default" w:ascii="Times New Roman" w:hAnsi="Times New Roman" w:eastAsia="宋体" w:cs="Times New Roman"/>
                <w:color w:val="auto"/>
                <w:spacing w:val="-11"/>
                <w:sz w:val="24"/>
                <w:szCs w:val="24"/>
                <w:highlight w:val="none"/>
                <w:lang w:eastAsia="zh-CN"/>
              </w:rPr>
              <w:t>。</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将环境风险控制在可</w:t>
            </w:r>
            <w:r>
              <w:rPr>
                <w:rFonts w:hint="eastAsia" w:ascii="Times New Roman" w:cs="Times New Roman"/>
                <w:color w:val="auto"/>
                <w:spacing w:val="-11"/>
                <w:sz w:val="24"/>
                <w:szCs w:val="24"/>
                <w:highlight w:val="none"/>
                <w:lang w:eastAsia="zh-CN"/>
              </w:rPr>
              <w:t>控</w:t>
            </w:r>
            <w:r>
              <w:rPr>
                <w:rFonts w:hint="default" w:ascii="Times New Roman" w:hAnsi="Times New Roman" w:eastAsia="宋体" w:cs="Times New Roman"/>
                <w:color w:val="auto"/>
                <w:spacing w:val="-11"/>
                <w:sz w:val="24"/>
                <w:szCs w:val="24"/>
                <w:highlight w:val="none"/>
              </w:rPr>
              <w:t>范围内</w:t>
            </w:r>
            <w:r>
              <w:rPr>
                <w:rFonts w:hint="default" w:ascii="Times New Roman" w:hAnsi="Times New Roman" w:eastAsia="宋体" w:cs="Times New Roman"/>
                <w:color w:val="auto"/>
                <w:sz w:val="24"/>
                <w:szCs w:val="24"/>
                <w:highlight w:val="none"/>
                <w:lang w:eastAsia="zh-CN"/>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680"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应急预案</w:t>
            </w:r>
            <w:r>
              <w:rPr>
                <w:rFonts w:hint="default" w:ascii="Times New Roman" w:hAnsi="Times New Roman" w:eastAsia="宋体" w:cs="Times New Roman"/>
                <w:color w:val="auto"/>
                <w:spacing w:val="-11"/>
                <w:sz w:val="24"/>
                <w:szCs w:val="24"/>
                <w:highlight w:val="none"/>
                <w:lang w:eastAsia="zh-CN"/>
              </w:rPr>
              <w:t>。</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将环境风险控制在可</w:t>
            </w:r>
            <w:r>
              <w:rPr>
                <w:rFonts w:hint="eastAsia" w:ascii="Times New Roman" w:cs="Times New Roman"/>
                <w:color w:val="auto"/>
                <w:spacing w:val="-11"/>
                <w:sz w:val="24"/>
                <w:szCs w:val="24"/>
                <w:highlight w:val="none"/>
                <w:lang w:eastAsia="zh-CN"/>
              </w:rPr>
              <w:t>控</w:t>
            </w:r>
            <w:r>
              <w:rPr>
                <w:rFonts w:hint="default" w:ascii="Times New Roman" w:hAnsi="Times New Roman" w:eastAsia="宋体" w:cs="Times New Roman"/>
                <w:color w:val="auto"/>
                <w:spacing w:val="-11"/>
                <w:sz w:val="24"/>
                <w:szCs w:val="24"/>
                <w:highlight w:val="none"/>
              </w:rPr>
              <w:t>范围内</w:t>
            </w:r>
            <w:r>
              <w:rPr>
                <w:rFonts w:hint="default" w:ascii="Times New Roman" w:hAnsi="Times New Roman" w:eastAsia="宋体" w:cs="Times New Roman"/>
                <w:color w:val="auto"/>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160"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环境</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监测</w:t>
            </w:r>
          </w:p>
        </w:tc>
        <w:tc>
          <w:tcPr>
            <w:tcW w:w="2088"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生态恢复效果跟踪监测</w:t>
            </w:r>
            <w:r>
              <w:rPr>
                <w:rFonts w:hint="default" w:ascii="Times New Roman" w:hAnsi="Times New Roman" w:eastAsia="宋体" w:cs="Times New Roman"/>
                <w:color w:val="auto"/>
                <w:spacing w:val="-11"/>
                <w:sz w:val="24"/>
                <w:szCs w:val="24"/>
                <w:highlight w:val="none"/>
                <w:lang w:eastAsia="zh-CN"/>
              </w:rPr>
              <w:t>。</w:t>
            </w:r>
          </w:p>
        </w:tc>
        <w:tc>
          <w:tcPr>
            <w:tcW w:w="1517"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针对施工期临时占地区域植被恢复情况进行生态监测，监测因子为植被恢复效果，纳入竣工环境保护验收监测，方法为巡视。植被恢复质量标准：临时占地植被恢复至原状态</w:t>
            </w:r>
            <w:r>
              <w:rPr>
                <w:rFonts w:hint="default" w:ascii="Times New Roman" w:hAnsi="Times New Roman" w:eastAsia="宋体" w:cs="Times New Roman"/>
                <w:color w:val="auto"/>
                <w:spacing w:val="-11"/>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09"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其他</w:t>
            </w:r>
          </w:p>
        </w:tc>
        <w:tc>
          <w:tcPr>
            <w:tcW w:w="2088"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1517"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bl>
    <w:p>
      <w:pPr>
        <w:pStyle w:val="29"/>
        <w:jc w:val="center"/>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snapToGrid w:val="0"/>
          <w:color w:val="auto"/>
          <w:sz w:val="30"/>
          <w:szCs w:val="30"/>
          <w:highlight w:val="none"/>
        </w:rPr>
        <w:br w:type="page"/>
      </w:r>
      <w:bookmarkStart w:id="113" w:name="_Toc15773"/>
      <w:r>
        <w:rPr>
          <w:rFonts w:hint="default" w:ascii="Times New Roman" w:hAnsi="Times New Roman" w:eastAsia="宋体" w:cs="Times New Roman"/>
          <w:b/>
          <w:bCs/>
          <w:snapToGrid w:val="0"/>
          <w:color w:val="auto"/>
          <w:sz w:val="30"/>
          <w:szCs w:val="30"/>
          <w:highlight w:val="none"/>
        </w:rPr>
        <w:t>七、结论</w:t>
      </w:r>
      <w:bookmarkEnd w:id="113"/>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89" w:hRule="atLeast"/>
          <w:jc w:val="center"/>
        </w:trPr>
        <w:tc>
          <w:tcPr>
            <w:tcW w:w="9289" w:type="dxa"/>
            <w:noWrap w:val="0"/>
            <w:tcMar>
              <w:left w:w="108" w:type="dxa"/>
              <w:right w:w="108" w:type="dxa"/>
            </w:tcMar>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4"/>
                <w:szCs w:val="24"/>
                <w:highlight w:val="none"/>
                <w:lang w:val="en-US" w:eastAsia="zh-CN"/>
              </w:rPr>
              <w:t>项目位于</w:t>
            </w:r>
            <w:r>
              <w:rPr>
                <w:rFonts w:hint="default" w:ascii="Times New Roman" w:hAnsi="Times New Roman" w:eastAsia="宋体" w:cs="Times New Roman"/>
                <w:color w:val="auto"/>
                <w:sz w:val="24"/>
                <w:szCs w:val="24"/>
                <w:highlight w:val="none"/>
                <w:lang w:eastAsia="zh-CN"/>
              </w:rPr>
              <w:t>新疆维吾尔自治区巴音郭楞蒙古自治州</w:t>
            </w:r>
            <w:r>
              <w:rPr>
                <w:rFonts w:hint="eastAsia" w:ascii="Times New Roman" w:cs="Times New Roman"/>
                <w:color w:val="auto"/>
                <w:sz w:val="24"/>
                <w:szCs w:val="24"/>
                <w:highlight w:val="none"/>
                <w:lang w:eastAsia="zh-CN"/>
              </w:rPr>
              <w:t>且末县塔中镇西北侧23.6km处</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pacing w:val="-11"/>
                <w:sz w:val="24"/>
                <w:szCs w:val="24"/>
                <w:highlight w:val="none"/>
              </w:rPr>
              <w:t>本项目作为能源勘探项目，属于鼓励类项目，符合国家产业政策。本项目所采取的废气、废水、固体废弃物和噪声防治措施以及生态保护措施可行有效，在项目实施过程中认真落实报告中提出的各项污染防治措施和风险防范措施后，项目建设对周围环境的影响是可接受的，从环境保护角度看，本项目建设是可行的。</w:t>
            </w:r>
          </w:p>
        </w:tc>
      </w:tr>
    </w:tbl>
    <w:p>
      <w:pPr>
        <w:pStyle w:val="29"/>
        <w:spacing w:before="0" w:beforeAutospacing="0" w:after="0" w:afterAutospacing="0" w:line="240" w:lineRule="auto"/>
        <w:jc w:val="both"/>
        <w:outlineLvl w:val="0"/>
        <w:rPr>
          <w:rFonts w:hint="default" w:ascii="Times New Roman" w:hAnsi="Times New Roman" w:eastAsia="宋体" w:cs="Times New Roman"/>
          <w:color w:val="0000FF"/>
          <w:highlight w:val="none"/>
        </w:rPr>
        <w:sectPr>
          <w:footerReference r:id="rId10" w:type="default"/>
          <w:headerReference r:id="rId9" w:type="even"/>
          <w:footerReference r:id="rId11" w:type="even"/>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outlineLvl w:val="9"/>
        <w:rPr>
          <w:rFonts w:hint="default" w:ascii="Times New Roman" w:hAnsi="Times New Roman" w:eastAsia="宋体" w:cs="Times New Roman"/>
          <w:color w:val="0000FF"/>
          <w:highlight w:val="none"/>
        </w:rPr>
      </w:pPr>
      <w:bookmarkStart w:id="114" w:name="_GoBack"/>
      <w:bookmarkEnd w:id="114"/>
    </w:p>
    <w:sectPr>
      <w:footerReference r:id="rId12" w:type="default"/>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E7FADE-6060-4463-B505-CA4E277027D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20B64A9-F33C-4009-8714-BC5A2129494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embedRegular r:id="rId3" w:fontKey="{21E6F8C1-2E44-40F5-93F1-232A1F8618D1}"/>
  </w:font>
  <w:font w:name="方正楷体_GB2312">
    <w:panose1 w:val="02000000000000000000"/>
    <w:charset w:val="86"/>
    <w:family w:val="auto"/>
    <w:pitch w:val="default"/>
    <w:sig w:usb0="A00002BF" w:usb1="184F6CFA" w:usb2="00000012" w:usb3="00000000" w:csb0="00040001" w:csb1="00000000"/>
    <w:embedRegular r:id="rId4" w:fontKey="{CB690047-8415-430C-8FD7-96215E2FB782}"/>
  </w:font>
  <w:font w:name="华文仿宋">
    <w:panose1 w:val="02010600040101010101"/>
    <w:charset w:val="86"/>
    <w:family w:val="auto"/>
    <w:pitch w:val="default"/>
    <w:sig w:usb0="00000287" w:usb1="080F0000" w:usb2="00000000" w:usb3="00000000" w:csb0="0004009F" w:csb1="DFD70000"/>
    <w:embedRegular r:id="rId5" w:fontKey="{DD057D2B-1294-4C46-91BD-4B72C4048AF2}"/>
  </w:font>
  <w:font w:name="仿宋">
    <w:panose1 w:val="02010609060101010101"/>
    <w:charset w:val="86"/>
    <w:family w:val="modern"/>
    <w:pitch w:val="default"/>
    <w:sig w:usb0="800002BF" w:usb1="38CF7CFA" w:usb2="00000016" w:usb3="00000000" w:csb0="00040001" w:csb1="00000000"/>
    <w:embedRegular r:id="rId6" w:fontKey="{32774755-88D5-4A3D-A86B-AFFDA329E67B}"/>
  </w:font>
  <w:font w:name="Cambria Math">
    <w:panose1 w:val="02040503050406030204"/>
    <w:charset w:val="00"/>
    <w:family w:val="auto"/>
    <w:pitch w:val="default"/>
    <w:sig w:usb0="A00002EF" w:usb1="420020EB" w:usb2="00000000" w:usb3="00000000" w:csb0="2000019F" w:csb1="00000000"/>
    <w:embedRegular r:id="rId7" w:fontKey="{5C5BE068-91FF-47F9-B58D-3ACECFF01EBA}"/>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3"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rPr>
                              <w:rStyle w:val="35"/>
                              <w:rFonts w:hAnsi="宋体"/>
                              <w:sz w:val="28"/>
                              <w:szCs w:val="28"/>
                            </w:rPr>
                          </w:pPr>
                          <w:r>
                            <w:rPr>
                              <w:rStyle w:val="35"/>
                              <w:rFonts w:hint="eastAsia" w:hAnsi="宋体"/>
                              <w:sz w:val="28"/>
                              <w:szCs w:val="28"/>
                            </w:rPr>
                            <w:t>—</w:t>
                          </w:r>
                          <w:r>
                            <w:rPr>
                              <w:rStyle w:val="35"/>
                              <w:rFonts w:hint="eastAsia" w:hAnsi="宋体"/>
                              <w:sz w:val="20"/>
                            </w:rPr>
                            <w:t xml:space="preserve">  </w:t>
                          </w:r>
                          <w:r>
                            <w:rPr>
                              <w:rFonts w:hAnsi="宋体"/>
                              <w:sz w:val="26"/>
                              <w:szCs w:val="26"/>
                            </w:rPr>
                            <w:fldChar w:fldCharType="begin"/>
                          </w:r>
                          <w:r>
                            <w:rPr>
                              <w:rStyle w:val="35"/>
                              <w:rFonts w:hAnsi="宋体"/>
                              <w:sz w:val="26"/>
                              <w:szCs w:val="26"/>
                            </w:rPr>
                            <w:instrText xml:space="preserve">PAGE  </w:instrText>
                          </w:r>
                          <w:r>
                            <w:rPr>
                              <w:rFonts w:hAnsi="宋体"/>
                              <w:sz w:val="26"/>
                              <w:szCs w:val="26"/>
                            </w:rPr>
                            <w:fldChar w:fldCharType="separate"/>
                          </w:r>
                          <w:r>
                            <w:rPr>
                              <w:rStyle w:val="35"/>
                              <w:rFonts w:hAnsi="宋体"/>
                              <w:sz w:val="26"/>
                              <w:szCs w:val="26"/>
                            </w:rPr>
                            <w:t>95</w:t>
                          </w:r>
                          <w:r>
                            <w:rPr>
                              <w:rFonts w:hAnsi="宋体"/>
                              <w:sz w:val="26"/>
                              <w:szCs w:val="26"/>
                            </w:rPr>
                            <w:fldChar w:fldCharType="end"/>
                          </w:r>
                          <w:r>
                            <w:rPr>
                              <w:rStyle w:val="35"/>
                              <w:rFonts w:hint="eastAsia" w:hAnsi="宋体"/>
                              <w:sz w:val="20"/>
                            </w:rPr>
                            <w:t xml:space="preserve">  </w:t>
                          </w:r>
                          <w:r>
                            <w:rPr>
                              <w:rStyle w:val="35"/>
                              <w:rFonts w:hint="eastAsia" w:hAnsi="宋体"/>
                              <w:sz w:val="28"/>
                              <w:szCs w:val="28"/>
                            </w:rPr>
                            <w:t>—</w:t>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aPcHMzAEAAJ0DAAAOAAAAAAAAAAEAIAAAAB4BAABkcnMvZTJv&#10;RG9jLnhtbFBLBQYAAAAABgAGAFkBAABcBQAAAAA=&#10;">
              <v:fill on="f" focussize="0,0"/>
              <v:stroke on="f"/>
              <v:imagedata o:title=""/>
              <o:lock v:ext="edit" aspectratio="f"/>
              <v:textbox inset="0mm,0mm,0mm,0mm" style="mso-fit-shape-to-text:t;">
                <w:txbxContent>
                  <w:p>
                    <w:pPr>
                      <w:pStyle w:val="22"/>
                      <w:rPr>
                        <w:rStyle w:val="35"/>
                        <w:rFonts w:hAnsi="宋体"/>
                        <w:sz w:val="28"/>
                        <w:szCs w:val="28"/>
                      </w:rPr>
                    </w:pPr>
                    <w:r>
                      <w:rPr>
                        <w:rStyle w:val="35"/>
                        <w:rFonts w:hint="eastAsia" w:hAnsi="宋体"/>
                        <w:sz w:val="28"/>
                        <w:szCs w:val="28"/>
                      </w:rPr>
                      <w:t>—</w:t>
                    </w:r>
                    <w:r>
                      <w:rPr>
                        <w:rStyle w:val="35"/>
                        <w:rFonts w:hint="eastAsia" w:hAnsi="宋体"/>
                        <w:sz w:val="20"/>
                      </w:rPr>
                      <w:t xml:space="preserve">  </w:t>
                    </w:r>
                    <w:r>
                      <w:rPr>
                        <w:rFonts w:hAnsi="宋体"/>
                        <w:sz w:val="26"/>
                        <w:szCs w:val="26"/>
                      </w:rPr>
                      <w:fldChar w:fldCharType="begin"/>
                    </w:r>
                    <w:r>
                      <w:rPr>
                        <w:rStyle w:val="35"/>
                        <w:rFonts w:hAnsi="宋体"/>
                        <w:sz w:val="26"/>
                        <w:szCs w:val="26"/>
                      </w:rPr>
                      <w:instrText xml:space="preserve">PAGE  </w:instrText>
                    </w:r>
                    <w:r>
                      <w:rPr>
                        <w:rFonts w:hAnsi="宋体"/>
                        <w:sz w:val="26"/>
                        <w:szCs w:val="26"/>
                      </w:rPr>
                      <w:fldChar w:fldCharType="separate"/>
                    </w:r>
                    <w:r>
                      <w:rPr>
                        <w:rStyle w:val="35"/>
                        <w:rFonts w:hAnsi="宋体"/>
                        <w:sz w:val="26"/>
                        <w:szCs w:val="26"/>
                      </w:rPr>
                      <w:t>95</w:t>
                    </w:r>
                    <w:r>
                      <w:rPr>
                        <w:rFonts w:hAnsi="宋体"/>
                        <w:sz w:val="26"/>
                        <w:szCs w:val="26"/>
                      </w:rPr>
                      <w:fldChar w:fldCharType="end"/>
                    </w:r>
                    <w:r>
                      <w:rPr>
                        <w:rStyle w:val="35"/>
                        <w:rFonts w:hint="eastAsia" w:hAnsi="宋体"/>
                        <w:sz w:val="20"/>
                      </w:rPr>
                      <w:t xml:space="preserve">  </w:t>
                    </w:r>
                    <w:r>
                      <w:rPr>
                        <w:rStyle w:val="35"/>
                        <w:rFonts w:hint="eastAsia" w:hAnsi="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inside</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t xml:space="preserve">— </w:t>
                          </w:r>
                          <w:r>
                            <w:fldChar w:fldCharType="begin"/>
                          </w:r>
                          <w:r>
                            <w:instrText xml:space="preserve"> PAGE  \* MERGEFORMAT </w:instrText>
                          </w:r>
                          <w:r>
                            <w:fldChar w:fldCharType="separate"/>
                          </w:r>
                          <w:r>
                            <w:t>140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22"/>
                    </w:pPr>
                    <w:r>
                      <w:t xml:space="preserve">— </w:t>
                    </w:r>
                    <w:r>
                      <w:fldChar w:fldCharType="begin"/>
                    </w:r>
                    <w:r>
                      <w:instrText xml:space="preserve"> PAGE  \* MERGEFORMAT </w:instrText>
                    </w:r>
                    <w:r>
                      <w:fldChar w:fldCharType="separate"/>
                    </w:r>
                    <w:r>
                      <w:t>140</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775335" cy="230505"/>
              <wp:effectExtent l="0" t="0" r="0" b="0"/>
              <wp:wrapNone/>
              <wp:docPr id="45" name="文本框 2051"/>
              <wp:cNvGraphicFramePr/>
              <a:graphic xmlns:a="http://schemas.openxmlformats.org/drawingml/2006/main">
                <a:graphicData uri="http://schemas.microsoft.com/office/word/2010/wordprocessingShape">
                  <wps:wsp>
                    <wps:cNvSpPr txBox="1"/>
                    <wps:spPr>
                      <a:xfrm>
                        <a:off x="0" y="0"/>
                        <a:ext cx="775335" cy="230505"/>
                      </a:xfrm>
                      <a:prstGeom prst="rect">
                        <a:avLst/>
                      </a:prstGeom>
                      <a:noFill/>
                      <a:ln>
                        <a:noFill/>
                      </a:ln>
                    </wps:spPr>
                    <wps:txbx>
                      <w:txbxContent>
                        <w:p>
                          <w:pPr>
                            <w:pStyle w:val="22"/>
                            <w:rPr>
                              <w:rStyle w:val="35"/>
                              <w:rFonts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106</w:t>
                          </w:r>
                          <w:r>
                            <w:rPr>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txbxContent>
                    </wps:txbx>
                    <wps:bodyPr wrap="none" lIns="0" tIns="0" rIns="0" bIns="0" upright="0">
                      <a:spAutoFit/>
                    </wps:bodyPr>
                  </wps:wsp>
                </a:graphicData>
              </a:graphic>
            </wp:anchor>
          </w:drawing>
        </mc:Choice>
        <mc:Fallback>
          <w:pict>
            <v:shape id="文本框 2051" o:spid="_x0000_s1026" o:spt="202" type="#_x0000_t202" style="position:absolute;left:0pt;margin-top:0pt;height:18.15pt;width:61.05pt;mso-position-horizontal:outside;mso-position-horizontal-relative:margin;mso-wrap-style:none;z-index:251663360;mso-width-relative:page;mso-height-relative:page;" filled="f" stroked="f" coordsize="21600,21600" o:gfxdata="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VOieX0QAAAAQBAAAPAAAAAAAAAAEAIAAAACIAAABkcnMv&#10;ZG93bnJldi54bWxQSwECFAAUAAAACACHTuJARWw+qdEBAACbAwAADgAAAAAAAAABACAAAAAgAQAA&#10;ZHJzL2Uyb0RvYy54bWxQSwUGAAAAAAYABgBZAQAAYwUAAAAA&#10;">
              <v:fill on="f" focussize="0,0"/>
              <v:stroke on="f"/>
              <v:imagedata o:title=""/>
              <o:lock v:ext="edit" aspectratio="f"/>
              <v:textbox inset="0mm,0mm,0mm,0mm" style="mso-fit-shape-to-text:t;">
                <w:txbxContent>
                  <w:p>
                    <w:pPr>
                      <w:pStyle w:val="22"/>
                      <w:rPr>
                        <w:rStyle w:val="35"/>
                        <w:rFonts w:ascii="宋体" w:hAnsi="宋体"/>
                        <w:sz w:val="28"/>
                        <w:szCs w:val="28"/>
                      </w:rPr>
                    </w:pPr>
                    <w:r>
                      <w:rPr>
                        <w:rStyle w:val="35"/>
                        <w:rFonts w:hint="eastAsia" w:ascii="宋体" w:hAnsi="宋体"/>
                        <w:sz w:val="28"/>
                        <w:szCs w:val="28"/>
                      </w:rPr>
                      <w:t>—</w:t>
                    </w:r>
                    <w:r>
                      <w:rPr>
                        <w:rStyle w:val="35"/>
                        <w:rFonts w:hint="eastAsia" w:ascii="宋体" w:hAnsi="宋体"/>
                        <w:sz w:val="20"/>
                      </w:rPr>
                      <w:t xml:space="preserve">  </w:t>
                    </w:r>
                    <w:r>
                      <w:rPr>
                        <w:rFonts w:ascii="宋体" w:hAnsi="宋体"/>
                        <w:sz w:val="26"/>
                        <w:szCs w:val="26"/>
                      </w:rPr>
                      <w:fldChar w:fldCharType="begin"/>
                    </w:r>
                    <w:r>
                      <w:rPr>
                        <w:rStyle w:val="35"/>
                        <w:rFonts w:ascii="宋体" w:hAnsi="宋体"/>
                        <w:sz w:val="26"/>
                        <w:szCs w:val="26"/>
                      </w:rPr>
                      <w:instrText xml:space="preserve">PAGE  </w:instrText>
                    </w:r>
                    <w:r>
                      <w:rPr>
                        <w:rFonts w:ascii="宋体" w:hAnsi="宋体"/>
                        <w:sz w:val="26"/>
                        <w:szCs w:val="26"/>
                      </w:rPr>
                      <w:fldChar w:fldCharType="separate"/>
                    </w:r>
                    <w:r>
                      <w:rPr>
                        <w:rStyle w:val="35"/>
                        <w:rFonts w:ascii="宋体" w:hAnsi="宋体"/>
                        <w:sz w:val="26"/>
                        <w:szCs w:val="26"/>
                      </w:rPr>
                      <w:t>106</w:t>
                    </w:r>
                    <w:r>
                      <w:rPr>
                        <w:rFonts w:ascii="宋体" w:hAnsi="宋体"/>
                        <w:sz w:val="26"/>
                        <w:szCs w:val="26"/>
                      </w:rPr>
                      <w:fldChar w:fldCharType="end"/>
                    </w:r>
                    <w:r>
                      <w:rPr>
                        <w:rStyle w:val="35"/>
                        <w:rFonts w:hint="eastAsia" w:ascii="宋体" w:hAnsi="宋体"/>
                        <w:sz w:val="20"/>
                      </w:rPr>
                      <w:t xml:space="preserve">  </w:t>
                    </w:r>
                    <w:r>
                      <w:rPr>
                        <w:rStyle w:val="35"/>
                        <w:rFonts w:hint="eastAsia" w:ascii="宋体" w:hAnsi="宋体"/>
                        <w:sz w:val="28"/>
                        <w:szCs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inside</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t xml:space="preserve">— </w:t>
                          </w:r>
                          <w:r>
                            <w:fldChar w:fldCharType="begin"/>
                          </w:r>
                          <w:r>
                            <w:instrText xml:space="preserve"> PAGE  \* MERGEFORMAT </w:instrText>
                          </w:r>
                          <w:r>
                            <w:fldChar w:fldCharType="separate"/>
                          </w:r>
                          <w:r>
                            <w:t>143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22"/>
                    </w:pPr>
                    <w:r>
                      <w:t xml:space="preserve">— </w:t>
                    </w:r>
                    <w:r>
                      <w:fldChar w:fldCharType="begin"/>
                    </w:r>
                    <w:r>
                      <w:instrText xml:space="preserve"> PAGE  \* MERGEFORMAT </w:instrText>
                    </w:r>
                    <w:r>
                      <w:fldChar w:fldCharType="separate"/>
                    </w:r>
                    <w:r>
                      <w:t>143</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9553C"/>
    <w:multiLevelType w:val="singleLevel"/>
    <w:tmpl w:val="5849553C"/>
    <w:lvl w:ilvl="0" w:tentative="0">
      <w:start w:val="1"/>
      <w:numFmt w:val="decimal"/>
      <w:pStyle w:val="25"/>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MzVjMWQ5ODIwNmVkYzFlMjQ2YWViOGEyMmMwOTcifQ=="/>
  </w:docVars>
  <w:rsids>
    <w:rsidRoot w:val="00A14947"/>
    <w:rsid w:val="00001CED"/>
    <w:rsid w:val="00001E67"/>
    <w:rsid w:val="00003CD8"/>
    <w:rsid w:val="00014965"/>
    <w:rsid w:val="0001523A"/>
    <w:rsid w:val="00016ECB"/>
    <w:rsid w:val="000269F6"/>
    <w:rsid w:val="00031939"/>
    <w:rsid w:val="00032D25"/>
    <w:rsid w:val="00034C30"/>
    <w:rsid w:val="0005219D"/>
    <w:rsid w:val="0005568F"/>
    <w:rsid w:val="0006153D"/>
    <w:rsid w:val="00061B1F"/>
    <w:rsid w:val="0006310A"/>
    <w:rsid w:val="000664DB"/>
    <w:rsid w:val="00067C16"/>
    <w:rsid w:val="0007127D"/>
    <w:rsid w:val="00071AE5"/>
    <w:rsid w:val="00074783"/>
    <w:rsid w:val="00074DB1"/>
    <w:rsid w:val="000801E0"/>
    <w:rsid w:val="00082A29"/>
    <w:rsid w:val="0008331D"/>
    <w:rsid w:val="00083C18"/>
    <w:rsid w:val="00092899"/>
    <w:rsid w:val="000A178E"/>
    <w:rsid w:val="000A557E"/>
    <w:rsid w:val="000A72E3"/>
    <w:rsid w:val="000B058F"/>
    <w:rsid w:val="000B693F"/>
    <w:rsid w:val="000C09AC"/>
    <w:rsid w:val="000C0A63"/>
    <w:rsid w:val="000C437E"/>
    <w:rsid w:val="000D33DD"/>
    <w:rsid w:val="000E5F16"/>
    <w:rsid w:val="000F4452"/>
    <w:rsid w:val="000F5990"/>
    <w:rsid w:val="000F6DA1"/>
    <w:rsid w:val="000F701B"/>
    <w:rsid w:val="001056A0"/>
    <w:rsid w:val="00115279"/>
    <w:rsid w:val="00117459"/>
    <w:rsid w:val="0011749A"/>
    <w:rsid w:val="00127A68"/>
    <w:rsid w:val="00140B13"/>
    <w:rsid w:val="00141B68"/>
    <w:rsid w:val="001466DA"/>
    <w:rsid w:val="00154DE1"/>
    <w:rsid w:val="00155B40"/>
    <w:rsid w:val="001570FF"/>
    <w:rsid w:val="00157435"/>
    <w:rsid w:val="001605E3"/>
    <w:rsid w:val="00163EEA"/>
    <w:rsid w:val="00167A07"/>
    <w:rsid w:val="0017046A"/>
    <w:rsid w:val="001704A3"/>
    <w:rsid w:val="0017504D"/>
    <w:rsid w:val="00177422"/>
    <w:rsid w:val="00184F10"/>
    <w:rsid w:val="00185546"/>
    <w:rsid w:val="001863DC"/>
    <w:rsid w:val="0019146B"/>
    <w:rsid w:val="00194398"/>
    <w:rsid w:val="001A7D2A"/>
    <w:rsid w:val="001B574C"/>
    <w:rsid w:val="001C0AF9"/>
    <w:rsid w:val="001C155A"/>
    <w:rsid w:val="001C1901"/>
    <w:rsid w:val="001C48C0"/>
    <w:rsid w:val="001D5FB4"/>
    <w:rsid w:val="001D6726"/>
    <w:rsid w:val="001F3347"/>
    <w:rsid w:val="001F4440"/>
    <w:rsid w:val="001F69E4"/>
    <w:rsid w:val="00206A65"/>
    <w:rsid w:val="00211A9F"/>
    <w:rsid w:val="00211CE4"/>
    <w:rsid w:val="00212D31"/>
    <w:rsid w:val="002130C7"/>
    <w:rsid w:val="002218A8"/>
    <w:rsid w:val="0022306D"/>
    <w:rsid w:val="00226574"/>
    <w:rsid w:val="002278EC"/>
    <w:rsid w:val="002357C7"/>
    <w:rsid w:val="002367C4"/>
    <w:rsid w:val="00245594"/>
    <w:rsid w:val="00255743"/>
    <w:rsid w:val="0025679E"/>
    <w:rsid w:val="00260C68"/>
    <w:rsid w:val="002648B0"/>
    <w:rsid w:val="00275271"/>
    <w:rsid w:val="0027535E"/>
    <w:rsid w:val="00275AA6"/>
    <w:rsid w:val="00276E33"/>
    <w:rsid w:val="0027781D"/>
    <w:rsid w:val="002807D5"/>
    <w:rsid w:val="00282CCD"/>
    <w:rsid w:val="00285085"/>
    <w:rsid w:val="002A168C"/>
    <w:rsid w:val="002A2C48"/>
    <w:rsid w:val="002A3EED"/>
    <w:rsid w:val="002A4A39"/>
    <w:rsid w:val="002A5A17"/>
    <w:rsid w:val="002A6425"/>
    <w:rsid w:val="002B49E2"/>
    <w:rsid w:val="002B7B00"/>
    <w:rsid w:val="002B7C44"/>
    <w:rsid w:val="002C1388"/>
    <w:rsid w:val="002C17A6"/>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5427"/>
    <w:rsid w:val="00336969"/>
    <w:rsid w:val="00336C52"/>
    <w:rsid w:val="00341B3E"/>
    <w:rsid w:val="00341B42"/>
    <w:rsid w:val="00345154"/>
    <w:rsid w:val="0034560E"/>
    <w:rsid w:val="00350523"/>
    <w:rsid w:val="00352975"/>
    <w:rsid w:val="00356868"/>
    <w:rsid w:val="0036485B"/>
    <w:rsid w:val="00373B0D"/>
    <w:rsid w:val="00376988"/>
    <w:rsid w:val="00381A72"/>
    <w:rsid w:val="00386098"/>
    <w:rsid w:val="00390F16"/>
    <w:rsid w:val="003A1948"/>
    <w:rsid w:val="003A59FB"/>
    <w:rsid w:val="003B152A"/>
    <w:rsid w:val="003B21ED"/>
    <w:rsid w:val="003B545B"/>
    <w:rsid w:val="003D3EE9"/>
    <w:rsid w:val="003E7681"/>
    <w:rsid w:val="003F0809"/>
    <w:rsid w:val="003F611C"/>
    <w:rsid w:val="003F6423"/>
    <w:rsid w:val="003F755C"/>
    <w:rsid w:val="00406B74"/>
    <w:rsid w:val="00406F01"/>
    <w:rsid w:val="00411B36"/>
    <w:rsid w:val="004121D7"/>
    <w:rsid w:val="00416D50"/>
    <w:rsid w:val="00417772"/>
    <w:rsid w:val="00420813"/>
    <w:rsid w:val="00420E6A"/>
    <w:rsid w:val="00433CA9"/>
    <w:rsid w:val="0043521D"/>
    <w:rsid w:val="00442024"/>
    <w:rsid w:val="0044254C"/>
    <w:rsid w:val="00443F6A"/>
    <w:rsid w:val="00450A17"/>
    <w:rsid w:val="00466321"/>
    <w:rsid w:val="004672AF"/>
    <w:rsid w:val="004727B0"/>
    <w:rsid w:val="00474E2E"/>
    <w:rsid w:val="00480247"/>
    <w:rsid w:val="0048081D"/>
    <w:rsid w:val="0048117E"/>
    <w:rsid w:val="004855F6"/>
    <w:rsid w:val="00486F0C"/>
    <w:rsid w:val="00493333"/>
    <w:rsid w:val="00494670"/>
    <w:rsid w:val="004A0EB4"/>
    <w:rsid w:val="004A3823"/>
    <w:rsid w:val="004A59BB"/>
    <w:rsid w:val="004B2E17"/>
    <w:rsid w:val="004B43A3"/>
    <w:rsid w:val="004B4C49"/>
    <w:rsid w:val="004B58A5"/>
    <w:rsid w:val="004B63D9"/>
    <w:rsid w:val="004C0882"/>
    <w:rsid w:val="004C55BE"/>
    <w:rsid w:val="004D10A7"/>
    <w:rsid w:val="004D3EE1"/>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431C7"/>
    <w:rsid w:val="00544AE5"/>
    <w:rsid w:val="005503AF"/>
    <w:rsid w:val="00554A7B"/>
    <w:rsid w:val="0055572C"/>
    <w:rsid w:val="0056064F"/>
    <w:rsid w:val="00561B84"/>
    <w:rsid w:val="00571D98"/>
    <w:rsid w:val="005720AE"/>
    <w:rsid w:val="0057533A"/>
    <w:rsid w:val="0058030D"/>
    <w:rsid w:val="00582045"/>
    <w:rsid w:val="00584569"/>
    <w:rsid w:val="00590AE3"/>
    <w:rsid w:val="005918F1"/>
    <w:rsid w:val="005A06B7"/>
    <w:rsid w:val="005A1759"/>
    <w:rsid w:val="005D0369"/>
    <w:rsid w:val="005D53FE"/>
    <w:rsid w:val="005D6570"/>
    <w:rsid w:val="005D7A0F"/>
    <w:rsid w:val="005E0438"/>
    <w:rsid w:val="005E1791"/>
    <w:rsid w:val="005E2CE6"/>
    <w:rsid w:val="005E6324"/>
    <w:rsid w:val="005F228B"/>
    <w:rsid w:val="005F29CD"/>
    <w:rsid w:val="005F4DFB"/>
    <w:rsid w:val="005F6CC0"/>
    <w:rsid w:val="00603E5B"/>
    <w:rsid w:val="00604BC8"/>
    <w:rsid w:val="00615B4C"/>
    <w:rsid w:val="00615B5D"/>
    <w:rsid w:val="00617B0C"/>
    <w:rsid w:val="006210C3"/>
    <w:rsid w:val="0062146F"/>
    <w:rsid w:val="006343AF"/>
    <w:rsid w:val="0063634A"/>
    <w:rsid w:val="0064250D"/>
    <w:rsid w:val="00651302"/>
    <w:rsid w:val="006515F9"/>
    <w:rsid w:val="006535EB"/>
    <w:rsid w:val="00663016"/>
    <w:rsid w:val="00664C99"/>
    <w:rsid w:val="00674605"/>
    <w:rsid w:val="006748B8"/>
    <w:rsid w:val="00682324"/>
    <w:rsid w:val="0068535B"/>
    <w:rsid w:val="0068736E"/>
    <w:rsid w:val="0069290A"/>
    <w:rsid w:val="00697032"/>
    <w:rsid w:val="006975AC"/>
    <w:rsid w:val="006A15FB"/>
    <w:rsid w:val="006A3790"/>
    <w:rsid w:val="006A72BF"/>
    <w:rsid w:val="006B332A"/>
    <w:rsid w:val="006B33BD"/>
    <w:rsid w:val="006C1ABD"/>
    <w:rsid w:val="006C3F75"/>
    <w:rsid w:val="006D170E"/>
    <w:rsid w:val="006D7742"/>
    <w:rsid w:val="006E06AF"/>
    <w:rsid w:val="006E1168"/>
    <w:rsid w:val="006F1789"/>
    <w:rsid w:val="00706C5D"/>
    <w:rsid w:val="007118E6"/>
    <w:rsid w:val="00713C59"/>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089C"/>
    <w:rsid w:val="007E25A1"/>
    <w:rsid w:val="007E4BD2"/>
    <w:rsid w:val="007E7145"/>
    <w:rsid w:val="007E7265"/>
    <w:rsid w:val="007F2E94"/>
    <w:rsid w:val="007F3916"/>
    <w:rsid w:val="007F6FE4"/>
    <w:rsid w:val="00801179"/>
    <w:rsid w:val="00802479"/>
    <w:rsid w:val="00805372"/>
    <w:rsid w:val="00805B7B"/>
    <w:rsid w:val="00805DCC"/>
    <w:rsid w:val="0081293E"/>
    <w:rsid w:val="00814FFB"/>
    <w:rsid w:val="00820568"/>
    <w:rsid w:val="00831A80"/>
    <w:rsid w:val="008332C8"/>
    <w:rsid w:val="00833743"/>
    <w:rsid w:val="008340A4"/>
    <w:rsid w:val="00836799"/>
    <w:rsid w:val="00837028"/>
    <w:rsid w:val="00837131"/>
    <w:rsid w:val="00842852"/>
    <w:rsid w:val="00845F57"/>
    <w:rsid w:val="008521E0"/>
    <w:rsid w:val="008525B0"/>
    <w:rsid w:val="00857CFB"/>
    <w:rsid w:val="00867CBC"/>
    <w:rsid w:val="00876C30"/>
    <w:rsid w:val="00877017"/>
    <w:rsid w:val="008773C0"/>
    <w:rsid w:val="00880364"/>
    <w:rsid w:val="00886C4C"/>
    <w:rsid w:val="0088711C"/>
    <w:rsid w:val="0089047D"/>
    <w:rsid w:val="00892A55"/>
    <w:rsid w:val="00892ECF"/>
    <w:rsid w:val="00892F06"/>
    <w:rsid w:val="00894285"/>
    <w:rsid w:val="00894C74"/>
    <w:rsid w:val="008969A4"/>
    <w:rsid w:val="008A40AE"/>
    <w:rsid w:val="008A4E19"/>
    <w:rsid w:val="008A67C5"/>
    <w:rsid w:val="008B22E1"/>
    <w:rsid w:val="008B3C78"/>
    <w:rsid w:val="008B4AE9"/>
    <w:rsid w:val="008C30AD"/>
    <w:rsid w:val="008D0068"/>
    <w:rsid w:val="008D068E"/>
    <w:rsid w:val="008D0F7A"/>
    <w:rsid w:val="008D63BE"/>
    <w:rsid w:val="008E03C9"/>
    <w:rsid w:val="008E0CFF"/>
    <w:rsid w:val="008E5D6B"/>
    <w:rsid w:val="008E689B"/>
    <w:rsid w:val="008E76F0"/>
    <w:rsid w:val="008F15FE"/>
    <w:rsid w:val="008F176C"/>
    <w:rsid w:val="008F2A94"/>
    <w:rsid w:val="008F5187"/>
    <w:rsid w:val="008F709C"/>
    <w:rsid w:val="0090312B"/>
    <w:rsid w:val="00904961"/>
    <w:rsid w:val="00906DAC"/>
    <w:rsid w:val="0091118B"/>
    <w:rsid w:val="00911EAF"/>
    <w:rsid w:val="0091736D"/>
    <w:rsid w:val="00921D44"/>
    <w:rsid w:val="00931001"/>
    <w:rsid w:val="00931863"/>
    <w:rsid w:val="00933524"/>
    <w:rsid w:val="00937A2C"/>
    <w:rsid w:val="0094278D"/>
    <w:rsid w:val="0095308A"/>
    <w:rsid w:val="00955AEE"/>
    <w:rsid w:val="00956F14"/>
    <w:rsid w:val="009620FD"/>
    <w:rsid w:val="0096247A"/>
    <w:rsid w:val="00965F4B"/>
    <w:rsid w:val="00970F8A"/>
    <w:rsid w:val="00971FB5"/>
    <w:rsid w:val="00972D2A"/>
    <w:rsid w:val="00975CC5"/>
    <w:rsid w:val="00975CDE"/>
    <w:rsid w:val="00976328"/>
    <w:rsid w:val="00976B4E"/>
    <w:rsid w:val="00984458"/>
    <w:rsid w:val="00985283"/>
    <w:rsid w:val="00987322"/>
    <w:rsid w:val="00987B86"/>
    <w:rsid w:val="00992532"/>
    <w:rsid w:val="009A0F3B"/>
    <w:rsid w:val="009A72C7"/>
    <w:rsid w:val="009B0897"/>
    <w:rsid w:val="009B319C"/>
    <w:rsid w:val="009D0852"/>
    <w:rsid w:val="009D1FBF"/>
    <w:rsid w:val="009D4344"/>
    <w:rsid w:val="009E399C"/>
    <w:rsid w:val="009E43C1"/>
    <w:rsid w:val="009E7E95"/>
    <w:rsid w:val="009F116F"/>
    <w:rsid w:val="009F329E"/>
    <w:rsid w:val="009F7ED3"/>
    <w:rsid w:val="00A03607"/>
    <w:rsid w:val="00A047FF"/>
    <w:rsid w:val="00A04FEF"/>
    <w:rsid w:val="00A05B9E"/>
    <w:rsid w:val="00A122CD"/>
    <w:rsid w:val="00A12A32"/>
    <w:rsid w:val="00A14248"/>
    <w:rsid w:val="00A14947"/>
    <w:rsid w:val="00A23DC5"/>
    <w:rsid w:val="00A34028"/>
    <w:rsid w:val="00A35568"/>
    <w:rsid w:val="00A37056"/>
    <w:rsid w:val="00A4358F"/>
    <w:rsid w:val="00A46F67"/>
    <w:rsid w:val="00A54AA1"/>
    <w:rsid w:val="00A568FF"/>
    <w:rsid w:val="00A57CF2"/>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2E7"/>
    <w:rsid w:val="00AE5D97"/>
    <w:rsid w:val="00AE6794"/>
    <w:rsid w:val="00B01110"/>
    <w:rsid w:val="00B02262"/>
    <w:rsid w:val="00B03CEC"/>
    <w:rsid w:val="00B1209F"/>
    <w:rsid w:val="00B12AD0"/>
    <w:rsid w:val="00B16A4D"/>
    <w:rsid w:val="00B24F30"/>
    <w:rsid w:val="00B31ABF"/>
    <w:rsid w:val="00B335AE"/>
    <w:rsid w:val="00B37CE1"/>
    <w:rsid w:val="00B40ACF"/>
    <w:rsid w:val="00B46BAA"/>
    <w:rsid w:val="00B47C1D"/>
    <w:rsid w:val="00B50B5F"/>
    <w:rsid w:val="00B54128"/>
    <w:rsid w:val="00B55826"/>
    <w:rsid w:val="00B60426"/>
    <w:rsid w:val="00B60845"/>
    <w:rsid w:val="00B622DD"/>
    <w:rsid w:val="00B63522"/>
    <w:rsid w:val="00B71422"/>
    <w:rsid w:val="00B72378"/>
    <w:rsid w:val="00B76F1D"/>
    <w:rsid w:val="00B77901"/>
    <w:rsid w:val="00B92A19"/>
    <w:rsid w:val="00B9544C"/>
    <w:rsid w:val="00BA29E9"/>
    <w:rsid w:val="00BB3618"/>
    <w:rsid w:val="00BC0C9E"/>
    <w:rsid w:val="00BC32DC"/>
    <w:rsid w:val="00BD1B51"/>
    <w:rsid w:val="00BD47F6"/>
    <w:rsid w:val="00BD5335"/>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53450"/>
    <w:rsid w:val="00C61E4B"/>
    <w:rsid w:val="00C62E3A"/>
    <w:rsid w:val="00C64503"/>
    <w:rsid w:val="00C64A1F"/>
    <w:rsid w:val="00C64BFF"/>
    <w:rsid w:val="00C742F3"/>
    <w:rsid w:val="00C763C9"/>
    <w:rsid w:val="00C80057"/>
    <w:rsid w:val="00C82C79"/>
    <w:rsid w:val="00C835F4"/>
    <w:rsid w:val="00C845A2"/>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348C5"/>
    <w:rsid w:val="00D56178"/>
    <w:rsid w:val="00D56CF0"/>
    <w:rsid w:val="00D56F5C"/>
    <w:rsid w:val="00D60C82"/>
    <w:rsid w:val="00D64A80"/>
    <w:rsid w:val="00D704B1"/>
    <w:rsid w:val="00D70B63"/>
    <w:rsid w:val="00D72B92"/>
    <w:rsid w:val="00D72ED4"/>
    <w:rsid w:val="00D73F61"/>
    <w:rsid w:val="00D754C0"/>
    <w:rsid w:val="00D776A2"/>
    <w:rsid w:val="00D801C4"/>
    <w:rsid w:val="00D90836"/>
    <w:rsid w:val="00D95896"/>
    <w:rsid w:val="00D95CC6"/>
    <w:rsid w:val="00DA2DA3"/>
    <w:rsid w:val="00DA49A0"/>
    <w:rsid w:val="00DA6615"/>
    <w:rsid w:val="00DA76AE"/>
    <w:rsid w:val="00DB181E"/>
    <w:rsid w:val="00DB1C7A"/>
    <w:rsid w:val="00DB20F7"/>
    <w:rsid w:val="00DB2983"/>
    <w:rsid w:val="00DB343D"/>
    <w:rsid w:val="00DB5579"/>
    <w:rsid w:val="00DB5CFE"/>
    <w:rsid w:val="00DC72A6"/>
    <w:rsid w:val="00DD2113"/>
    <w:rsid w:val="00DD265E"/>
    <w:rsid w:val="00DD7DE4"/>
    <w:rsid w:val="00DE535B"/>
    <w:rsid w:val="00DF1930"/>
    <w:rsid w:val="00DF514A"/>
    <w:rsid w:val="00E0358D"/>
    <w:rsid w:val="00E06327"/>
    <w:rsid w:val="00E15234"/>
    <w:rsid w:val="00E2064B"/>
    <w:rsid w:val="00E25239"/>
    <w:rsid w:val="00E265B1"/>
    <w:rsid w:val="00E275B0"/>
    <w:rsid w:val="00E412D0"/>
    <w:rsid w:val="00E47A94"/>
    <w:rsid w:val="00E47CDB"/>
    <w:rsid w:val="00E566BC"/>
    <w:rsid w:val="00E60982"/>
    <w:rsid w:val="00E60C8D"/>
    <w:rsid w:val="00E6162F"/>
    <w:rsid w:val="00E6311B"/>
    <w:rsid w:val="00E65D97"/>
    <w:rsid w:val="00E67EFD"/>
    <w:rsid w:val="00E702DC"/>
    <w:rsid w:val="00E71FFB"/>
    <w:rsid w:val="00E76D1D"/>
    <w:rsid w:val="00E806F8"/>
    <w:rsid w:val="00E862A4"/>
    <w:rsid w:val="00E87752"/>
    <w:rsid w:val="00E8793B"/>
    <w:rsid w:val="00E90F81"/>
    <w:rsid w:val="00E91A6D"/>
    <w:rsid w:val="00E9242D"/>
    <w:rsid w:val="00E92A28"/>
    <w:rsid w:val="00EA1424"/>
    <w:rsid w:val="00EB041C"/>
    <w:rsid w:val="00EC5874"/>
    <w:rsid w:val="00ED192D"/>
    <w:rsid w:val="00ED30B4"/>
    <w:rsid w:val="00ED31F5"/>
    <w:rsid w:val="00EF2759"/>
    <w:rsid w:val="00EF45EB"/>
    <w:rsid w:val="00EF5099"/>
    <w:rsid w:val="00EF5E33"/>
    <w:rsid w:val="00EF6B4B"/>
    <w:rsid w:val="00F00075"/>
    <w:rsid w:val="00F07822"/>
    <w:rsid w:val="00F15C95"/>
    <w:rsid w:val="00F22985"/>
    <w:rsid w:val="00F241AB"/>
    <w:rsid w:val="00F2786D"/>
    <w:rsid w:val="00F31382"/>
    <w:rsid w:val="00F35829"/>
    <w:rsid w:val="00F42868"/>
    <w:rsid w:val="00F465A7"/>
    <w:rsid w:val="00F50B7C"/>
    <w:rsid w:val="00F5202D"/>
    <w:rsid w:val="00F52CF6"/>
    <w:rsid w:val="00F53424"/>
    <w:rsid w:val="00F54496"/>
    <w:rsid w:val="00F571F2"/>
    <w:rsid w:val="00F61097"/>
    <w:rsid w:val="00F74345"/>
    <w:rsid w:val="00F74441"/>
    <w:rsid w:val="00F75113"/>
    <w:rsid w:val="00F76805"/>
    <w:rsid w:val="00F77F30"/>
    <w:rsid w:val="00F82589"/>
    <w:rsid w:val="00F82B19"/>
    <w:rsid w:val="00F84800"/>
    <w:rsid w:val="00F90AA7"/>
    <w:rsid w:val="00F9212D"/>
    <w:rsid w:val="00FA301A"/>
    <w:rsid w:val="00FA38FC"/>
    <w:rsid w:val="00FA406A"/>
    <w:rsid w:val="00FA5CB6"/>
    <w:rsid w:val="00FC66AC"/>
    <w:rsid w:val="00FD18F4"/>
    <w:rsid w:val="00FD74B4"/>
    <w:rsid w:val="00FF6FCE"/>
    <w:rsid w:val="00FF7518"/>
    <w:rsid w:val="00FF7FD8"/>
    <w:rsid w:val="010D6029"/>
    <w:rsid w:val="01115017"/>
    <w:rsid w:val="012E1635"/>
    <w:rsid w:val="01347A59"/>
    <w:rsid w:val="016A5229"/>
    <w:rsid w:val="019747D9"/>
    <w:rsid w:val="01D14DEB"/>
    <w:rsid w:val="01D72E19"/>
    <w:rsid w:val="01F260F0"/>
    <w:rsid w:val="021533E7"/>
    <w:rsid w:val="021E673E"/>
    <w:rsid w:val="02427F54"/>
    <w:rsid w:val="025A529E"/>
    <w:rsid w:val="02664FAB"/>
    <w:rsid w:val="026F594D"/>
    <w:rsid w:val="02813C31"/>
    <w:rsid w:val="02875872"/>
    <w:rsid w:val="02931CA0"/>
    <w:rsid w:val="02A36C44"/>
    <w:rsid w:val="02AE6D39"/>
    <w:rsid w:val="02B84E65"/>
    <w:rsid w:val="02BB2121"/>
    <w:rsid w:val="02C1531D"/>
    <w:rsid w:val="02D50D31"/>
    <w:rsid w:val="02D7069C"/>
    <w:rsid w:val="02D7406D"/>
    <w:rsid w:val="02E56FF2"/>
    <w:rsid w:val="032F0D0F"/>
    <w:rsid w:val="03424BB5"/>
    <w:rsid w:val="035A1095"/>
    <w:rsid w:val="03724869"/>
    <w:rsid w:val="03791753"/>
    <w:rsid w:val="03A82039"/>
    <w:rsid w:val="03AC1B29"/>
    <w:rsid w:val="03C2134C"/>
    <w:rsid w:val="03DB41BC"/>
    <w:rsid w:val="03EF7C67"/>
    <w:rsid w:val="0438160E"/>
    <w:rsid w:val="044004C3"/>
    <w:rsid w:val="0443017D"/>
    <w:rsid w:val="045A3333"/>
    <w:rsid w:val="048A4CFA"/>
    <w:rsid w:val="048D5E4D"/>
    <w:rsid w:val="04956A61"/>
    <w:rsid w:val="04A15406"/>
    <w:rsid w:val="04AD3DAA"/>
    <w:rsid w:val="04BD38C2"/>
    <w:rsid w:val="04C2570D"/>
    <w:rsid w:val="04D8694E"/>
    <w:rsid w:val="04F76DD4"/>
    <w:rsid w:val="050F0836"/>
    <w:rsid w:val="05143B6B"/>
    <w:rsid w:val="052027CE"/>
    <w:rsid w:val="05240FE3"/>
    <w:rsid w:val="053E7845"/>
    <w:rsid w:val="056F4C41"/>
    <w:rsid w:val="05742AC8"/>
    <w:rsid w:val="057C552B"/>
    <w:rsid w:val="057D6389"/>
    <w:rsid w:val="05854D43"/>
    <w:rsid w:val="05955811"/>
    <w:rsid w:val="05997E8B"/>
    <w:rsid w:val="05A22E2B"/>
    <w:rsid w:val="05AC4062"/>
    <w:rsid w:val="05B305AF"/>
    <w:rsid w:val="05E7611C"/>
    <w:rsid w:val="060E18EE"/>
    <w:rsid w:val="06352F05"/>
    <w:rsid w:val="063A78C0"/>
    <w:rsid w:val="063D7233"/>
    <w:rsid w:val="063E7D85"/>
    <w:rsid w:val="063F24F7"/>
    <w:rsid w:val="064029FC"/>
    <w:rsid w:val="064C1E3E"/>
    <w:rsid w:val="064D191A"/>
    <w:rsid w:val="06562220"/>
    <w:rsid w:val="065D62C3"/>
    <w:rsid w:val="065E2E82"/>
    <w:rsid w:val="06693D01"/>
    <w:rsid w:val="067A1943"/>
    <w:rsid w:val="06954AF6"/>
    <w:rsid w:val="06C2234A"/>
    <w:rsid w:val="06C64BFF"/>
    <w:rsid w:val="06CB0518"/>
    <w:rsid w:val="06F56A16"/>
    <w:rsid w:val="06F6179A"/>
    <w:rsid w:val="06F96DCA"/>
    <w:rsid w:val="070875E0"/>
    <w:rsid w:val="070D265C"/>
    <w:rsid w:val="071579E5"/>
    <w:rsid w:val="071E2D3E"/>
    <w:rsid w:val="071F3A7A"/>
    <w:rsid w:val="071F7C4D"/>
    <w:rsid w:val="072440CC"/>
    <w:rsid w:val="07293586"/>
    <w:rsid w:val="07295285"/>
    <w:rsid w:val="072B0FB7"/>
    <w:rsid w:val="07550344"/>
    <w:rsid w:val="075E138C"/>
    <w:rsid w:val="075F6EC3"/>
    <w:rsid w:val="076B5857"/>
    <w:rsid w:val="07770C56"/>
    <w:rsid w:val="077C1812"/>
    <w:rsid w:val="078C4E56"/>
    <w:rsid w:val="07A11279"/>
    <w:rsid w:val="07B70E15"/>
    <w:rsid w:val="07B969F7"/>
    <w:rsid w:val="07C41709"/>
    <w:rsid w:val="07C55E09"/>
    <w:rsid w:val="07CD7D59"/>
    <w:rsid w:val="07E959BB"/>
    <w:rsid w:val="08166EE1"/>
    <w:rsid w:val="0821374E"/>
    <w:rsid w:val="08307993"/>
    <w:rsid w:val="08485B98"/>
    <w:rsid w:val="08486800"/>
    <w:rsid w:val="084C5688"/>
    <w:rsid w:val="08762705"/>
    <w:rsid w:val="087B7D1C"/>
    <w:rsid w:val="088D4A75"/>
    <w:rsid w:val="08966904"/>
    <w:rsid w:val="08B82880"/>
    <w:rsid w:val="08BE2D8F"/>
    <w:rsid w:val="08D34B34"/>
    <w:rsid w:val="08E14806"/>
    <w:rsid w:val="08F55387"/>
    <w:rsid w:val="092217DD"/>
    <w:rsid w:val="093A7294"/>
    <w:rsid w:val="09420839"/>
    <w:rsid w:val="094620D8"/>
    <w:rsid w:val="095011A8"/>
    <w:rsid w:val="095C5D9F"/>
    <w:rsid w:val="096E162E"/>
    <w:rsid w:val="097018B2"/>
    <w:rsid w:val="09732A37"/>
    <w:rsid w:val="097D0913"/>
    <w:rsid w:val="097D2702"/>
    <w:rsid w:val="099C263F"/>
    <w:rsid w:val="09A14FCB"/>
    <w:rsid w:val="09A6701A"/>
    <w:rsid w:val="09BF1421"/>
    <w:rsid w:val="09D873B4"/>
    <w:rsid w:val="09E810D6"/>
    <w:rsid w:val="09EB557E"/>
    <w:rsid w:val="09F00295"/>
    <w:rsid w:val="09F0123A"/>
    <w:rsid w:val="09F91840"/>
    <w:rsid w:val="0A287A2F"/>
    <w:rsid w:val="0A2D5046"/>
    <w:rsid w:val="0A3930ED"/>
    <w:rsid w:val="0A3E1968"/>
    <w:rsid w:val="0A481DAB"/>
    <w:rsid w:val="0A4F1C08"/>
    <w:rsid w:val="0A580F87"/>
    <w:rsid w:val="0A631A81"/>
    <w:rsid w:val="0A782765"/>
    <w:rsid w:val="0A8E2870"/>
    <w:rsid w:val="0AA04BFE"/>
    <w:rsid w:val="0AB87005"/>
    <w:rsid w:val="0AC736EC"/>
    <w:rsid w:val="0AC77248"/>
    <w:rsid w:val="0AC90FB1"/>
    <w:rsid w:val="0AD25911"/>
    <w:rsid w:val="0AF838A6"/>
    <w:rsid w:val="0B134CB1"/>
    <w:rsid w:val="0B2B5A29"/>
    <w:rsid w:val="0B2D4E57"/>
    <w:rsid w:val="0B3E5EF0"/>
    <w:rsid w:val="0B754EF6"/>
    <w:rsid w:val="0B7F2711"/>
    <w:rsid w:val="0B901D30"/>
    <w:rsid w:val="0BB53545"/>
    <w:rsid w:val="0BC13363"/>
    <w:rsid w:val="0BD27BF6"/>
    <w:rsid w:val="0BF64289"/>
    <w:rsid w:val="0BF91683"/>
    <w:rsid w:val="0C2862F8"/>
    <w:rsid w:val="0C2A0A31"/>
    <w:rsid w:val="0C612623"/>
    <w:rsid w:val="0C6A07D3"/>
    <w:rsid w:val="0C760E99"/>
    <w:rsid w:val="0C9A2887"/>
    <w:rsid w:val="0CA21D1B"/>
    <w:rsid w:val="0CB046E2"/>
    <w:rsid w:val="0CC25F19"/>
    <w:rsid w:val="0CE2366C"/>
    <w:rsid w:val="0CE33113"/>
    <w:rsid w:val="0CE40585"/>
    <w:rsid w:val="0CE528DF"/>
    <w:rsid w:val="0CFF02E1"/>
    <w:rsid w:val="0D136775"/>
    <w:rsid w:val="0D1C4C26"/>
    <w:rsid w:val="0D1F511A"/>
    <w:rsid w:val="0D2B7524"/>
    <w:rsid w:val="0D4B4BDD"/>
    <w:rsid w:val="0D576FA9"/>
    <w:rsid w:val="0D6A3DBE"/>
    <w:rsid w:val="0D731909"/>
    <w:rsid w:val="0D750BCF"/>
    <w:rsid w:val="0D7F205C"/>
    <w:rsid w:val="0D825D10"/>
    <w:rsid w:val="0D8D6785"/>
    <w:rsid w:val="0D933D59"/>
    <w:rsid w:val="0DA379EE"/>
    <w:rsid w:val="0DB53CD0"/>
    <w:rsid w:val="0DC440B5"/>
    <w:rsid w:val="0DDA1D98"/>
    <w:rsid w:val="0DDD51F1"/>
    <w:rsid w:val="0DDF2139"/>
    <w:rsid w:val="0DE465EB"/>
    <w:rsid w:val="0DE93979"/>
    <w:rsid w:val="0DFF4F4B"/>
    <w:rsid w:val="0E100F06"/>
    <w:rsid w:val="0E110D06"/>
    <w:rsid w:val="0E272D67"/>
    <w:rsid w:val="0E4B7BDF"/>
    <w:rsid w:val="0E782F04"/>
    <w:rsid w:val="0E79794F"/>
    <w:rsid w:val="0E9B43C8"/>
    <w:rsid w:val="0EA23F1F"/>
    <w:rsid w:val="0EA62794"/>
    <w:rsid w:val="0EB15142"/>
    <w:rsid w:val="0ECA5FC7"/>
    <w:rsid w:val="0EE46130"/>
    <w:rsid w:val="0EF2236C"/>
    <w:rsid w:val="0F0071CD"/>
    <w:rsid w:val="0F0B5845"/>
    <w:rsid w:val="0F13775A"/>
    <w:rsid w:val="0F152C78"/>
    <w:rsid w:val="0F276507"/>
    <w:rsid w:val="0F895414"/>
    <w:rsid w:val="0F911856"/>
    <w:rsid w:val="0F964296"/>
    <w:rsid w:val="0F9A112B"/>
    <w:rsid w:val="0FA42D6A"/>
    <w:rsid w:val="0FD52407"/>
    <w:rsid w:val="0FED59A3"/>
    <w:rsid w:val="0FFC7994"/>
    <w:rsid w:val="100827DD"/>
    <w:rsid w:val="100D38A2"/>
    <w:rsid w:val="101100B4"/>
    <w:rsid w:val="101B3EE5"/>
    <w:rsid w:val="102B0279"/>
    <w:rsid w:val="10383A87"/>
    <w:rsid w:val="10390BE8"/>
    <w:rsid w:val="104B1C74"/>
    <w:rsid w:val="10521CAA"/>
    <w:rsid w:val="10523A58"/>
    <w:rsid w:val="106A6FF4"/>
    <w:rsid w:val="106D2F64"/>
    <w:rsid w:val="106F0166"/>
    <w:rsid w:val="108A3299"/>
    <w:rsid w:val="10990781"/>
    <w:rsid w:val="10A047C3"/>
    <w:rsid w:val="10A11227"/>
    <w:rsid w:val="10B63710"/>
    <w:rsid w:val="10B84553"/>
    <w:rsid w:val="10E943BC"/>
    <w:rsid w:val="11017FF3"/>
    <w:rsid w:val="111927C8"/>
    <w:rsid w:val="111C2F7A"/>
    <w:rsid w:val="113013DE"/>
    <w:rsid w:val="11370089"/>
    <w:rsid w:val="1142587A"/>
    <w:rsid w:val="114415F3"/>
    <w:rsid w:val="116A6B7F"/>
    <w:rsid w:val="11721D54"/>
    <w:rsid w:val="117A14B8"/>
    <w:rsid w:val="11851C0B"/>
    <w:rsid w:val="118A7DBE"/>
    <w:rsid w:val="119F7945"/>
    <w:rsid w:val="11AE2E2C"/>
    <w:rsid w:val="11B12A00"/>
    <w:rsid w:val="11C95F9C"/>
    <w:rsid w:val="11DA1F57"/>
    <w:rsid w:val="11DA259E"/>
    <w:rsid w:val="11E95A0E"/>
    <w:rsid w:val="11F0106A"/>
    <w:rsid w:val="120D40DA"/>
    <w:rsid w:val="120F1ACA"/>
    <w:rsid w:val="12170AB5"/>
    <w:rsid w:val="121768F5"/>
    <w:rsid w:val="121E0096"/>
    <w:rsid w:val="121F5BBC"/>
    <w:rsid w:val="122B06C2"/>
    <w:rsid w:val="12490E8B"/>
    <w:rsid w:val="12527D3F"/>
    <w:rsid w:val="12535459"/>
    <w:rsid w:val="125449EC"/>
    <w:rsid w:val="125F420A"/>
    <w:rsid w:val="128E6209"/>
    <w:rsid w:val="129D4C15"/>
    <w:rsid w:val="12C549B5"/>
    <w:rsid w:val="12CD1ABC"/>
    <w:rsid w:val="12D40754"/>
    <w:rsid w:val="12EA7F78"/>
    <w:rsid w:val="12F62DC0"/>
    <w:rsid w:val="132C67E2"/>
    <w:rsid w:val="133F4A0B"/>
    <w:rsid w:val="13477178"/>
    <w:rsid w:val="1362048E"/>
    <w:rsid w:val="137E3028"/>
    <w:rsid w:val="13951726"/>
    <w:rsid w:val="13A9099B"/>
    <w:rsid w:val="13BD4E58"/>
    <w:rsid w:val="13CA3E07"/>
    <w:rsid w:val="13D11138"/>
    <w:rsid w:val="13DC44D6"/>
    <w:rsid w:val="13FB7F63"/>
    <w:rsid w:val="140B4F9A"/>
    <w:rsid w:val="14396509"/>
    <w:rsid w:val="1447165C"/>
    <w:rsid w:val="144A310D"/>
    <w:rsid w:val="144D5ECF"/>
    <w:rsid w:val="14634486"/>
    <w:rsid w:val="14755F67"/>
    <w:rsid w:val="148B5B3C"/>
    <w:rsid w:val="14B85DB6"/>
    <w:rsid w:val="14C02667"/>
    <w:rsid w:val="14D477CE"/>
    <w:rsid w:val="14D64DF6"/>
    <w:rsid w:val="1500325C"/>
    <w:rsid w:val="15175270"/>
    <w:rsid w:val="15284D87"/>
    <w:rsid w:val="153100E0"/>
    <w:rsid w:val="15453B8B"/>
    <w:rsid w:val="154F5CF7"/>
    <w:rsid w:val="15555F07"/>
    <w:rsid w:val="155D7127"/>
    <w:rsid w:val="156E66B6"/>
    <w:rsid w:val="1596659B"/>
    <w:rsid w:val="159B7D45"/>
    <w:rsid w:val="159E5049"/>
    <w:rsid w:val="15B71F81"/>
    <w:rsid w:val="15BB209F"/>
    <w:rsid w:val="15BE305A"/>
    <w:rsid w:val="15C2342E"/>
    <w:rsid w:val="15C26F8A"/>
    <w:rsid w:val="15D40D0B"/>
    <w:rsid w:val="15DE0DD7"/>
    <w:rsid w:val="15E60CE0"/>
    <w:rsid w:val="16315FFC"/>
    <w:rsid w:val="16404BF0"/>
    <w:rsid w:val="164B5E74"/>
    <w:rsid w:val="1662045B"/>
    <w:rsid w:val="166A0E21"/>
    <w:rsid w:val="1688192D"/>
    <w:rsid w:val="169C5A2D"/>
    <w:rsid w:val="16A82624"/>
    <w:rsid w:val="16AF038F"/>
    <w:rsid w:val="16D51276"/>
    <w:rsid w:val="16E93B42"/>
    <w:rsid w:val="16EC1FA8"/>
    <w:rsid w:val="170F26A3"/>
    <w:rsid w:val="17127A9D"/>
    <w:rsid w:val="173418A7"/>
    <w:rsid w:val="17352A28"/>
    <w:rsid w:val="17560E52"/>
    <w:rsid w:val="176127D3"/>
    <w:rsid w:val="1762440B"/>
    <w:rsid w:val="17735226"/>
    <w:rsid w:val="177B11D8"/>
    <w:rsid w:val="17800EAB"/>
    <w:rsid w:val="178169D1"/>
    <w:rsid w:val="178F10EE"/>
    <w:rsid w:val="179606CE"/>
    <w:rsid w:val="17A252C5"/>
    <w:rsid w:val="17A41C6A"/>
    <w:rsid w:val="17B51E7E"/>
    <w:rsid w:val="17B80221"/>
    <w:rsid w:val="17D11706"/>
    <w:rsid w:val="17D925E9"/>
    <w:rsid w:val="18103988"/>
    <w:rsid w:val="181F06C4"/>
    <w:rsid w:val="18441ED8"/>
    <w:rsid w:val="184876B6"/>
    <w:rsid w:val="184C1AF3"/>
    <w:rsid w:val="185F31B6"/>
    <w:rsid w:val="187D1248"/>
    <w:rsid w:val="18846779"/>
    <w:rsid w:val="18AD3F21"/>
    <w:rsid w:val="18C35EEC"/>
    <w:rsid w:val="18C96AE1"/>
    <w:rsid w:val="18D92F68"/>
    <w:rsid w:val="18D9665A"/>
    <w:rsid w:val="18DE3CC3"/>
    <w:rsid w:val="1934019F"/>
    <w:rsid w:val="19341F4D"/>
    <w:rsid w:val="19371A3D"/>
    <w:rsid w:val="193A3F42"/>
    <w:rsid w:val="194B54E8"/>
    <w:rsid w:val="195F4FAC"/>
    <w:rsid w:val="19622F5E"/>
    <w:rsid w:val="196E41B2"/>
    <w:rsid w:val="197D32B1"/>
    <w:rsid w:val="198B3B37"/>
    <w:rsid w:val="19967B08"/>
    <w:rsid w:val="199C538A"/>
    <w:rsid w:val="19C37774"/>
    <w:rsid w:val="19CE2148"/>
    <w:rsid w:val="19EA4C66"/>
    <w:rsid w:val="19EC48E7"/>
    <w:rsid w:val="19FB0CBC"/>
    <w:rsid w:val="1A0635BE"/>
    <w:rsid w:val="1A071979"/>
    <w:rsid w:val="1A115087"/>
    <w:rsid w:val="1A136006"/>
    <w:rsid w:val="1A1C66C0"/>
    <w:rsid w:val="1A206975"/>
    <w:rsid w:val="1A27385F"/>
    <w:rsid w:val="1A357F21"/>
    <w:rsid w:val="1A394790"/>
    <w:rsid w:val="1A4051E0"/>
    <w:rsid w:val="1A4175E5"/>
    <w:rsid w:val="1A42393B"/>
    <w:rsid w:val="1A5253FC"/>
    <w:rsid w:val="1A657CB6"/>
    <w:rsid w:val="1A7E3800"/>
    <w:rsid w:val="1A8B2040"/>
    <w:rsid w:val="1A8B7ED4"/>
    <w:rsid w:val="1A8E5F63"/>
    <w:rsid w:val="1A8E63AF"/>
    <w:rsid w:val="1AAE50C3"/>
    <w:rsid w:val="1AB8095B"/>
    <w:rsid w:val="1ACE0C9B"/>
    <w:rsid w:val="1AD2356C"/>
    <w:rsid w:val="1AE343DA"/>
    <w:rsid w:val="1AEB0D31"/>
    <w:rsid w:val="1AFD2812"/>
    <w:rsid w:val="1B046F80"/>
    <w:rsid w:val="1B080F44"/>
    <w:rsid w:val="1B1F6C2C"/>
    <w:rsid w:val="1B262BAF"/>
    <w:rsid w:val="1B3267B5"/>
    <w:rsid w:val="1B33112F"/>
    <w:rsid w:val="1B3F16F5"/>
    <w:rsid w:val="1B4A5EFB"/>
    <w:rsid w:val="1B4C0DF3"/>
    <w:rsid w:val="1B527002"/>
    <w:rsid w:val="1B595292"/>
    <w:rsid w:val="1B634D6B"/>
    <w:rsid w:val="1B662AAD"/>
    <w:rsid w:val="1B7C4342"/>
    <w:rsid w:val="1B9C202B"/>
    <w:rsid w:val="1BBE70E1"/>
    <w:rsid w:val="1BC25DC8"/>
    <w:rsid w:val="1BCC1384"/>
    <w:rsid w:val="1BCF5591"/>
    <w:rsid w:val="1BE539D2"/>
    <w:rsid w:val="1BE70E5E"/>
    <w:rsid w:val="1BF61EF8"/>
    <w:rsid w:val="1BFE2CE6"/>
    <w:rsid w:val="1C0A3439"/>
    <w:rsid w:val="1C0B6A05"/>
    <w:rsid w:val="1C3404B6"/>
    <w:rsid w:val="1C4912E1"/>
    <w:rsid w:val="1C5C01ED"/>
    <w:rsid w:val="1C5E7925"/>
    <w:rsid w:val="1C662D65"/>
    <w:rsid w:val="1C7134B8"/>
    <w:rsid w:val="1C887FC8"/>
    <w:rsid w:val="1C9D24FF"/>
    <w:rsid w:val="1CA078F9"/>
    <w:rsid w:val="1CB30BA4"/>
    <w:rsid w:val="1CBB2985"/>
    <w:rsid w:val="1CBE3220"/>
    <w:rsid w:val="1CCC4B92"/>
    <w:rsid w:val="1CCE4466"/>
    <w:rsid w:val="1CD759A8"/>
    <w:rsid w:val="1CF82713"/>
    <w:rsid w:val="1D061E52"/>
    <w:rsid w:val="1D1B51B1"/>
    <w:rsid w:val="1D33076D"/>
    <w:rsid w:val="1D3A7D4E"/>
    <w:rsid w:val="1D596426"/>
    <w:rsid w:val="1D5A219E"/>
    <w:rsid w:val="1D5F6196"/>
    <w:rsid w:val="1D6132A5"/>
    <w:rsid w:val="1D801022"/>
    <w:rsid w:val="1D851D48"/>
    <w:rsid w:val="1D8B67FB"/>
    <w:rsid w:val="1D8E56D5"/>
    <w:rsid w:val="1D91390D"/>
    <w:rsid w:val="1DAC03EC"/>
    <w:rsid w:val="1DC02C06"/>
    <w:rsid w:val="1DC87107"/>
    <w:rsid w:val="1DE965F2"/>
    <w:rsid w:val="1DF443E5"/>
    <w:rsid w:val="1DFC1CFB"/>
    <w:rsid w:val="1DFD14A7"/>
    <w:rsid w:val="1E076044"/>
    <w:rsid w:val="1E0850E8"/>
    <w:rsid w:val="1E110AAE"/>
    <w:rsid w:val="1E24594C"/>
    <w:rsid w:val="1E3B3D7D"/>
    <w:rsid w:val="1E587FB8"/>
    <w:rsid w:val="1E6240F1"/>
    <w:rsid w:val="1E6305EC"/>
    <w:rsid w:val="1E7A43DA"/>
    <w:rsid w:val="1E7E0A81"/>
    <w:rsid w:val="1E7F757D"/>
    <w:rsid w:val="1E851F92"/>
    <w:rsid w:val="1E8707A4"/>
    <w:rsid w:val="1EAF5491"/>
    <w:rsid w:val="1EB00F19"/>
    <w:rsid w:val="1EB277FE"/>
    <w:rsid w:val="1ECB1F8C"/>
    <w:rsid w:val="1ED3045A"/>
    <w:rsid w:val="1EEC3644"/>
    <w:rsid w:val="1EFA3E00"/>
    <w:rsid w:val="1F1C398D"/>
    <w:rsid w:val="1F253E23"/>
    <w:rsid w:val="1F3031B6"/>
    <w:rsid w:val="1F3074AA"/>
    <w:rsid w:val="1F3D61DE"/>
    <w:rsid w:val="1F3F33F9"/>
    <w:rsid w:val="1F43738D"/>
    <w:rsid w:val="1F53754A"/>
    <w:rsid w:val="1F607885"/>
    <w:rsid w:val="1F686DF4"/>
    <w:rsid w:val="1F695EE3"/>
    <w:rsid w:val="1F896D6A"/>
    <w:rsid w:val="1F8B605E"/>
    <w:rsid w:val="1F972E96"/>
    <w:rsid w:val="1FBE6CF6"/>
    <w:rsid w:val="1FE7539E"/>
    <w:rsid w:val="1FF133AC"/>
    <w:rsid w:val="200C5D79"/>
    <w:rsid w:val="200D0837"/>
    <w:rsid w:val="2011428E"/>
    <w:rsid w:val="2015357A"/>
    <w:rsid w:val="204131A1"/>
    <w:rsid w:val="20452C91"/>
    <w:rsid w:val="207812B9"/>
    <w:rsid w:val="207C7383"/>
    <w:rsid w:val="207F330F"/>
    <w:rsid w:val="20875058"/>
    <w:rsid w:val="208D28C0"/>
    <w:rsid w:val="20963CB8"/>
    <w:rsid w:val="209F6845"/>
    <w:rsid w:val="20AD59E1"/>
    <w:rsid w:val="20B07FB6"/>
    <w:rsid w:val="20B3470B"/>
    <w:rsid w:val="20B66479"/>
    <w:rsid w:val="20C93FB5"/>
    <w:rsid w:val="20D81FF7"/>
    <w:rsid w:val="20E57FD0"/>
    <w:rsid w:val="20E71923"/>
    <w:rsid w:val="20F052F3"/>
    <w:rsid w:val="210C5CAC"/>
    <w:rsid w:val="2119496F"/>
    <w:rsid w:val="213320CF"/>
    <w:rsid w:val="213B74B1"/>
    <w:rsid w:val="214F547B"/>
    <w:rsid w:val="215A2310"/>
    <w:rsid w:val="21661111"/>
    <w:rsid w:val="21717AB6"/>
    <w:rsid w:val="21742B65"/>
    <w:rsid w:val="21843A63"/>
    <w:rsid w:val="21893052"/>
    <w:rsid w:val="218A526D"/>
    <w:rsid w:val="21935419"/>
    <w:rsid w:val="21A1480B"/>
    <w:rsid w:val="21BF4CC5"/>
    <w:rsid w:val="21DE318A"/>
    <w:rsid w:val="21DF2D16"/>
    <w:rsid w:val="21EF5B80"/>
    <w:rsid w:val="21FE56DE"/>
    <w:rsid w:val="22097CEF"/>
    <w:rsid w:val="22196E59"/>
    <w:rsid w:val="222566AF"/>
    <w:rsid w:val="22387A21"/>
    <w:rsid w:val="224002CA"/>
    <w:rsid w:val="22446C73"/>
    <w:rsid w:val="22576990"/>
    <w:rsid w:val="225B49EE"/>
    <w:rsid w:val="22651ABC"/>
    <w:rsid w:val="22727B3E"/>
    <w:rsid w:val="229C4EAB"/>
    <w:rsid w:val="22A30143"/>
    <w:rsid w:val="22B13280"/>
    <w:rsid w:val="22BE4F7D"/>
    <w:rsid w:val="22C34341"/>
    <w:rsid w:val="22DA5EE4"/>
    <w:rsid w:val="22DD2691"/>
    <w:rsid w:val="22F032C8"/>
    <w:rsid w:val="22F34BC1"/>
    <w:rsid w:val="23075320"/>
    <w:rsid w:val="23076924"/>
    <w:rsid w:val="23166B67"/>
    <w:rsid w:val="2322375E"/>
    <w:rsid w:val="23237187"/>
    <w:rsid w:val="2328627B"/>
    <w:rsid w:val="23323994"/>
    <w:rsid w:val="233314C7"/>
    <w:rsid w:val="235A4CA6"/>
    <w:rsid w:val="235F050E"/>
    <w:rsid w:val="236619DD"/>
    <w:rsid w:val="23753C2E"/>
    <w:rsid w:val="237A67A3"/>
    <w:rsid w:val="23847F75"/>
    <w:rsid w:val="23B26A28"/>
    <w:rsid w:val="23BA5744"/>
    <w:rsid w:val="23C12F77"/>
    <w:rsid w:val="23C87E61"/>
    <w:rsid w:val="23F253F2"/>
    <w:rsid w:val="23FC7B0B"/>
    <w:rsid w:val="241573D7"/>
    <w:rsid w:val="241A61E3"/>
    <w:rsid w:val="24266AE5"/>
    <w:rsid w:val="24373239"/>
    <w:rsid w:val="24480FA2"/>
    <w:rsid w:val="24521E21"/>
    <w:rsid w:val="245A2A83"/>
    <w:rsid w:val="246062EC"/>
    <w:rsid w:val="247E2C16"/>
    <w:rsid w:val="248C0626"/>
    <w:rsid w:val="24B108F5"/>
    <w:rsid w:val="24B11017"/>
    <w:rsid w:val="24E028C2"/>
    <w:rsid w:val="24E26372"/>
    <w:rsid w:val="24F353B2"/>
    <w:rsid w:val="25072C0B"/>
    <w:rsid w:val="250E3F9A"/>
    <w:rsid w:val="2513335E"/>
    <w:rsid w:val="25140E84"/>
    <w:rsid w:val="25184E18"/>
    <w:rsid w:val="252D53FE"/>
    <w:rsid w:val="254E3A9D"/>
    <w:rsid w:val="25617D48"/>
    <w:rsid w:val="25626093"/>
    <w:rsid w:val="257E09F8"/>
    <w:rsid w:val="25877F9D"/>
    <w:rsid w:val="258C4EBE"/>
    <w:rsid w:val="259267F3"/>
    <w:rsid w:val="259315DA"/>
    <w:rsid w:val="25B445D1"/>
    <w:rsid w:val="25C04087"/>
    <w:rsid w:val="25C7239A"/>
    <w:rsid w:val="25CE197B"/>
    <w:rsid w:val="25DF04C0"/>
    <w:rsid w:val="25DF3DFF"/>
    <w:rsid w:val="25EC2D81"/>
    <w:rsid w:val="25ED1E01"/>
    <w:rsid w:val="260D24A3"/>
    <w:rsid w:val="261052BB"/>
    <w:rsid w:val="26105663"/>
    <w:rsid w:val="26121868"/>
    <w:rsid w:val="26151358"/>
    <w:rsid w:val="2624631F"/>
    <w:rsid w:val="26356366"/>
    <w:rsid w:val="26441437"/>
    <w:rsid w:val="264528BD"/>
    <w:rsid w:val="265E6A39"/>
    <w:rsid w:val="26706E77"/>
    <w:rsid w:val="26955FF5"/>
    <w:rsid w:val="26971D6D"/>
    <w:rsid w:val="26B648E9"/>
    <w:rsid w:val="26B6795F"/>
    <w:rsid w:val="26B94929"/>
    <w:rsid w:val="26D170A7"/>
    <w:rsid w:val="26E202C7"/>
    <w:rsid w:val="26E83571"/>
    <w:rsid w:val="26EA196D"/>
    <w:rsid w:val="26F70A5D"/>
    <w:rsid w:val="2729330D"/>
    <w:rsid w:val="272F2932"/>
    <w:rsid w:val="274513E2"/>
    <w:rsid w:val="27455C6D"/>
    <w:rsid w:val="275469F7"/>
    <w:rsid w:val="27602AA7"/>
    <w:rsid w:val="27724D2D"/>
    <w:rsid w:val="277420AE"/>
    <w:rsid w:val="277D4255"/>
    <w:rsid w:val="278153D2"/>
    <w:rsid w:val="27883A42"/>
    <w:rsid w:val="279739EA"/>
    <w:rsid w:val="27A23C17"/>
    <w:rsid w:val="27A6670B"/>
    <w:rsid w:val="27BC5F2F"/>
    <w:rsid w:val="27CB5B48"/>
    <w:rsid w:val="27D15DD1"/>
    <w:rsid w:val="27D67D82"/>
    <w:rsid w:val="27F97070"/>
    <w:rsid w:val="2824170E"/>
    <w:rsid w:val="284E0B51"/>
    <w:rsid w:val="2855647D"/>
    <w:rsid w:val="2858552C"/>
    <w:rsid w:val="285B6267"/>
    <w:rsid w:val="28931D48"/>
    <w:rsid w:val="289742A6"/>
    <w:rsid w:val="28A315F3"/>
    <w:rsid w:val="28A76295"/>
    <w:rsid w:val="28B409B4"/>
    <w:rsid w:val="28B635CC"/>
    <w:rsid w:val="28D42E04"/>
    <w:rsid w:val="28DC0900"/>
    <w:rsid w:val="28E457D7"/>
    <w:rsid w:val="29024C5F"/>
    <w:rsid w:val="29206EB8"/>
    <w:rsid w:val="29257B04"/>
    <w:rsid w:val="29402A82"/>
    <w:rsid w:val="2956143D"/>
    <w:rsid w:val="295F4096"/>
    <w:rsid w:val="296A3B7E"/>
    <w:rsid w:val="299B1B74"/>
    <w:rsid w:val="29B11398"/>
    <w:rsid w:val="29BC27DC"/>
    <w:rsid w:val="29C72969"/>
    <w:rsid w:val="29E325E0"/>
    <w:rsid w:val="29E4351B"/>
    <w:rsid w:val="29E5576E"/>
    <w:rsid w:val="29EC0860"/>
    <w:rsid w:val="29F50666"/>
    <w:rsid w:val="2A1D0EA3"/>
    <w:rsid w:val="2A276588"/>
    <w:rsid w:val="2A343AE3"/>
    <w:rsid w:val="2A452503"/>
    <w:rsid w:val="2A4B4255"/>
    <w:rsid w:val="2A4F0617"/>
    <w:rsid w:val="2A5306A1"/>
    <w:rsid w:val="2A704DAF"/>
    <w:rsid w:val="2A7F4674"/>
    <w:rsid w:val="2A866380"/>
    <w:rsid w:val="2A9D2EFA"/>
    <w:rsid w:val="2AB07AB8"/>
    <w:rsid w:val="2AB26EA2"/>
    <w:rsid w:val="2ABE3D6C"/>
    <w:rsid w:val="2AC84BEB"/>
    <w:rsid w:val="2ACA0963"/>
    <w:rsid w:val="2ACD3FAF"/>
    <w:rsid w:val="2ADC2444"/>
    <w:rsid w:val="2AE2374D"/>
    <w:rsid w:val="2AFB4FC0"/>
    <w:rsid w:val="2AFE685E"/>
    <w:rsid w:val="2B0379D1"/>
    <w:rsid w:val="2B074902"/>
    <w:rsid w:val="2B204A27"/>
    <w:rsid w:val="2B294258"/>
    <w:rsid w:val="2B2F2C55"/>
    <w:rsid w:val="2B411285"/>
    <w:rsid w:val="2B4F0E68"/>
    <w:rsid w:val="2B4F70BA"/>
    <w:rsid w:val="2B800BF3"/>
    <w:rsid w:val="2B83581B"/>
    <w:rsid w:val="2B8E2FC8"/>
    <w:rsid w:val="2B946C1B"/>
    <w:rsid w:val="2BA411B4"/>
    <w:rsid w:val="2BA74800"/>
    <w:rsid w:val="2BA936A8"/>
    <w:rsid w:val="2BBB02AC"/>
    <w:rsid w:val="2C1529D1"/>
    <w:rsid w:val="2C167BD8"/>
    <w:rsid w:val="2C315A5A"/>
    <w:rsid w:val="2C384FCB"/>
    <w:rsid w:val="2C4440D1"/>
    <w:rsid w:val="2C4633EA"/>
    <w:rsid w:val="2C614995"/>
    <w:rsid w:val="2C716878"/>
    <w:rsid w:val="2C772A32"/>
    <w:rsid w:val="2C974875"/>
    <w:rsid w:val="2C9D1056"/>
    <w:rsid w:val="2CA96AD4"/>
    <w:rsid w:val="2CAB253B"/>
    <w:rsid w:val="2CB200CF"/>
    <w:rsid w:val="2CC03CA5"/>
    <w:rsid w:val="2CE40EC8"/>
    <w:rsid w:val="2CEE645F"/>
    <w:rsid w:val="2CF21CB2"/>
    <w:rsid w:val="2CFA6D03"/>
    <w:rsid w:val="2D161F58"/>
    <w:rsid w:val="2D241E80"/>
    <w:rsid w:val="2D6223FB"/>
    <w:rsid w:val="2D9139BA"/>
    <w:rsid w:val="2D9E1DD2"/>
    <w:rsid w:val="2D9E56F5"/>
    <w:rsid w:val="2DA41C70"/>
    <w:rsid w:val="2DAE1C1A"/>
    <w:rsid w:val="2DD96528"/>
    <w:rsid w:val="2DE51610"/>
    <w:rsid w:val="2E28330A"/>
    <w:rsid w:val="2E3438AE"/>
    <w:rsid w:val="2E354C56"/>
    <w:rsid w:val="2E4B3B69"/>
    <w:rsid w:val="2E4C168F"/>
    <w:rsid w:val="2E6372C7"/>
    <w:rsid w:val="2E667F96"/>
    <w:rsid w:val="2E8226AB"/>
    <w:rsid w:val="2E9224D9"/>
    <w:rsid w:val="2E987CE1"/>
    <w:rsid w:val="2EAA2F1B"/>
    <w:rsid w:val="2EAA33F6"/>
    <w:rsid w:val="2EAD4823"/>
    <w:rsid w:val="2EB746C6"/>
    <w:rsid w:val="2EBE07DF"/>
    <w:rsid w:val="2ED17FB6"/>
    <w:rsid w:val="2EF064BE"/>
    <w:rsid w:val="2EFD636D"/>
    <w:rsid w:val="2F1C5E1C"/>
    <w:rsid w:val="2F2919D0"/>
    <w:rsid w:val="2F3C5BA7"/>
    <w:rsid w:val="2F480FC3"/>
    <w:rsid w:val="2F5B59C5"/>
    <w:rsid w:val="2F653D5F"/>
    <w:rsid w:val="2F6D7B0F"/>
    <w:rsid w:val="2F723377"/>
    <w:rsid w:val="2F7D6357"/>
    <w:rsid w:val="2F8135BA"/>
    <w:rsid w:val="2F832C79"/>
    <w:rsid w:val="2F8512FC"/>
    <w:rsid w:val="2F937A40"/>
    <w:rsid w:val="2FCA31B3"/>
    <w:rsid w:val="2FD951A4"/>
    <w:rsid w:val="2FEF2D58"/>
    <w:rsid w:val="2FF606E2"/>
    <w:rsid w:val="2FFC56C5"/>
    <w:rsid w:val="2FFF10AF"/>
    <w:rsid w:val="300D059C"/>
    <w:rsid w:val="30275E53"/>
    <w:rsid w:val="30580BC9"/>
    <w:rsid w:val="306727B0"/>
    <w:rsid w:val="30697881"/>
    <w:rsid w:val="30766E97"/>
    <w:rsid w:val="307A2253"/>
    <w:rsid w:val="309C4B4F"/>
    <w:rsid w:val="309D08C8"/>
    <w:rsid w:val="30B975B4"/>
    <w:rsid w:val="30BF5D92"/>
    <w:rsid w:val="30C953EC"/>
    <w:rsid w:val="30D77936"/>
    <w:rsid w:val="30E24E48"/>
    <w:rsid w:val="310E5321"/>
    <w:rsid w:val="31117149"/>
    <w:rsid w:val="311E2ED7"/>
    <w:rsid w:val="31216E03"/>
    <w:rsid w:val="31222A9A"/>
    <w:rsid w:val="3122660C"/>
    <w:rsid w:val="313E3C90"/>
    <w:rsid w:val="31413001"/>
    <w:rsid w:val="314E1C32"/>
    <w:rsid w:val="31572824"/>
    <w:rsid w:val="315C449C"/>
    <w:rsid w:val="3164453B"/>
    <w:rsid w:val="31772EC7"/>
    <w:rsid w:val="31B00187"/>
    <w:rsid w:val="31B82709"/>
    <w:rsid w:val="31BD62B5"/>
    <w:rsid w:val="31E57E03"/>
    <w:rsid w:val="31E85B72"/>
    <w:rsid w:val="31ED4F37"/>
    <w:rsid w:val="320C7AB3"/>
    <w:rsid w:val="320F12CA"/>
    <w:rsid w:val="3217581B"/>
    <w:rsid w:val="321C3807"/>
    <w:rsid w:val="3220355E"/>
    <w:rsid w:val="3233551E"/>
    <w:rsid w:val="32400B34"/>
    <w:rsid w:val="32407FDB"/>
    <w:rsid w:val="324418C7"/>
    <w:rsid w:val="32452FC5"/>
    <w:rsid w:val="3247469D"/>
    <w:rsid w:val="325B00F2"/>
    <w:rsid w:val="32754BD6"/>
    <w:rsid w:val="327F64D7"/>
    <w:rsid w:val="328721F7"/>
    <w:rsid w:val="329E6876"/>
    <w:rsid w:val="32A443A3"/>
    <w:rsid w:val="32B048E2"/>
    <w:rsid w:val="32B06690"/>
    <w:rsid w:val="32B11565"/>
    <w:rsid w:val="32CC2D9E"/>
    <w:rsid w:val="32DB1233"/>
    <w:rsid w:val="32EA0830"/>
    <w:rsid w:val="32F25342"/>
    <w:rsid w:val="32F26CA9"/>
    <w:rsid w:val="33051987"/>
    <w:rsid w:val="330819F8"/>
    <w:rsid w:val="332855D9"/>
    <w:rsid w:val="33533183"/>
    <w:rsid w:val="3355548A"/>
    <w:rsid w:val="33723946"/>
    <w:rsid w:val="33890C8F"/>
    <w:rsid w:val="33B61A16"/>
    <w:rsid w:val="33C148CD"/>
    <w:rsid w:val="33C45F2F"/>
    <w:rsid w:val="33D934D4"/>
    <w:rsid w:val="33DE547F"/>
    <w:rsid w:val="33E5680D"/>
    <w:rsid w:val="33EA3E24"/>
    <w:rsid w:val="33FE2F6A"/>
    <w:rsid w:val="34074987"/>
    <w:rsid w:val="341C1B03"/>
    <w:rsid w:val="342235BE"/>
    <w:rsid w:val="342A73B3"/>
    <w:rsid w:val="343609D9"/>
    <w:rsid w:val="343B663E"/>
    <w:rsid w:val="345C7834"/>
    <w:rsid w:val="346428BE"/>
    <w:rsid w:val="346D3AF7"/>
    <w:rsid w:val="34780E22"/>
    <w:rsid w:val="34CB67EC"/>
    <w:rsid w:val="34CC177B"/>
    <w:rsid w:val="34D06958"/>
    <w:rsid w:val="34D523DE"/>
    <w:rsid w:val="34D83C7C"/>
    <w:rsid w:val="34D942BA"/>
    <w:rsid w:val="34F211E2"/>
    <w:rsid w:val="34FB2BBA"/>
    <w:rsid w:val="34FB5BBD"/>
    <w:rsid w:val="35011425"/>
    <w:rsid w:val="350C1B78"/>
    <w:rsid w:val="3522139B"/>
    <w:rsid w:val="353341DD"/>
    <w:rsid w:val="353752C8"/>
    <w:rsid w:val="35420D31"/>
    <w:rsid w:val="35470E02"/>
    <w:rsid w:val="354924F4"/>
    <w:rsid w:val="354B444E"/>
    <w:rsid w:val="35577297"/>
    <w:rsid w:val="355C235C"/>
    <w:rsid w:val="355F1FA0"/>
    <w:rsid w:val="35627473"/>
    <w:rsid w:val="35944047"/>
    <w:rsid w:val="35A20D56"/>
    <w:rsid w:val="35B51CDA"/>
    <w:rsid w:val="35C56367"/>
    <w:rsid w:val="35D00DF7"/>
    <w:rsid w:val="35EE3C40"/>
    <w:rsid w:val="35FC1BEC"/>
    <w:rsid w:val="36074A7F"/>
    <w:rsid w:val="360E3A7E"/>
    <w:rsid w:val="363C023B"/>
    <w:rsid w:val="36527A5E"/>
    <w:rsid w:val="36674CE9"/>
    <w:rsid w:val="36730100"/>
    <w:rsid w:val="367A046E"/>
    <w:rsid w:val="36820344"/>
    <w:rsid w:val="368A5B14"/>
    <w:rsid w:val="36923549"/>
    <w:rsid w:val="369D111E"/>
    <w:rsid w:val="369D45F0"/>
    <w:rsid w:val="369F2F5E"/>
    <w:rsid w:val="36AC3612"/>
    <w:rsid w:val="36B75FBF"/>
    <w:rsid w:val="36BD137C"/>
    <w:rsid w:val="36C471FA"/>
    <w:rsid w:val="36D96A68"/>
    <w:rsid w:val="36FB4891"/>
    <w:rsid w:val="37006181"/>
    <w:rsid w:val="371B42F4"/>
    <w:rsid w:val="3724764D"/>
    <w:rsid w:val="372D45F3"/>
    <w:rsid w:val="37357164"/>
    <w:rsid w:val="3757357E"/>
    <w:rsid w:val="375D79EF"/>
    <w:rsid w:val="37736BC5"/>
    <w:rsid w:val="377A54BF"/>
    <w:rsid w:val="37965B9A"/>
    <w:rsid w:val="37971702"/>
    <w:rsid w:val="379C5435"/>
    <w:rsid w:val="37B81AF5"/>
    <w:rsid w:val="37BB7CD2"/>
    <w:rsid w:val="37D21346"/>
    <w:rsid w:val="37E40054"/>
    <w:rsid w:val="37E76B0B"/>
    <w:rsid w:val="37F251D5"/>
    <w:rsid w:val="37FE7E9E"/>
    <w:rsid w:val="38056AE2"/>
    <w:rsid w:val="380B0C4E"/>
    <w:rsid w:val="380F02C6"/>
    <w:rsid w:val="3810197F"/>
    <w:rsid w:val="381551E7"/>
    <w:rsid w:val="38194CD8"/>
    <w:rsid w:val="38207E14"/>
    <w:rsid w:val="382E7D07"/>
    <w:rsid w:val="3846585A"/>
    <w:rsid w:val="384E174B"/>
    <w:rsid w:val="386A72E1"/>
    <w:rsid w:val="386D6352"/>
    <w:rsid w:val="387B27F9"/>
    <w:rsid w:val="389B56ED"/>
    <w:rsid w:val="38A50319"/>
    <w:rsid w:val="38AD2F94"/>
    <w:rsid w:val="38D161E4"/>
    <w:rsid w:val="38D46734"/>
    <w:rsid w:val="38E726E0"/>
    <w:rsid w:val="38E958B3"/>
    <w:rsid w:val="38F12CD3"/>
    <w:rsid w:val="38F94775"/>
    <w:rsid w:val="38FE7A29"/>
    <w:rsid w:val="390A4620"/>
    <w:rsid w:val="390C2A26"/>
    <w:rsid w:val="392971ED"/>
    <w:rsid w:val="394C17FD"/>
    <w:rsid w:val="39695EBD"/>
    <w:rsid w:val="396A5C0B"/>
    <w:rsid w:val="396D6D0A"/>
    <w:rsid w:val="39736669"/>
    <w:rsid w:val="39893797"/>
    <w:rsid w:val="398C4099"/>
    <w:rsid w:val="399977EE"/>
    <w:rsid w:val="399D3976"/>
    <w:rsid w:val="39A03D29"/>
    <w:rsid w:val="39AE72B7"/>
    <w:rsid w:val="39B90520"/>
    <w:rsid w:val="39D569DC"/>
    <w:rsid w:val="39D972DA"/>
    <w:rsid w:val="39DD3AE3"/>
    <w:rsid w:val="39E76710"/>
    <w:rsid w:val="39FA6834"/>
    <w:rsid w:val="3A0C5088"/>
    <w:rsid w:val="3A3E5BC7"/>
    <w:rsid w:val="3A3F654C"/>
    <w:rsid w:val="3A414072"/>
    <w:rsid w:val="3A5D2658"/>
    <w:rsid w:val="3A5E27FD"/>
    <w:rsid w:val="3A760F61"/>
    <w:rsid w:val="3A780587"/>
    <w:rsid w:val="3A8A5F41"/>
    <w:rsid w:val="3A940645"/>
    <w:rsid w:val="3AB265D9"/>
    <w:rsid w:val="3ABC5019"/>
    <w:rsid w:val="3AC05D9F"/>
    <w:rsid w:val="3AD66F8F"/>
    <w:rsid w:val="3AE95723"/>
    <w:rsid w:val="3B07350D"/>
    <w:rsid w:val="3B1D42F1"/>
    <w:rsid w:val="3B20692C"/>
    <w:rsid w:val="3B2D0F9A"/>
    <w:rsid w:val="3B2F65C0"/>
    <w:rsid w:val="3B3763D1"/>
    <w:rsid w:val="3B406E84"/>
    <w:rsid w:val="3B4262F3"/>
    <w:rsid w:val="3B7B1805"/>
    <w:rsid w:val="3B7F18E1"/>
    <w:rsid w:val="3B8E442A"/>
    <w:rsid w:val="3B936B4F"/>
    <w:rsid w:val="3BA725FA"/>
    <w:rsid w:val="3BC05442"/>
    <w:rsid w:val="3BC1190E"/>
    <w:rsid w:val="3BCB0097"/>
    <w:rsid w:val="3BCE7B87"/>
    <w:rsid w:val="3BD038FF"/>
    <w:rsid w:val="3BD3014E"/>
    <w:rsid w:val="3BE60A52"/>
    <w:rsid w:val="3BF674A5"/>
    <w:rsid w:val="3C1E6012"/>
    <w:rsid w:val="3C333252"/>
    <w:rsid w:val="3C502C92"/>
    <w:rsid w:val="3C795D45"/>
    <w:rsid w:val="3C9C5ED7"/>
    <w:rsid w:val="3CAE1525"/>
    <w:rsid w:val="3CB274A9"/>
    <w:rsid w:val="3CBA7113"/>
    <w:rsid w:val="3CD7112F"/>
    <w:rsid w:val="3CDA245A"/>
    <w:rsid w:val="3CE97C43"/>
    <w:rsid w:val="3CEB6517"/>
    <w:rsid w:val="3CEE0A37"/>
    <w:rsid w:val="3CFE26EE"/>
    <w:rsid w:val="3D05582A"/>
    <w:rsid w:val="3D0B02B5"/>
    <w:rsid w:val="3D0F0A1D"/>
    <w:rsid w:val="3D163594"/>
    <w:rsid w:val="3D18555E"/>
    <w:rsid w:val="3D2C725B"/>
    <w:rsid w:val="3D2E4494"/>
    <w:rsid w:val="3D363C36"/>
    <w:rsid w:val="3D67717F"/>
    <w:rsid w:val="3D680CC3"/>
    <w:rsid w:val="3D7C378A"/>
    <w:rsid w:val="3D884353"/>
    <w:rsid w:val="3D891FB8"/>
    <w:rsid w:val="3D923791"/>
    <w:rsid w:val="3D9267FC"/>
    <w:rsid w:val="3D96372E"/>
    <w:rsid w:val="3D986D8C"/>
    <w:rsid w:val="3D9A0880"/>
    <w:rsid w:val="3DA07301"/>
    <w:rsid w:val="3DA212CB"/>
    <w:rsid w:val="3DE14212"/>
    <w:rsid w:val="3DF77869"/>
    <w:rsid w:val="3DFB0A3E"/>
    <w:rsid w:val="3DFC6C2D"/>
    <w:rsid w:val="3E012496"/>
    <w:rsid w:val="3E03620E"/>
    <w:rsid w:val="3E155F41"/>
    <w:rsid w:val="3E1D4DF6"/>
    <w:rsid w:val="3E2717D1"/>
    <w:rsid w:val="3E416D36"/>
    <w:rsid w:val="3E491747"/>
    <w:rsid w:val="3E611186"/>
    <w:rsid w:val="3E717806"/>
    <w:rsid w:val="3E7964D0"/>
    <w:rsid w:val="3E7C38CA"/>
    <w:rsid w:val="3E9079E7"/>
    <w:rsid w:val="3EB017C6"/>
    <w:rsid w:val="3EC50DAA"/>
    <w:rsid w:val="3EE80F60"/>
    <w:rsid w:val="3F035317"/>
    <w:rsid w:val="3F052E82"/>
    <w:rsid w:val="3F057D64"/>
    <w:rsid w:val="3F2A73B9"/>
    <w:rsid w:val="3F32042D"/>
    <w:rsid w:val="3F514D57"/>
    <w:rsid w:val="3F660E74"/>
    <w:rsid w:val="3FA26360"/>
    <w:rsid w:val="3FAA3979"/>
    <w:rsid w:val="3FAC6431"/>
    <w:rsid w:val="3FB32C10"/>
    <w:rsid w:val="3FC27A03"/>
    <w:rsid w:val="3FC45529"/>
    <w:rsid w:val="3FD15E98"/>
    <w:rsid w:val="3FDA136B"/>
    <w:rsid w:val="3FDF3BDF"/>
    <w:rsid w:val="3FE03F00"/>
    <w:rsid w:val="40224F95"/>
    <w:rsid w:val="4039052C"/>
    <w:rsid w:val="403D352D"/>
    <w:rsid w:val="4045173B"/>
    <w:rsid w:val="407A6407"/>
    <w:rsid w:val="40802E58"/>
    <w:rsid w:val="409273D5"/>
    <w:rsid w:val="40BF3F42"/>
    <w:rsid w:val="40DC4AF4"/>
    <w:rsid w:val="40EF1158"/>
    <w:rsid w:val="413B181B"/>
    <w:rsid w:val="41617E53"/>
    <w:rsid w:val="41B919A4"/>
    <w:rsid w:val="41C2018E"/>
    <w:rsid w:val="41E45A02"/>
    <w:rsid w:val="41E719A3"/>
    <w:rsid w:val="42047533"/>
    <w:rsid w:val="422E46D1"/>
    <w:rsid w:val="423A3BCC"/>
    <w:rsid w:val="424D7975"/>
    <w:rsid w:val="424E37D0"/>
    <w:rsid w:val="4255564D"/>
    <w:rsid w:val="425E3619"/>
    <w:rsid w:val="42666D6B"/>
    <w:rsid w:val="4290699A"/>
    <w:rsid w:val="429C278D"/>
    <w:rsid w:val="42B6199F"/>
    <w:rsid w:val="42E772C0"/>
    <w:rsid w:val="42E97DF0"/>
    <w:rsid w:val="42FD7A8F"/>
    <w:rsid w:val="433A6FE6"/>
    <w:rsid w:val="43482785"/>
    <w:rsid w:val="4350713C"/>
    <w:rsid w:val="435C3CCA"/>
    <w:rsid w:val="436653E0"/>
    <w:rsid w:val="437379B1"/>
    <w:rsid w:val="43741014"/>
    <w:rsid w:val="43755F23"/>
    <w:rsid w:val="43812FE1"/>
    <w:rsid w:val="438A3265"/>
    <w:rsid w:val="43957F31"/>
    <w:rsid w:val="4397761E"/>
    <w:rsid w:val="43A50C9D"/>
    <w:rsid w:val="43AF64F0"/>
    <w:rsid w:val="43BB30E7"/>
    <w:rsid w:val="43DF5027"/>
    <w:rsid w:val="43E9506B"/>
    <w:rsid w:val="44065DA5"/>
    <w:rsid w:val="44246DF9"/>
    <w:rsid w:val="442F6A4F"/>
    <w:rsid w:val="443E048A"/>
    <w:rsid w:val="445D34D8"/>
    <w:rsid w:val="447D2BAF"/>
    <w:rsid w:val="44873867"/>
    <w:rsid w:val="449C206D"/>
    <w:rsid w:val="449D437A"/>
    <w:rsid w:val="44A2710B"/>
    <w:rsid w:val="44B738AE"/>
    <w:rsid w:val="44BC4562"/>
    <w:rsid w:val="44C71617"/>
    <w:rsid w:val="44CD14E0"/>
    <w:rsid w:val="44D17364"/>
    <w:rsid w:val="44EE4EC7"/>
    <w:rsid w:val="4509231A"/>
    <w:rsid w:val="450B7991"/>
    <w:rsid w:val="451B417D"/>
    <w:rsid w:val="452151CC"/>
    <w:rsid w:val="452A22D2"/>
    <w:rsid w:val="453A5418"/>
    <w:rsid w:val="45424FA0"/>
    <w:rsid w:val="4550160D"/>
    <w:rsid w:val="456F5F37"/>
    <w:rsid w:val="457E617A"/>
    <w:rsid w:val="458467A3"/>
    <w:rsid w:val="458946E9"/>
    <w:rsid w:val="45895292"/>
    <w:rsid w:val="458B6AE9"/>
    <w:rsid w:val="459E05CA"/>
    <w:rsid w:val="459F01B9"/>
    <w:rsid w:val="45A570EB"/>
    <w:rsid w:val="45BA434E"/>
    <w:rsid w:val="45BE2A1A"/>
    <w:rsid w:val="45CA7611"/>
    <w:rsid w:val="45E452A8"/>
    <w:rsid w:val="45E82373"/>
    <w:rsid w:val="45F36C03"/>
    <w:rsid w:val="45F852B5"/>
    <w:rsid w:val="45FD1795"/>
    <w:rsid w:val="46040D75"/>
    <w:rsid w:val="46113492"/>
    <w:rsid w:val="46326F64"/>
    <w:rsid w:val="46395FEA"/>
    <w:rsid w:val="463E49BE"/>
    <w:rsid w:val="46592743"/>
    <w:rsid w:val="465B7F08"/>
    <w:rsid w:val="465D66D7"/>
    <w:rsid w:val="4669507C"/>
    <w:rsid w:val="468772B0"/>
    <w:rsid w:val="46893028"/>
    <w:rsid w:val="46B64402"/>
    <w:rsid w:val="46C76EAB"/>
    <w:rsid w:val="46D955A7"/>
    <w:rsid w:val="46DA3884"/>
    <w:rsid w:val="46FF1FD3"/>
    <w:rsid w:val="4703235D"/>
    <w:rsid w:val="470D1EAB"/>
    <w:rsid w:val="47133957"/>
    <w:rsid w:val="47321912"/>
    <w:rsid w:val="47380BB4"/>
    <w:rsid w:val="474A6650"/>
    <w:rsid w:val="475278BE"/>
    <w:rsid w:val="47684173"/>
    <w:rsid w:val="4779329E"/>
    <w:rsid w:val="47A07E0C"/>
    <w:rsid w:val="47A65E5C"/>
    <w:rsid w:val="47AD0F98"/>
    <w:rsid w:val="47B40579"/>
    <w:rsid w:val="47C02A7A"/>
    <w:rsid w:val="47CB7671"/>
    <w:rsid w:val="47D46525"/>
    <w:rsid w:val="47DB602D"/>
    <w:rsid w:val="47E20434"/>
    <w:rsid w:val="47E30419"/>
    <w:rsid w:val="47E32A9D"/>
    <w:rsid w:val="47F62E40"/>
    <w:rsid w:val="47FE17F4"/>
    <w:rsid w:val="4800728F"/>
    <w:rsid w:val="480C5CBF"/>
    <w:rsid w:val="48274186"/>
    <w:rsid w:val="482D44FD"/>
    <w:rsid w:val="485A6E05"/>
    <w:rsid w:val="48600089"/>
    <w:rsid w:val="4870272E"/>
    <w:rsid w:val="487A1E2A"/>
    <w:rsid w:val="487B0551"/>
    <w:rsid w:val="487D096B"/>
    <w:rsid w:val="48800A20"/>
    <w:rsid w:val="48892059"/>
    <w:rsid w:val="48917477"/>
    <w:rsid w:val="489C4D20"/>
    <w:rsid w:val="489D725F"/>
    <w:rsid w:val="48AB1848"/>
    <w:rsid w:val="48DA3857"/>
    <w:rsid w:val="48F0738F"/>
    <w:rsid w:val="48F42934"/>
    <w:rsid w:val="48FC3F85"/>
    <w:rsid w:val="49153299"/>
    <w:rsid w:val="491633B3"/>
    <w:rsid w:val="492D2391"/>
    <w:rsid w:val="493F0316"/>
    <w:rsid w:val="494476DB"/>
    <w:rsid w:val="494E6C40"/>
    <w:rsid w:val="4953217C"/>
    <w:rsid w:val="496438D9"/>
    <w:rsid w:val="49690EEF"/>
    <w:rsid w:val="497F6965"/>
    <w:rsid w:val="4995326C"/>
    <w:rsid w:val="499E68A7"/>
    <w:rsid w:val="49DC7715"/>
    <w:rsid w:val="49E113CD"/>
    <w:rsid w:val="49ED38CE"/>
    <w:rsid w:val="49FA5FEB"/>
    <w:rsid w:val="4A023139"/>
    <w:rsid w:val="4A0F7CE8"/>
    <w:rsid w:val="4A1452FF"/>
    <w:rsid w:val="4A407EA2"/>
    <w:rsid w:val="4A435BE4"/>
    <w:rsid w:val="4A5474F7"/>
    <w:rsid w:val="4A5676C5"/>
    <w:rsid w:val="4A611608"/>
    <w:rsid w:val="4A7B576F"/>
    <w:rsid w:val="4A834233"/>
    <w:rsid w:val="4A896474"/>
    <w:rsid w:val="4A9B5A20"/>
    <w:rsid w:val="4AB3674F"/>
    <w:rsid w:val="4AC705C3"/>
    <w:rsid w:val="4ACE4BEE"/>
    <w:rsid w:val="4AD056CA"/>
    <w:rsid w:val="4AE44CD1"/>
    <w:rsid w:val="4AE72A13"/>
    <w:rsid w:val="4AFD3FE5"/>
    <w:rsid w:val="4B0B789A"/>
    <w:rsid w:val="4B107BF2"/>
    <w:rsid w:val="4B416BFA"/>
    <w:rsid w:val="4B5212BE"/>
    <w:rsid w:val="4B5E4A5C"/>
    <w:rsid w:val="4B651A91"/>
    <w:rsid w:val="4BAA21AE"/>
    <w:rsid w:val="4BAC34FC"/>
    <w:rsid w:val="4BD012DA"/>
    <w:rsid w:val="4BDA4326"/>
    <w:rsid w:val="4C0C20D5"/>
    <w:rsid w:val="4C143394"/>
    <w:rsid w:val="4C4A0649"/>
    <w:rsid w:val="4C756B39"/>
    <w:rsid w:val="4C7E066F"/>
    <w:rsid w:val="4C87547F"/>
    <w:rsid w:val="4C8764BA"/>
    <w:rsid w:val="4CC6456C"/>
    <w:rsid w:val="4CCB6D6C"/>
    <w:rsid w:val="4CDF1BF4"/>
    <w:rsid w:val="4CE470D3"/>
    <w:rsid w:val="4CE511D4"/>
    <w:rsid w:val="4CE72C6F"/>
    <w:rsid w:val="4CE75301"/>
    <w:rsid w:val="4CEF795D"/>
    <w:rsid w:val="4D090A1F"/>
    <w:rsid w:val="4D0A2ACE"/>
    <w:rsid w:val="4D200194"/>
    <w:rsid w:val="4D241CFD"/>
    <w:rsid w:val="4D2E0486"/>
    <w:rsid w:val="4D3B5D0F"/>
    <w:rsid w:val="4D4128AF"/>
    <w:rsid w:val="4D456092"/>
    <w:rsid w:val="4D5212FD"/>
    <w:rsid w:val="4D697710"/>
    <w:rsid w:val="4DA12D64"/>
    <w:rsid w:val="4DB52955"/>
    <w:rsid w:val="4DC30D0B"/>
    <w:rsid w:val="4DCF7786"/>
    <w:rsid w:val="4DDA7EFD"/>
    <w:rsid w:val="4DE65204"/>
    <w:rsid w:val="4DEB20C8"/>
    <w:rsid w:val="4DEC4FB0"/>
    <w:rsid w:val="4E013DEC"/>
    <w:rsid w:val="4E067654"/>
    <w:rsid w:val="4E075D8A"/>
    <w:rsid w:val="4E086F29"/>
    <w:rsid w:val="4E141D71"/>
    <w:rsid w:val="4E172D37"/>
    <w:rsid w:val="4E4361B3"/>
    <w:rsid w:val="4E473EF5"/>
    <w:rsid w:val="4E4B32B9"/>
    <w:rsid w:val="4E4C2177"/>
    <w:rsid w:val="4E4D6EBE"/>
    <w:rsid w:val="4E4F2DA9"/>
    <w:rsid w:val="4E571C5E"/>
    <w:rsid w:val="4E86609F"/>
    <w:rsid w:val="4E8F764A"/>
    <w:rsid w:val="4EAF5F30"/>
    <w:rsid w:val="4EB01C0C"/>
    <w:rsid w:val="4EB1136E"/>
    <w:rsid w:val="4EB3158A"/>
    <w:rsid w:val="4ECD1F20"/>
    <w:rsid w:val="4ED92382"/>
    <w:rsid w:val="4EEF00E8"/>
    <w:rsid w:val="4EF428FA"/>
    <w:rsid w:val="4EFB4CDF"/>
    <w:rsid w:val="4F2E6C96"/>
    <w:rsid w:val="4F42646A"/>
    <w:rsid w:val="4F585C8E"/>
    <w:rsid w:val="4F66073F"/>
    <w:rsid w:val="4F6C798B"/>
    <w:rsid w:val="4F781E8C"/>
    <w:rsid w:val="4FA40ED3"/>
    <w:rsid w:val="4FC62A8C"/>
    <w:rsid w:val="4FC84E06"/>
    <w:rsid w:val="4FDD43E5"/>
    <w:rsid w:val="4FE20F0D"/>
    <w:rsid w:val="4FF57980"/>
    <w:rsid w:val="4FFE6835"/>
    <w:rsid w:val="501222E0"/>
    <w:rsid w:val="5019541D"/>
    <w:rsid w:val="50504C4B"/>
    <w:rsid w:val="507408A5"/>
    <w:rsid w:val="509C6E7C"/>
    <w:rsid w:val="50AA5E76"/>
    <w:rsid w:val="50BE5DDB"/>
    <w:rsid w:val="50CF5EEA"/>
    <w:rsid w:val="50ED12A1"/>
    <w:rsid w:val="50F200DD"/>
    <w:rsid w:val="50F6575E"/>
    <w:rsid w:val="510906F2"/>
    <w:rsid w:val="51131C39"/>
    <w:rsid w:val="51155535"/>
    <w:rsid w:val="5129652B"/>
    <w:rsid w:val="512A5408"/>
    <w:rsid w:val="51385D77"/>
    <w:rsid w:val="513D4CBA"/>
    <w:rsid w:val="515643D1"/>
    <w:rsid w:val="51596616"/>
    <w:rsid w:val="515E50B1"/>
    <w:rsid w:val="5162104E"/>
    <w:rsid w:val="51915487"/>
    <w:rsid w:val="51976F41"/>
    <w:rsid w:val="51B66C9C"/>
    <w:rsid w:val="51BB77CC"/>
    <w:rsid w:val="51C30EA6"/>
    <w:rsid w:val="51D11D27"/>
    <w:rsid w:val="51E6698C"/>
    <w:rsid w:val="51E67581"/>
    <w:rsid w:val="52000723"/>
    <w:rsid w:val="520C0506"/>
    <w:rsid w:val="521576A7"/>
    <w:rsid w:val="5218514F"/>
    <w:rsid w:val="52202695"/>
    <w:rsid w:val="52226F6A"/>
    <w:rsid w:val="52293911"/>
    <w:rsid w:val="52373528"/>
    <w:rsid w:val="5245699D"/>
    <w:rsid w:val="52495D62"/>
    <w:rsid w:val="52557D27"/>
    <w:rsid w:val="5277467D"/>
    <w:rsid w:val="527955A8"/>
    <w:rsid w:val="527E1EAF"/>
    <w:rsid w:val="527F1798"/>
    <w:rsid w:val="529C17EB"/>
    <w:rsid w:val="52AA4A52"/>
    <w:rsid w:val="52CA6EA2"/>
    <w:rsid w:val="52D1316E"/>
    <w:rsid w:val="52D95337"/>
    <w:rsid w:val="52E40CB6"/>
    <w:rsid w:val="52F65EE9"/>
    <w:rsid w:val="53070002"/>
    <w:rsid w:val="53071155"/>
    <w:rsid w:val="53085A69"/>
    <w:rsid w:val="5338205E"/>
    <w:rsid w:val="534722A1"/>
    <w:rsid w:val="53671030"/>
    <w:rsid w:val="53690469"/>
    <w:rsid w:val="536C61AC"/>
    <w:rsid w:val="538E6122"/>
    <w:rsid w:val="539532D1"/>
    <w:rsid w:val="53A039CC"/>
    <w:rsid w:val="53A1505A"/>
    <w:rsid w:val="53C135C4"/>
    <w:rsid w:val="53D83DE9"/>
    <w:rsid w:val="53E775E0"/>
    <w:rsid w:val="53F817ED"/>
    <w:rsid w:val="54063E08"/>
    <w:rsid w:val="540B32CF"/>
    <w:rsid w:val="542B7B6C"/>
    <w:rsid w:val="543437E8"/>
    <w:rsid w:val="54444A33"/>
    <w:rsid w:val="54520C99"/>
    <w:rsid w:val="545F7ABE"/>
    <w:rsid w:val="54605177"/>
    <w:rsid w:val="54704D95"/>
    <w:rsid w:val="54713FE8"/>
    <w:rsid w:val="54781DF0"/>
    <w:rsid w:val="548B67D1"/>
    <w:rsid w:val="54A63CA7"/>
    <w:rsid w:val="54B716E4"/>
    <w:rsid w:val="54BB45D1"/>
    <w:rsid w:val="54C2692B"/>
    <w:rsid w:val="54C44F4A"/>
    <w:rsid w:val="54D75644"/>
    <w:rsid w:val="54E12281"/>
    <w:rsid w:val="54FF71DF"/>
    <w:rsid w:val="550A5C7C"/>
    <w:rsid w:val="55164621"/>
    <w:rsid w:val="551F5AC1"/>
    <w:rsid w:val="555111B5"/>
    <w:rsid w:val="555B64D8"/>
    <w:rsid w:val="559430BC"/>
    <w:rsid w:val="55956F1E"/>
    <w:rsid w:val="559B174B"/>
    <w:rsid w:val="559E5653"/>
    <w:rsid w:val="55C51E9F"/>
    <w:rsid w:val="55CC6FE2"/>
    <w:rsid w:val="55CE0CF4"/>
    <w:rsid w:val="55E66E1F"/>
    <w:rsid w:val="55EC39F5"/>
    <w:rsid w:val="55F16603"/>
    <w:rsid w:val="55F36710"/>
    <w:rsid w:val="56073F6A"/>
    <w:rsid w:val="56130B60"/>
    <w:rsid w:val="561D2654"/>
    <w:rsid w:val="56337186"/>
    <w:rsid w:val="564C0E6B"/>
    <w:rsid w:val="564C1AD6"/>
    <w:rsid w:val="56572253"/>
    <w:rsid w:val="565E7B86"/>
    <w:rsid w:val="56721FD6"/>
    <w:rsid w:val="569021B1"/>
    <w:rsid w:val="569E0043"/>
    <w:rsid w:val="569F23F4"/>
    <w:rsid w:val="56A93273"/>
    <w:rsid w:val="56B22A9C"/>
    <w:rsid w:val="56BE29FA"/>
    <w:rsid w:val="56DE2F1C"/>
    <w:rsid w:val="56E04EE6"/>
    <w:rsid w:val="56E77D1C"/>
    <w:rsid w:val="56EF512A"/>
    <w:rsid w:val="570C0239"/>
    <w:rsid w:val="5712706A"/>
    <w:rsid w:val="5714693E"/>
    <w:rsid w:val="57315742"/>
    <w:rsid w:val="57446087"/>
    <w:rsid w:val="57510FC7"/>
    <w:rsid w:val="575907F5"/>
    <w:rsid w:val="575B456D"/>
    <w:rsid w:val="57672F12"/>
    <w:rsid w:val="5794182D"/>
    <w:rsid w:val="57A203EE"/>
    <w:rsid w:val="57B52368"/>
    <w:rsid w:val="57B72A76"/>
    <w:rsid w:val="57C32112"/>
    <w:rsid w:val="57C408AE"/>
    <w:rsid w:val="57C6377C"/>
    <w:rsid w:val="57D141F5"/>
    <w:rsid w:val="57E82929"/>
    <w:rsid w:val="58207FE2"/>
    <w:rsid w:val="583354EA"/>
    <w:rsid w:val="583D1344"/>
    <w:rsid w:val="58453154"/>
    <w:rsid w:val="58551926"/>
    <w:rsid w:val="586C27AA"/>
    <w:rsid w:val="586C4558"/>
    <w:rsid w:val="58823D7B"/>
    <w:rsid w:val="58D26A6A"/>
    <w:rsid w:val="58DB71EA"/>
    <w:rsid w:val="58E0141F"/>
    <w:rsid w:val="58E42340"/>
    <w:rsid w:val="58E81F42"/>
    <w:rsid w:val="58FC1D80"/>
    <w:rsid w:val="590B50B7"/>
    <w:rsid w:val="590E560F"/>
    <w:rsid w:val="591C6F87"/>
    <w:rsid w:val="5923730C"/>
    <w:rsid w:val="593D5F37"/>
    <w:rsid w:val="59505C28"/>
    <w:rsid w:val="596516D3"/>
    <w:rsid w:val="598C3104"/>
    <w:rsid w:val="59B14918"/>
    <w:rsid w:val="59B25C50"/>
    <w:rsid w:val="59C004B1"/>
    <w:rsid w:val="59DD520C"/>
    <w:rsid w:val="59F068EA"/>
    <w:rsid w:val="59F36CDF"/>
    <w:rsid w:val="5A186745"/>
    <w:rsid w:val="5A1D0200"/>
    <w:rsid w:val="5A290952"/>
    <w:rsid w:val="5A36306F"/>
    <w:rsid w:val="5A3C747D"/>
    <w:rsid w:val="5A4535FA"/>
    <w:rsid w:val="5A523AA8"/>
    <w:rsid w:val="5A5D684E"/>
    <w:rsid w:val="5A5F25C6"/>
    <w:rsid w:val="5A61633E"/>
    <w:rsid w:val="5A623E64"/>
    <w:rsid w:val="5A683600"/>
    <w:rsid w:val="5A697687"/>
    <w:rsid w:val="5A7A7F13"/>
    <w:rsid w:val="5A821E11"/>
    <w:rsid w:val="5A9F0C15"/>
    <w:rsid w:val="5AA224B3"/>
    <w:rsid w:val="5ABE2233"/>
    <w:rsid w:val="5AD22196"/>
    <w:rsid w:val="5ADA2490"/>
    <w:rsid w:val="5AE57128"/>
    <w:rsid w:val="5AF36B9D"/>
    <w:rsid w:val="5AF51E3E"/>
    <w:rsid w:val="5AF820D3"/>
    <w:rsid w:val="5B084A0C"/>
    <w:rsid w:val="5B0D1EC7"/>
    <w:rsid w:val="5B264E92"/>
    <w:rsid w:val="5B276D18"/>
    <w:rsid w:val="5B3B7F39"/>
    <w:rsid w:val="5B490AD6"/>
    <w:rsid w:val="5B5F7784"/>
    <w:rsid w:val="5B6D6AB9"/>
    <w:rsid w:val="5B8B1199"/>
    <w:rsid w:val="5BCA7FDA"/>
    <w:rsid w:val="5BCC3C8B"/>
    <w:rsid w:val="5BDF5D95"/>
    <w:rsid w:val="5BE2525D"/>
    <w:rsid w:val="5BE61256"/>
    <w:rsid w:val="5BE64AC5"/>
    <w:rsid w:val="5BF95F5B"/>
    <w:rsid w:val="5BFF7BE2"/>
    <w:rsid w:val="5C0F1DCA"/>
    <w:rsid w:val="5C526BEB"/>
    <w:rsid w:val="5C5872CD"/>
    <w:rsid w:val="5C5F68AD"/>
    <w:rsid w:val="5C8E6BE3"/>
    <w:rsid w:val="5CA813C0"/>
    <w:rsid w:val="5CB169DD"/>
    <w:rsid w:val="5CB564CD"/>
    <w:rsid w:val="5CED25C5"/>
    <w:rsid w:val="5CFE60C6"/>
    <w:rsid w:val="5D041D1A"/>
    <w:rsid w:val="5D147A9C"/>
    <w:rsid w:val="5D170F36"/>
    <w:rsid w:val="5D173FE3"/>
    <w:rsid w:val="5D18586B"/>
    <w:rsid w:val="5D292395"/>
    <w:rsid w:val="5D2B6790"/>
    <w:rsid w:val="5D30024A"/>
    <w:rsid w:val="5D365969"/>
    <w:rsid w:val="5D4A130C"/>
    <w:rsid w:val="5D520A9C"/>
    <w:rsid w:val="5DC97D1C"/>
    <w:rsid w:val="5DF03621"/>
    <w:rsid w:val="5DF87A0F"/>
    <w:rsid w:val="5E056FE1"/>
    <w:rsid w:val="5E0B1537"/>
    <w:rsid w:val="5E0C4813"/>
    <w:rsid w:val="5E0E57EA"/>
    <w:rsid w:val="5E244D57"/>
    <w:rsid w:val="5E4776D7"/>
    <w:rsid w:val="5E4B6F4E"/>
    <w:rsid w:val="5E5B2FBB"/>
    <w:rsid w:val="5E6076B3"/>
    <w:rsid w:val="5E6A153A"/>
    <w:rsid w:val="5EAD300D"/>
    <w:rsid w:val="5EB7335F"/>
    <w:rsid w:val="5EB769E8"/>
    <w:rsid w:val="5EC944B2"/>
    <w:rsid w:val="5EE412EC"/>
    <w:rsid w:val="5EE4309A"/>
    <w:rsid w:val="5EE70DDC"/>
    <w:rsid w:val="5EEC5FAD"/>
    <w:rsid w:val="5EF36C5F"/>
    <w:rsid w:val="5EF86B45"/>
    <w:rsid w:val="5F187E14"/>
    <w:rsid w:val="5F1A2B43"/>
    <w:rsid w:val="5F2E3A13"/>
    <w:rsid w:val="5F334021"/>
    <w:rsid w:val="5F4C2994"/>
    <w:rsid w:val="5F530220"/>
    <w:rsid w:val="5F5332B3"/>
    <w:rsid w:val="5F557AF4"/>
    <w:rsid w:val="5F593296"/>
    <w:rsid w:val="5F6D710E"/>
    <w:rsid w:val="5F7644F0"/>
    <w:rsid w:val="5F772160"/>
    <w:rsid w:val="5F960EEB"/>
    <w:rsid w:val="5F9D5550"/>
    <w:rsid w:val="5FA840C8"/>
    <w:rsid w:val="5FB837BB"/>
    <w:rsid w:val="5FBD067E"/>
    <w:rsid w:val="5FBF1411"/>
    <w:rsid w:val="5FD133B2"/>
    <w:rsid w:val="5FDA449D"/>
    <w:rsid w:val="601A6F4F"/>
    <w:rsid w:val="601C17BB"/>
    <w:rsid w:val="6024062E"/>
    <w:rsid w:val="60471EFE"/>
    <w:rsid w:val="6057008B"/>
    <w:rsid w:val="60597AB8"/>
    <w:rsid w:val="60635F68"/>
    <w:rsid w:val="607600E6"/>
    <w:rsid w:val="60797EB6"/>
    <w:rsid w:val="608508AD"/>
    <w:rsid w:val="608A0A96"/>
    <w:rsid w:val="60912DAE"/>
    <w:rsid w:val="60940AF0"/>
    <w:rsid w:val="60964868"/>
    <w:rsid w:val="609D1752"/>
    <w:rsid w:val="609F04A7"/>
    <w:rsid w:val="60BD7D9C"/>
    <w:rsid w:val="60C96143"/>
    <w:rsid w:val="60CC64DC"/>
    <w:rsid w:val="60CE5DB0"/>
    <w:rsid w:val="60DD1269"/>
    <w:rsid w:val="60E05C3A"/>
    <w:rsid w:val="60E74423"/>
    <w:rsid w:val="60F021CA"/>
    <w:rsid w:val="612754C0"/>
    <w:rsid w:val="614222FA"/>
    <w:rsid w:val="61564BE3"/>
    <w:rsid w:val="616457E5"/>
    <w:rsid w:val="616E3C40"/>
    <w:rsid w:val="61B431F8"/>
    <w:rsid w:val="61B50D1E"/>
    <w:rsid w:val="61C83E7A"/>
    <w:rsid w:val="61D415F5"/>
    <w:rsid w:val="61D5316E"/>
    <w:rsid w:val="61E6537B"/>
    <w:rsid w:val="61F335F4"/>
    <w:rsid w:val="620106A8"/>
    <w:rsid w:val="621023F8"/>
    <w:rsid w:val="6214159D"/>
    <w:rsid w:val="62307304"/>
    <w:rsid w:val="62331BF9"/>
    <w:rsid w:val="62344F7C"/>
    <w:rsid w:val="62364782"/>
    <w:rsid w:val="6276435C"/>
    <w:rsid w:val="629152E7"/>
    <w:rsid w:val="629E17B2"/>
    <w:rsid w:val="62A56FE4"/>
    <w:rsid w:val="62B26399"/>
    <w:rsid w:val="62B72874"/>
    <w:rsid w:val="62B76FEA"/>
    <w:rsid w:val="62DA2A64"/>
    <w:rsid w:val="62F54CD7"/>
    <w:rsid w:val="62F81674"/>
    <w:rsid w:val="62F85366"/>
    <w:rsid w:val="63185A08"/>
    <w:rsid w:val="631B1054"/>
    <w:rsid w:val="63206602"/>
    <w:rsid w:val="63253C81"/>
    <w:rsid w:val="63272EBA"/>
    <w:rsid w:val="632C3EF9"/>
    <w:rsid w:val="632E3234"/>
    <w:rsid w:val="634379A6"/>
    <w:rsid w:val="634C0658"/>
    <w:rsid w:val="637C7D45"/>
    <w:rsid w:val="63860707"/>
    <w:rsid w:val="63865BE5"/>
    <w:rsid w:val="63933DBA"/>
    <w:rsid w:val="63C03219"/>
    <w:rsid w:val="63D40BE9"/>
    <w:rsid w:val="63D7141F"/>
    <w:rsid w:val="63E0211F"/>
    <w:rsid w:val="64011719"/>
    <w:rsid w:val="6414138E"/>
    <w:rsid w:val="64175CC0"/>
    <w:rsid w:val="641937E6"/>
    <w:rsid w:val="64207A48"/>
    <w:rsid w:val="643D7BA9"/>
    <w:rsid w:val="64476F4B"/>
    <w:rsid w:val="644A6469"/>
    <w:rsid w:val="64616F3B"/>
    <w:rsid w:val="64735F33"/>
    <w:rsid w:val="6487478D"/>
    <w:rsid w:val="648B2CE9"/>
    <w:rsid w:val="64B147DE"/>
    <w:rsid w:val="64E347E4"/>
    <w:rsid w:val="650820A5"/>
    <w:rsid w:val="65280049"/>
    <w:rsid w:val="65373578"/>
    <w:rsid w:val="654F11A7"/>
    <w:rsid w:val="656D0997"/>
    <w:rsid w:val="65745172"/>
    <w:rsid w:val="657A4160"/>
    <w:rsid w:val="65896749"/>
    <w:rsid w:val="6591642E"/>
    <w:rsid w:val="659A2D92"/>
    <w:rsid w:val="65C747EF"/>
    <w:rsid w:val="65C94D98"/>
    <w:rsid w:val="65CB0B10"/>
    <w:rsid w:val="65DD42AF"/>
    <w:rsid w:val="65EA3F4A"/>
    <w:rsid w:val="660F66C6"/>
    <w:rsid w:val="66172C2A"/>
    <w:rsid w:val="66303069"/>
    <w:rsid w:val="66326DE1"/>
    <w:rsid w:val="66414707"/>
    <w:rsid w:val="664858A7"/>
    <w:rsid w:val="66495ED8"/>
    <w:rsid w:val="665C2657"/>
    <w:rsid w:val="66815672"/>
    <w:rsid w:val="6688215E"/>
    <w:rsid w:val="669B6734"/>
    <w:rsid w:val="66D94F5C"/>
    <w:rsid w:val="66EF082E"/>
    <w:rsid w:val="66F9345B"/>
    <w:rsid w:val="66FF1E88"/>
    <w:rsid w:val="6707116F"/>
    <w:rsid w:val="67191D4F"/>
    <w:rsid w:val="67255A8A"/>
    <w:rsid w:val="67393DF3"/>
    <w:rsid w:val="673F2C7A"/>
    <w:rsid w:val="675F2D8E"/>
    <w:rsid w:val="67713939"/>
    <w:rsid w:val="678D4D7F"/>
    <w:rsid w:val="67987117"/>
    <w:rsid w:val="67A23F07"/>
    <w:rsid w:val="67A27F96"/>
    <w:rsid w:val="67AA29A7"/>
    <w:rsid w:val="67B439CB"/>
    <w:rsid w:val="67B657F0"/>
    <w:rsid w:val="67D85766"/>
    <w:rsid w:val="67FF2CF3"/>
    <w:rsid w:val="68060525"/>
    <w:rsid w:val="680D5788"/>
    <w:rsid w:val="681A18DB"/>
    <w:rsid w:val="681F6961"/>
    <w:rsid w:val="68231967"/>
    <w:rsid w:val="683C3F47"/>
    <w:rsid w:val="6848469A"/>
    <w:rsid w:val="68563FA8"/>
    <w:rsid w:val="68586121"/>
    <w:rsid w:val="68610A2F"/>
    <w:rsid w:val="686B65DA"/>
    <w:rsid w:val="68805514"/>
    <w:rsid w:val="688B41A9"/>
    <w:rsid w:val="68A1202E"/>
    <w:rsid w:val="68AD09A1"/>
    <w:rsid w:val="68B41D2F"/>
    <w:rsid w:val="68C1269E"/>
    <w:rsid w:val="68CD1854"/>
    <w:rsid w:val="68D45F2D"/>
    <w:rsid w:val="68EA74FF"/>
    <w:rsid w:val="69216C99"/>
    <w:rsid w:val="692549DB"/>
    <w:rsid w:val="694E2071"/>
    <w:rsid w:val="69563455"/>
    <w:rsid w:val="696F3EA8"/>
    <w:rsid w:val="697A3B33"/>
    <w:rsid w:val="69865104"/>
    <w:rsid w:val="698A05E7"/>
    <w:rsid w:val="699002DE"/>
    <w:rsid w:val="699D6C67"/>
    <w:rsid w:val="699E2456"/>
    <w:rsid w:val="69A1722F"/>
    <w:rsid w:val="69B60904"/>
    <w:rsid w:val="69B813AB"/>
    <w:rsid w:val="69E77EE2"/>
    <w:rsid w:val="6A0021AB"/>
    <w:rsid w:val="6A0A597F"/>
    <w:rsid w:val="6A0B1E23"/>
    <w:rsid w:val="6A233D95"/>
    <w:rsid w:val="6A885221"/>
    <w:rsid w:val="6A8B7404"/>
    <w:rsid w:val="6A9A31A7"/>
    <w:rsid w:val="6AB92E13"/>
    <w:rsid w:val="6ABC3623"/>
    <w:rsid w:val="6AC81AC2"/>
    <w:rsid w:val="6AD27E28"/>
    <w:rsid w:val="6AD926EF"/>
    <w:rsid w:val="6ADE7537"/>
    <w:rsid w:val="6AF91C7B"/>
    <w:rsid w:val="6B0A032C"/>
    <w:rsid w:val="6B100B08"/>
    <w:rsid w:val="6B1765A5"/>
    <w:rsid w:val="6B2A6098"/>
    <w:rsid w:val="6B322639"/>
    <w:rsid w:val="6B376894"/>
    <w:rsid w:val="6B6D2669"/>
    <w:rsid w:val="6B6E0EDB"/>
    <w:rsid w:val="6B7D28AC"/>
    <w:rsid w:val="6B8C3DD7"/>
    <w:rsid w:val="6B972D20"/>
    <w:rsid w:val="6B9E7BDB"/>
    <w:rsid w:val="6BB838E4"/>
    <w:rsid w:val="6BBD539F"/>
    <w:rsid w:val="6BBD60ED"/>
    <w:rsid w:val="6BBE2E94"/>
    <w:rsid w:val="6BC37885"/>
    <w:rsid w:val="6BCB57BE"/>
    <w:rsid w:val="6BE81468"/>
    <w:rsid w:val="6BFF59B7"/>
    <w:rsid w:val="6C0F592C"/>
    <w:rsid w:val="6C191250"/>
    <w:rsid w:val="6C223454"/>
    <w:rsid w:val="6C2E1DF8"/>
    <w:rsid w:val="6C3162EB"/>
    <w:rsid w:val="6C343430"/>
    <w:rsid w:val="6C3F661A"/>
    <w:rsid w:val="6C464912"/>
    <w:rsid w:val="6C550199"/>
    <w:rsid w:val="6C636C38"/>
    <w:rsid w:val="6C67530A"/>
    <w:rsid w:val="6C714583"/>
    <w:rsid w:val="6C7812C6"/>
    <w:rsid w:val="6C7A6DEC"/>
    <w:rsid w:val="6C7F3E91"/>
    <w:rsid w:val="6C8728F0"/>
    <w:rsid w:val="6C8F2699"/>
    <w:rsid w:val="6C9205D9"/>
    <w:rsid w:val="6C9F0B0C"/>
    <w:rsid w:val="6CAF118B"/>
    <w:rsid w:val="6CB22A29"/>
    <w:rsid w:val="6CDF1459"/>
    <w:rsid w:val="6CEE3336"/>
    <w:rsid w:val="6D0F1C2A"/>
    <w:rsid w:val="6D1A412B"/>
    <w:rsid w:val="6D2B458A"/>
    <w:rsid w:val="6D2F0302"/>
    <w:rsid w:val="6D34343E"/>
    <w:rsid w:val="6D36133C"/>
    <w:rsid w:val="6D4B0788"/>
    <w:rsid w:val="6D66400F"/>
    <w:rsid w:val="6D667370"/>
    <w:rsid w:val="6D69748F"/>
    <w:rsid w:val="6D8819DC"/>
    <w:rsid w:val="6DB34098"/>
    <w:rsid w:val="6DB545B6"/>
    <w:rsid w:val="6DCC22CF"/>
    <w:rsid w:val="6DCE3893"/>
    <w:rsid w:val="6DDE15FC"/>
    <w:rsid w:val="6DE76703"/>
    <w:rsid w:val="6DEC5AC7"/>
    <w:rsid w:val="6DF37746"/>
    <w:rsid w:val="6DFE57FA"/>
    <w:rsid w:val="6E0B0643"/>
    <w:rsid w:val="6E2214E9"/>
    <w:rsid w:val="6E394465"/>
    <w:rsid w:val="6E423939"/>
    <w:rsid w:val="6E4375A0"/>
    <w:rsid w:val="6E4779BF"/>
    <w:rsid w:val="6E514CED"/>
    <w:rsid w:val="6E533687"/>
    <w:rsid w:val="6E612FCD"/>
    <w:rsid w:val="6E65726F"/>
    <w:rsid w:val="6E663ACB"/>
    <w:rsid w:val="6E783056"/>
    <w:rsid w:val="6E79491A"/>
    <w:rsid w:val="6E822D58"/>
    <w:rsid w:val="6E82467D"/>
    <w:rsid w:val="6E907C9A"/>
    <w:rsid w:val="6E942325"/>
    <w:rsid w:val="6EA63EC8"/>
    <w:rsid w:val="6EB563D5"/>
    <w:rsid w:val="6EEB17BA"/>
    <w:rsid w:val="6F084B83"/>
    <w:rsid w:val="6F0B4673"/>
    <w:rsid w:val="6F225983"/>
    <w:rsid w:val="6F4D355C"/>
    <w:rsid w:val="6F71097A"/>
    <w:rsid w:val="6F873A86"/>
    <w:rsid w:val="6F9208F0"/>
    <w:rsid w:val="6FA04DBB"/>
    <w:rsid w:val="6FAB33BB"/>
    <w:rsid w:val="6FB91A91"/>
    <w:rsid w:val="6FD95F10"/>
    <w:rsid w:val="6FDD36CC"/>
    <w:rsid w:val="6FDD600F"/>
    <w:rsid w:val="6FE27182"/>
    <w:rsid w:val="6FE4739E"/>
    <w:rsid w:val="6FFB0243"/>
    <w:rsid w:val="6FFC5590"/>
    <w:rsid w:val="6FFD220E"/>
    <w:rsid w:val="700B3949"/>
    <w:rsid w:val="70191B85"/>
    <w:rsid w:val="7020414E"/>
    <w:rsid w:val="70301DA3"/>
    <w:rsid w:val="70383246"/>
    <w:rsid w:val="704F32B8"/>
    <w:rsid w:val="70671D7D"/>
    <w:rsid w:val="706D1DD0"/>
    <w:rsid w:val="70856B87"/>
    <w:rsid w:val="70875F7B"/>
    <w:rsid w:val="70980188"/>
    <w:rsid w:val="709F2893"/>
    <w:rsid w:val="70A408DB"/>
    <w:rsid w:val="70BC5C25"/>
    <w:rsid w:val="70D527EE"/>
    <w:rsid w:val="70D94A29"/>
    <w:rsid w:val="70E46F6F"/>
    <w:rsid w:val="70E909E4"/>
    <w:rsid w:val="70F116CB"/>
    <w:rsid w:val="70FF3D63"/>
    <w:rsid w:val="710870BC"/>
    <w:rsid w:val="7121200D"/>
    <w:rsid w:val="71356CC9"/>
    <w:rsid w:val="71436346"/>
    <w:rsid w:val="7148086A"/>
    <w:rsid w:val="715B5300"/>
    <w:rsid w:val="715F4BD7"/>
    <w:rsid w:val="716D6F1F"/>
    <w:rsid w:val="719F0AE7"/>
    <w:rsid w:val="71A761BB"/>
    <w:rsid w:val="71D27F8A"/>
    <w:rsid w:val="71D54CD9"/>
    <w:rsid w:val="71F744C6"/>
    <w:rsid w:val="71F960CF"/>
    <w:rsid w:val="71FB259A"/>
    <w:rsid w:val="723E2B29"/>
    <w:rsid w:val="724063E2"/>
    <w:rsid w:val="724E4B1F"/>
    <w:rsid w:val="725811C5"/>
    <w:rsid w:val="72781FBB"/>
    <w:rsid w:val="727A5D97"/>
    <w:rsid w:val="727F1191"/>
    <w:rsid w:val="72907058"/>
    <w:rsid w:val="729D1A86"/>
    <w:rsid w:val="72A45576"/>
    <w:rsid w:val="72B648F6"/>
    <w:rsid w:val="72C47BE3"/>
    <w:rsid w:val="72D134DE"/>
    <w:rsid w:val="72DA6836"/>
    <w:rsid w:val="72ED4B32"/>
    <w:rsid w:val="72FE0AB6"/>
    <w:rsid w:val="731F5D5E"/>
    <w:rsid w:val="733272FA"/>
    <w:rsid w:val="7338355D"/>
    <w:rsid w:val="733879D8"/>
    <w:rsid w:val="734A2299"/>
    <w:rsid w:val="734D525A"/>
    <w:rsid w:val="73770529"/>
    <w:rsid w:val="738F5266"/>
    <w:rsid w:val="73A71F64"/>
    <w:rsid w:val="73AA1BE6"/>
    <w:rsid w:val="73B0192A"/>
    <w:rsid w:val="73C6500C"/>
    <w:rsid w:val="73CC165C"/>
    <w:rsid w:val="73D477EC"/>
    <w:rsid w:val="73EB5E35"/>
    <w:rsid w:val="73ED5E75"/>
    <w:rsid w:val="73F13E37"/>
    <w:rsid w:val="74041D60"/>
    <w:rsid w:val="740759EF"/>
    <w:rsid w:val="741D3BE9"/>
    <w:rsid w:val="741E793C"/>
    <w:rsid w:val="74345105"/>
    <w:rsid w:val="74462F1A"/>
    <w:rsid w:val="745148D6"/>
    <w:rsid w:val="74597C2E"/>
    <w:rsid w:val="7467234B"/>
    <w:rsid w:val="74894804"/>
    <w:rsid w:val="749649DF"/>
    <w:rsid w:val="74B11819"/>
    <w:rsid w:val="74B530B7"/>
    <w:rsid w:val="74D07EF1"/>
    <w:rsid w:val="74E43F30"/>
    <w:rsid w:val="74EB3C55"/>
    <w:rsid w:val="74F06445"/>
    <w:rsid w:val="74F11EDB"/>
    <w:rsid w:val="75011284"/>
    <w:rsid w:val="751C524A"/>
    <w:rsid w:val="753C1DA6"/>
    <w:rsid w:val="75497CA3"/>
    <w:rsid w:val="755521A4"/>
    <w:rsid w:val="75586C89"/>
    <w:rsid w:val="75644ADD"/>
    <w:rsid w:val="757D16FB"/>
    <w:rsid w:val="75804BEF"/>
    <w:rsid w:val="758D75E2"/>
    <w:rsid w:val="75A849CA"/>
    <w:rsid w:val="75AD1FE0"/>
    <w:rsid w:val="75BE41ED"/>
    <w:rsid w:val="75D720F8"/>
    <w:rsid w:val="75E02EBA"/>
    <w:rsid w:val="75F1685F"/>
    <w:rsid w:val="75FE1611"/>
    <w:rsid w:val="760A5684"/>
    <w:rsid w:val="762B6EBD"/>
    <w:rsid w:val="762E24AF"/>
    <w:rsid w:val="763B3A90"/>
    <w:rsid w:val="7641307C"/>
    <w:rsid w:val="76503024"/>
    <w:rsid w:val="765C7562"/>
    <w:rsid w:val="7662101C"/>
    <w:rsid w:val="76654669"/>
    <w:rsid w:val="766B340F"/>
    <w:rsid w:val="766C1E9B"/>
    <w:rsid w:val="767073EA"/>
    <w:rsid w:val="767B4E6D"/>
    <w:rsid w:val="76880357"/>
    <w:rsid w:val="76A432FC"/>
    <w:rsid w:val="76B95492"/>
    <w:rsid w:val="76C43A85"/>
    <w:rsid w:val="76D03BB5"/>
    <w:rsid w:val="76D33CC8"/>
    <w:rsid w:val="76E10879"/>
    <w:rsid w:val="76E25CB9"/>
    <w:rsid w:val="7718459C"/>
    <w:rsid w:val="77206CE0"/>
    <w:rsid w:val="772B3B04"/>
    <w:rsid w:val="7735228D"/>
    <w:rsid w:val="775546DD"/>
    <w:rsid w:val="77562203"/>
    <w:rsid w:val="77685E12"/>
    <w:rsid w:val="7775275E"/>
    <w:rsid w:val="77762421"/>
    <w:rsid w:val="777F7750"/>
    <w:rsid w:val="778327FA"/>
    <w:rsid w:val="779830E6"/>
    <w:rsid w:val="77AC4CF7"/>
    <w:rsid w:val="77B452E7"/>
    <w:rsid w:val="77CB2BF1"/>
    <w:rsid w:val="77E14553"/>
    <w:rsid w:val="77E93077"/>
    <w:rsid w:val="780C6600"/>
    <w:rsid w:val="780D4FB8"/>
    <w:rsid w:val="780F09F4"/>
    <w:rsid w:val="7820603E"/>
    <w:rsid w:val="78275313"/>
    <w:rsid w:val="783256BF"/>
    <w:rsid w:val="78482494"/>
    <w:rsid w:val="784A620C"/>
    <w:rsid w:val="7867290B"/>
    <w:rsid w:val="78740A03"/>
    <w:rsid w:val="787E1404"/>
    <w:rsid w:val="7880578A"/>
    <w:rsid w:val="788D3743"/>
    <w:rsid w:val="789C4F47"/>
    <w:rsid w:val="78A90480"/>
    <w:rsid w:val="78B418D7"/>
    <w:rsid w:val="78B90F72"/>
    <w:rsid w:val="78CA574E"/>
    <w:rsid w:val="78E15EF5"/>
    <w:rsid w:val="78E8500F"/>
    <w:rsid w:val="79051074"/>
    <w:rsid w:val="79070570"/>
    <w:rsid w:val="7911210C"/>
    <w:rsid w:val="79147A06"/>
    <w:rsid w:val="79202AC9"/>
    <w:rsid w:val="79276860"/>
    <w:rsid w:val="79435DCB"/>
    <w:rsid w:val="79450781"/>
    <w:rsid w:val="794B3FEA"/>
    <w:rsid w:val="79515378"/>
    <w:rsid w:val="795D6197"/>
    <w:rsid w:val="796B7785"/>
    <w:rsid w:val="79700F04"/>
    <w:rsid w:val="797846B3"/>
    <w:rsid w:val="79811327"/>
    <w:rsid w:val="798A023D"/>
    <w:rsid w:val="799534B7"/>
    <w:rsid w:val="79AE6327"/>
    <w:rsid w:val="79B865CF"/>
    <w:rsid w:val="79E005EE"/>
    <w:rsid w:val="79E46542"/>
    <w:rsid w:val="79F006ED"/>
    <w:rsid w:val="79F734D8"/>
    <w:rsid w:val="7A202985"/>
    <w:rsid w:val="7A2713AD"/>
    <w:rsid w:val="7A364017"/>
    <w:rsid w:val="7A400B0C"/>
    <w:rsid w:val="7A477AC9"/>
    <w:rsid w:val="7A5F04C5"/>
    <w:rsid w:val="7A7358BD"/>
    <w:rsid w:val="7A805F15"/>
    <w:rsid w:val="7A8265E1"/>
    <w:rsid w:val="7A8A66D1"/>
    <w:rsid w:val="7A9B4AFD"/>
    <w:rsid w:val="7AA716F4"/>
    <w:rsid w:val="7AB45BBF"/>
    <w:rsid w:val="7ABE07EB"/>
    <w:rsid w:val="7ADD5115"/>
    <w:rsid w:val="7AE85F45"/>
    <w:rsid w:val="7AE87E01"/>
    <w:rsid w:val="7AE91D0C"/>
    <w:rsid w:val="7B087CB8"/>
    <w:rsid w:val="7B146D0D"/>
    <w:rsid w:val="7B18439F"/>
    <w:rsid w:val="7B205002"/>
    <w:rsid w:val="7B3665D4"/>
    <w:rsid w:val="7B51340D"/>
    <w:rsid w:val="7B5B37C9"/>
    <w:rsid w:val="7B601165"/>
    <w:rsid w:val="7B686D42"/>
    <w:rsid w:val="7B7D4202"/>
    <w:rsid w:val="7B841746"/>
    <w:rsid w:val="7B8E741F"/>
    <w:rsid w:val="7BA332C4"/>
    <w:rsid w:val="7BAC4AE8"/>
    <w:rsid w:val="7BB3231A"/>
    <w:rsid w:val="7BEC6D8E"/>
    <w:rsid w:val="7BFB7EF2"/>
    <w:rsid w:val="7BFF74B8"/>
    <w:rsid w:val="7C065015"/>
    <w:rsid w:val="7C077BA9"/>
    <w:rsid w:val="7C105077"/>
    <w:rsid w:val="7C274045"/>
    <w:rsid w:val="7C38637B"/>
    <w:rsid w:val="7C467372"/>
    <w:rsid w:val="7C5807CC"/>
    <w:rsid w:val="7C594D0E"/>
    <w:rsid w:val="7C7750F6"/>
    <w:rsid w:val="7C85533B"/>
    <w:rsid w:val="7CA02881"/>
    <w:rsid w:val="7CAB0325"/>
    <w:rsid w:val="7CAB083D"/>
    <w:rsid w:val="7CD95DB0"/>
    <w:rsid w:val="7CE502B1"/>
    <w:rsid w:val="7CE74A44"/>
    <w:rsid w:val="7CEA44B1"/>
    <w:rsid w:val="7CFE1373"/>
    <w:rsid w:val="7D0239FF"/>
    <w:rsid w:val="7D0F17D2"/>
    <w:rsid w:val="7D0F532E"/>
    <w:rsid w:val="7D117CD3"/>
    <w:rsid w:val="7D1F0BD4"/>
    <w:rsid w:val="7D23702C"/>
    <w:rsid w:val="7D3A6542"/>
    <w:rsid w:val="7D5E40CD"/>
    <w:rsid w:val="7D693BED"/>
    <w:rsid w:val="7D6E64F9"/>
    <w:rsid w:val="7D782ED3"/>
    <w:rsid w:val="7D8F646F"/>
    <w:rsid w:val="7DA77C5D"/>
    <w:rsid w:val="7DB54128"/>
    <w:rsid w:val="7DB879AC"/>
    <w:rsid w:val="7DD81BC4"/>
    <w:rsid w:val="7DDA357B"/>
    <w:rsid w:val="7E0E5302"/>
    <w:rsid w:val="7E165615"/>
    <w:rsid w:val="7E1F75D4"/>
    <w:rsid w:val="7EA30424"/>
    <w:rsid w:val="7EA36676"/>
    <w:rsid w:val="7ED12476"/>
    <w:rsid w:val="7ED20D09"/>
    <w:rsid w:val="7EE30820"/>
    <w:rsid w:val="7EE54599"/>
    <w:rsid w:val="7EEB2E91"/>
    <w:rsid w:val="7EED0D69"/>
    <w:rsid w:val="7EED5B43"/>
    <w:rsid w:val="7EEE70C5"/>
    <w:rsid w:val="7EF774DF"/>
    <w:rsid w:val="7F047162"/>
    <w:rsid w:val="7F1E3F4E"/>
    <w:rsid w:val="7F1E5FB8"/>
    <w:rsid w:val="7F313615"/>
    <w:rsid w:val="7F35379D"/>
    <w:rsid w:val="7F361298"/>
    <w:rsid w:val="7F376DBE"/>
    <w:rsid w:val="7F3E04A7"/>
    <w:rsid w:val="7F547970"/>
    <w:rsid w:val="7F692EDC"/>
    <w:rsid w:val="7F8E10B0"/>
    <w:rsid w:val="7FAC43B7"/>
    <w:rsid w:val="7FB4040F"/>
    <w:rsid w:val="7FC015B2"/>
    <w:rsid w:val="7FD0349B"/>
    <w:rsid w:val="7FD76F90"/>
    <w:rsid w:val="7FE47E50"/>
    <w:rsid w:val="7FE5681A"/>
    <w:rsid w:val="7FFF6E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1"/>
      <w:szCs w:val="24"/>
      <w:lang w:val="en-US" w:eastAsia="zh-CN" w:bidi="ar-SA"/>
    </w:rPr>
  </w:style>
  <w:style w:type="paragraph" w:styleId="4">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link w:val="43"/>
    <w:qFormat/>
    <w:uiPriority w:val="0"/>
    <w:pPr>
      <w:keepNext/>
      <w:keepLines/>
      <w:adjustRightInd w:val="0"/>
      <w:snapToGrid w:val="0"/>
      <w:spacing w:line="520" w:lineRule="exact"/>
      <w:outlineLvl w:val="1"/>
    </w:pPr>
    <w:rPr>
      <w:rFonts w:ascii="Times New Roman"/>
      <w:b/>
      <w:bCs/>
      <w:sz w:val="24"/>
      <w:szCs w:val="32"/>
    </w:rPr>
  </w:style>
  <w:style w:type="paragraph" w:styleId="6">
    <w:name w:val="heading 3"/>
    <w:basedOn w:val="1"/>
    <w:next w:val="1"/>
    <w:qFormat/>
    <w:uiPriority w:val="0"/>
    <w:pPr>
      <w:keepNext/>
      <w:keepLines/>
      <w:spacing w:line="412" w:lineRule="auto"/>
      <w:outlineLvl w:val="2"/>
    </w:pPr>
    <w:rPr>
      <w:rFonts w:ascii="Times New Roman"/>
      <w:b/>
      <w:bCs/>
      <w:sz w:val="28"/>
      <w:szCs w:val="32"/>
    </w:rPr>
  </w:style>
  <w:style w:type="paragraph" w:styleId="7">
    <w:name w:val="heading 4"/>
    <w:basedOn w:val="1"/>
    <w:next w:val="1"/>
    <w:qFormat/>
    <w:uiPriority w:val="0"/>
    <w:pPr>
      <w:keepNext/>
      <w:keepLines/>
      <w:spacing w:before="280" w:after="290" w:line="374" w:lineRule="auto"/>
      <w:outlineLvl w:val="3"/>
    </w:pPr>
    <w:rPr>
      <w:rFonts w:ascii="Arial" w:hAnsi="Arial" w:eastAsia="黑体"/>
      <w:b/>
      <w:bCs/>
      <w:sz w:val="28"/>
      <w:szCs w:val="28"/>
    </w:rPr>
  </w:style>
  <w:style w:type="character" w:default="1" w:styleId="34">
    <w:name w:val="Default Paragraph Font"/>
    <w:semiHidden/>
    <w:qFormat/>
    <w:uiPriority w:val="0"/>
  </w:style>
  <w:style w:type="table" w:default="1" w:styleId="3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index heading"/>
    <w:basedOn w:val="1"/>
    <w:next w:val="3"/>
    <w:qFormat/>
    <w:uiPriority w:val="99"/>
    <w:rPr>
      <w:rFonts w:hint="eastAsia" w:ascii="Cambria" w:hAnsi="Cambria"/>
      <w:b/>
    </w:rPr>
  </w:style>
  <w:style w:type="paragraph" w:styleId="3">
    <w:name w:val="index 1"/>
    <w:basedOn w:val="1"/>
    <w:next w:val="1"/>
    <w:qFormat/>
    <w:uiPriority w:val="99"/>
  </w:style>
  <w:style w:type="paragraph" w:styleId="8">
    <w:name w:val="Normal Indent"/>
    <w:basedOn w:val="1"/>
    <w:next w:val="9"/>
    <w:qFormat/>
    <w:uiPriority w:val="0"/>
    <w:pPr>
      <w:widowControl/>
      <w:ind w:firstLine="420"/>
      <w:jc w:val="left"/>
    </w:pPr>
    <w:rPr>
      <w:rFonts w:ascii="Arial" w:hAnsi="Arial" w:eastAsia="仿宋_GB2312"/>
    </w:rPr>
  </w:style>
  <w:style w:type="paragraph" w:styleId="9">
    <w:name w:val="toc 1"/>
    <w:basedOn w:val="1"/>
    <w:next w:val="1"/>
    <w:qFormat/>
    <w:uiPriority w:val="39"/>
  </w:style>
  <w:style w:type="paragraph" w:styleId="10">
    <w:name w:val="Document Map"/>
    <w:basedOn w:val="1"/>
    <w:link w:val="45"/>
    <w:qFormat/>
    <w:uiPriority w:val="0"/>
    <w:rPr>
      <w:sz w:val="18"/>
      <w:szCs w:val="18"/>
    </w:rPr>
  </w:style>
  <w:style w:type="paragraph" w:styleId="11">
    <w:name w:val="annotation text"/>
    <w:basedOn w:val="1"/>
    <w:link w:val="46"/>
    <w:semiHidden/>
    <w:qFormat/>
    <w:uiPriority w:val="0"/>
    <w:pPr>
      <w:jc w:val="left"/>
    </w:pPr>
    <w:rPr>
      <w:rFonts w:ascii="Times New Roman"/>
      <w:kern w:val="0"/>
      <w:sz w:val="24"/>
      <w:szCs w:val="20"/>
    </w:rPr>
  </w:style>
  <w:style w:type="paragraph" w:styleId="12">
    <w:name w:val="Body Text"/>
    <w:basedOn w:val="1"/>
    <w:next w:val="13"/>
    <w:link w:val="44"/>
    <w:qFormat/>
    <w:uiPriority w:val="0"/>
    <w:pPr>
      <w:widowControl/>
      <w:snapToGrid w:val="0"/>
      <w:spacing w:before="60" w:after="160" w:line="259" w:lineRule="auto"/>
      <w:ind w:right="113"/>
    </w:pPr>
    <w:rPr>
      <w:rFonts w:ascii="Times New Roman"/>
      <w:kern w:val="0"/>
      <w:sz w:val="18"/>
      <w:szCs w:val="20"/>
    </w:rPr>
  </w:style>
  <w:style w:type="paragraph" w:customStyle="1" w:styleId="13">
    <w:name w:val="默认段落"/>
    <w:basedOn w:val="1"/>
    <w:qFormat/>
    <w:uiPriority w:val="0"/>
  </w:style>
  <w:style w:type="paragraph" w:styleId="14">
    <w:name w:val="Body Text Indent"/>
    <w:basedOn w:val="1"/>
    <w:next w:val="7"/>
    <w:link w:val="47"/>
    <w:semiHidden/>
    <w:qFormat/>
    <w:uiPriority w:val="0"/>
    <w:pPr>
      <w:spacing w:after="120"/>
      <w:ind w:left="420" w:leftChars="200"/>
    </w:pPr>
    <w:rPr>
      <w:rFonts w:ascii="Times New Roman"/>
      <w:kern w:val="0"/>
      <w:sz w:val="24"/>
    </w:rPr>
  </w:style>
  <w:style w:type="paragraph" w:styleId="15">
    <w:name w:val="List 2"/>
    <w:basedOn w:val="1"/>
    <w:qFormat/>
    <w:uiPriority w:val="0"/>
    <w:pPr>
      <w:ind w:left="100" w:leftChars="200" w:hanging="200" w:hangingChars="200"/>
    </w:pPr>
    <w:rPr>
      <w:rFonts w:ascii="Times New Roman"/>
      <w:spacing w:val="0"/>
      <w:sz w:val="21"/>
      <w:szCs w:val="24"/>
    </w:rPr>
  </w:style>
  <w:style w:type="paragraph" w:styleId="16">
    <w:name w:val="Block Text"/>
    <w:unhideWhenUsed/>
    <w:qFormat/>
    <w:uiPriority w:val="99"/>
    <w:pPr>
      <w:widowControl w:val="0"/>
      <w:adjustRightInd w:val="0"/>
      <w:spacing w:after="120" w:line="312" w:lineRule="atLeast"/>
      <w:ind w:left="1440" w:leftChars="700" w:right="1440" w:rightChars="700"/>
      <w:jc w:val="both"/>
      <w:textAlignment w:val="baseline"/>
    </w:pPr>
    <w:rPr>
      <w:rFonts w:ascii="Times New Roman" w:hAnsi="Times New Roman" w:eastAsia="宋体" w:cs="Times New Roman"/>
      <w:sz w:val="21"/>
      <w:lang w:val="en-US" w:eastAsia="zh-CN" w:bidi="ar-SA"/>
    </w:rPr>
  </w:style>
  <w:style w:type="paragraph" w:styleId="17">
    <w:name w:val="Plain Text"/>
    <w:basedOn w:val="1"/>
    <w:next w:val="18"/>
    <w:qFormat/>
    <w:uiPriority w:val="0"/>
    <w:rPr>
      <w:rFonts w:hAnsi="Courier New"/>
      <w:spacing w:val="5"/>
      <w:sz w:val="25"/>
      <w:szCs w:val="25"/>
    </w:rPr>
  </w:style>
  <w:style w:type="paragraph" w:customStyle="1" w:styleId="18">
    <w:name w:val="Default"/>
    <w:basedOn w:val="19"/>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19">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styleId="20">
    <w:name w:val="Date"/>
    <w:basedOn w:val="1"/>
    <w:next w:val="1"/>
    <w:link w:val="48"/>
    <w:qFormat/>
    <w:uiPriority w:val="0"/>
    <w:pPr>
      <w:ind w:left="100" w:leftChars="2500"/>
    </w:pPr>
    <w:rPr>
      <w:rFonts w:ascii="Times New Roman"/>
      <w:kern w:val="0"/>
      <w:sz w:val="24"/>
      <w:szCs w:val="20"/>
    </w:rPr>
  </w:style>
  <w:style w:type="paragraph" w:styleId="21">
    <w:name w:val="Balloon Text"/>
    <w:basedOn w:val="1"/>
    <w:link w:val="49"/>
    <w:semiHidden/>
    <w:qFormat/>
    <w:uiPriority w:val="0"/>
    <w:rPr>
      <w:rFonts w:ascii="Times New Roman"/>
      <w:kern w:val="0"/>
      <w:sz w:val="18"/>
      <w:szCs w:val="18"/>
    </w:rPr>
  </w:style>
  <w:style w:type="paragraph" w:styleId="22">
    <w:name w:val="footer"/>
    <w:basedOn w:val="1"/>
    <w:link w:val="50"/>
    <w:qFormat/>
    <w:uiPriority w:val="99"/>
    <w:pPr>
      <w:tabs>
        <w:tab w:val="center" w:pos="4153"/>
        <w:tab w:val="right" w:pos="8306"/>
      </w:tabs>
      <w:snapToGrid w:val="0"/>
      <w:jc w:val="left"/>
    </w:pPr>
    <w:rPr>
      <w:rFonts w:ascii="Times New Roman"/>
      <w:kern w:val="0"/>
      <w:sz w:val="18"/>
      <w:szCs w:val="18"/>
    </w:rPr>
  </w:style>
  <w:style w:type="paragraph" w:styleId="23">
    <w:name w:val="header"/>
    <w:basedOn w:val="1"/>
    <w:next w:val="1"/>
    <w:link w:val="51"/>
    <w:qFormat/>
    <w:uiPriority w:val="0"/>
    <w:pPr>
      <w:pBdr>
        <w:bottom w:val="single" w:color="auto" w:sz="6" w:space="1"/>
      </w:pBdr>
      <w:tabs>
        <w:tab w:val="center" w:pos="4153"/>
        <w:tab w:val="right" w:pos="8306"/>
      </w:tabs>
      <w:snapToGrid w:val="0"/>
      <w:jc w:val="center"/>
    </w:pPr>
    <w:rPr>
      <w:rFonts w:ascii="Times New Roman"/>
      <w:kern w:val="0"/>
      <w:sz w:val="18"/>
      <w:szCs w:val="18"/>
    </w:rPr>
  </w:style>
  <w:style w:type="paragraph" w:styleId="24">
    <w:name w:val="toc 4"/>
    <w:basedOn w:val="1"/>
    <w:next w:val="1"/>
    <w:qFormat/>
    <w:uiPriority w:val="0"/>
    <w:rPr>
      <w:rFonts w:ascii="Calibri" w:hAnsi="Calibri" w:eastAsia="宋体" w:cs="Times New Roman"/>
      <w:kern w:val="2"/>
      <w:sz w:val="20"/>
      <w:szCs w:val="24"/>
      <w:lang w:val="en-US" w:eastAsia="zh-CN" w:bidi="ar-SA"/>
    </w:rPr>
  </w:style>
  <w:style w:type="paragraph" w:styleId="25">
    <w:name w:val="List Number 5"/>
    <w:basedOn w:val="1"/>
    <w:qFormat/>
    <w:uiPriority w:val="0"/>
    <w:pPr>
      <w:numPr>
        <w:ilvl w:val="0"/>
        <w:numId w:val="1"/>
      </w:numPr>
    </w:pPr>
  </w:style>
  <w:style w:type="paragraph" w:styleId="26">
    <w:name w:val="List"/>
    <w:basedOn w:val="1"/>
    <w:qFormat/>
    <w:uiPriority w:val="0"/>
    <w:pPr>
      <w:ind w:left="200" w:hanging="200" w:hangingChars="200"/>
    </w:pPr>
  </w:style>
  <w:style w:type="paragraph" w:styleId="27">
    <w:name w:val="Body Text Indent 3"/>
    <w:basedOn w:val="1"/>
    <w:qFormat/>
    <w:uiPriority w:val="0"/>
    <w:pPr>
      <w:spacing w:line="480" w:lineRule="exact"/>
      <w:ind w:firstLine="720" w:firstLineChars="300"/>
    </w:pPr>
    <w:rPr>
      <w:rFonts w:ascii="Times New Roman"/>
      <w:sz w:val="24"/>
      <w:szCs w:val="24"/>
    </w:rPr>
  </w:style>
  <w:style w:type="paragraph" w:styleId="2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9">
    <w:name w:val="Normal (Web)"/>
    <w:basedOn w:val="1"/>
    <w:link w:val="52"/>
    <w:qFormat/>
    <w:uiPriority w:val="0"/>
    <w:pPr>
      <w:widowControl/>
      <w:spacing w:before="100" w:beforeAutospacing="1" w:after="100" w:afterAutospacing="1"/>
      <w:jc w:val="left"/>
    </w:pPr>
    <w:rPr>
      <w:rFonts w:hAnsi="宋体"/>
      <w:kern w:val="0"/>
      <w:sz w:val="24"/>
      <w:szCs w:val="20"/>
    </w:rPr>
  </w:style>
  <w:style w:type="paragraph" w:styleId="30">
    <w:name w:val="annotation subject"/>
    <w:basedOn w:val="11"/>
    <w:next w:val="11"/>
    <w:link w:val="53"/>
    <w:semiHidden/>
    <w:qFormat/>
    <w:uiPriority w:val="0"/>
    <w:rPr>
      <w:b/>
      <w:bCs/>
      <w:kern w:val="2"/>
      <w:sz w:val="20"/>
      <w:szCs w:val="24"/>
    </w:rPr>
  </w:style>
  <w:style w:type="paragraph" w:styleId="31">
    <w:name w:val="Body Text First Indent 2"/>
    <w:basedOn w:val="14"/>
    <w:next w:val="1"/>
    <w:qFormat/>
    <w:uiPriority w:val="0"/>
    <w:pPr>
      <w:keepNext w:val="0"/>
      <w:keepLines w:val="0"/>
      <w:widowControl w:val="0"/>
      <w:suppressLineNumbers w:val="0"/>
      <w:spacing w:before="0" w:beforeAutospacing="0" w:after="120" w:afterAutospacing="0" w:line="360" w:lineRule="auto"/>
      <w:ind w:left="420" w:leftChars="200" w:right="0" w:firstLine="420" w:firstLineChars="200"/>
      <w:jc w:val="both"/>
    </w:pPr>
    <w:rPr>
      <w:rFonts w:ascii="宋体" w:hAnsi="Calibri"/>
      <w:sz w:val="25"/>
      <w:szCs w:val="24"/>
    </w:rPr>
  </w:style>
  <w:style w:type="table" w:styleId="33">
    <w:name w:val="Table Grid"/>
    <w:basedOn w:val="3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page number"/>
    <w:qFormat/>
    <w:uiPriority w:val="0"/>
  </w:style>
  <w:style w:type="character" w:styleId="36">
    <w:name w:val="Emphasis"/>
    <w:qFormat/>
    <w:uiPriority w:val="0"/>
    <w:rPr>
      <w:rFonts w:eastAsia="黑体"/>
      <w:iCs/>
      <w:sz w:val="21"/>
    </w:rPr>
  </w:style>
  <w:style w:type="character" w:styleId="37">
    <w:name w:val="Hyperlink"/>
    <w:qFormat/>
    <w:uiPriority w:val="99"/>
    <w:rPr>
      <w:color w:val="0000FF"/>
      <w:u w:val="single"/>
    </w:rPr>
  </w:style>
  <w:style w:type="character" w:styleId="38">
    <w:name w:val="annotation reference"/>
    <w:semiHidden/>
    <w:qFormat/>
    <w:uiPriority w:val="0"/>
    <w:rPr>
      <w:sz w:val="21"/>
    </w:rPr>
  </w:style>
  <w:style w:type="paragraph" w:customStyle="1" w:styleId="39">
    <w:name w:val="A-表格文字"/>
    <w:basedOn w:val="1"/>
    <w:next w:val="1"/>
    <w:qFormat/>
    <w:uiPriority w:val="0"/>
    <w:pPr>
      <w:autoSpaceDE w:val="0"/>
      <w:autoSpaceDN w:val="0"/>
      <w:adjustRightInd w:val="0"/>
      <w:jc w:val="center"/>
      <w:textAlignment w:val="center"/>
    </w:pPr>
    <w:rPr>
      <w:rFonts w:ascii="Times New Roman" w:hAnsi="Times New Roman"/>
      <w:kern w:val="0"/>
      <w:szCs w:val="21"/>
    </w:rPr>
  </w:style>
  <w:style w:type="paragraph" w:customStyle="1" w:styleId="40">
    <w:name w:val="Char Char Char Char Char Char Char Char Char1 Char"/>
    <w:basedOn w:val="1"/>
    <w:next w:val="41"/>
    <w:qFormat/>
    <w:uiPriority w:val="0"/>
    <w:pPr>
      <w:spacing w:line="360" w:lineRule="auto"/>
      <w:ind w:firstLine="200" w:firstLineChars="200"/>
    </w:pPr>
    <w:rPr>
      <w:rFonts w:hAnsi="宋体" w:cs="宋体"/>
      <w:spacing w:val="0"/>
      <w:sz w:val="24"/>
      <w:szCs w:val="24"/>
    </w:rPr>
  </w:style>
  <w:style w:type="paragraph" w:customStyle="1" w:styleId="41">
    <w:name w:val="Body Text First Indent"/>
    <w:basedOn w:val="12"/>
    <w:next w:val="1"/>
    <w:qFormat/>
    <w:uiPriority w:val="0"/>
    <w:pPr>
      <w:widowControl w:val="0"/>
      <w:spacing w:after="120"/>
      <w:ind w:firstLine="420"/>
      <w:jc w:val="both"/>
    </w:pPr>
    <w:rPr>
      <w:sz w:val="21"/>
      <w:szCs w:val="22"/>
      <w:lang w:val="en-US" w:eastAsia="zh-CN" w:bidi="ar-SA"/>
    </w:rPr>
  </w:style>
  <w:style w:type="paragraph" w:customStyle="1" w:styleId="42">
    <w:name w:val="Body Text First Indent1"/>
    <w:basedOn w:val="12"/>
    <w:next w:val="1"/>
    <w:qFormat/>
    <w:uiPriority w:val="0"/>
    <w:pPr>
      <w:widowControl w:val="0"/>
      <w:spacing w:after="120"/>
      <w:ind w:firstLine="420"/>
      <w:jc w:val="both"/>
    </w:pPr>
    <w:rPr>
      <w:sz w:val="21"/>
      <w:szCs w:val="22"/>
      <w:lang w:val="en-US" w:eastAsia="zh-CN" w:bidi="ar-SA"/>
    </w:rPr>
  </w:style>
  <w:style w:type="character" w:customStyle="1" w:styleId="43">
    <w:name w:val="标题 2 Char"/>
    <w:link w:val="5"/>
    <w:qFormat/>
    <w:uiPriority w:val="0"/>
    <w:rPr>
      <w:b/>
      <w:bCs/>
      <w:kern w:val="2"/>
      <w:sz w:val="24"/>
      <w:szCs w:val="32"/>
    </w:rPr>
  </w:style>
  <w:style w:type="character" w:customStyle="1" w:styleId="44">
    <w:name w:val="正文文本 Char"/>
    <w:link w:val="12"/>
    <w:qFormat/>
    <w:uiPriority w:val="0"/>
    <w:rPr>
      <w:sz w:val="18"/>
    </w:rPr>
  </w:style>
  <w:style w:type="character" w:customStyle="1" w:styleId="45">
    <w:name w:val="文档结构图 Char"/>
    <w:basedOn w:val="34"/>
    <w:link w:val="10"/>
    <w:qFormat/>
    <w:uiPriority w:val="0"/>
    <w:rPr>
      <w:rFonts w:ascii="宋体"/>
      <w:kern w:val="2"/>
      <w:sz w:val="18"/>
      <w:szCs w:val="18"/>
    </w:rPr>
  </w:style>
  <w:style w:type="character" w:customStyle="1" w:styleId="46">
    <w:name w:val="批注文字 Char"/>
    <w:link w:val="11"/>
    <w:qFormat/>
    <w:uiPriority w:val="0"/>
    <w:rPr>
      <w:rFonts w:ascii="Times New Roman" w:hAnsi="Times New Roman" w:eastAsia="宋体"/>
      <w:sz w:val="24"/>
    </w:rPr>
  </w:style>
  <w:style w:type="character" w:customStyle="1" w:styleId="47">
    <w:name w:val="正文文本缩进 Char"/>
    <w:link w:val="14"/>
    <w:semiHidden/>
    <w:qFormat/>
    <w:uiPriority w:val="0"/>
    <w:rPr>
      <w:rFonts w:ascii="Times New Roman" w:hAnsi="Times New Roman" w:eastAsia="宋体" w:cs="Times New Roman"/>
      <w:sz w:val="24"/>
      <w:szCs w:val="24"/>
    </w:rPr>
  </w:style>
  <w:style w:type="character" w:customStyle="1" w:styleId="48">
    <w:name w:val="日期 Char"/>
    <w:link w:val="20"/>
    <w:qFormat/>
    <w:uiPriority w:val="0"/>
    <w:rPr>
      <w:rFonts w:ascii="Times New Roman" w:hAnsi="Times New Roman" w:eastAsia="宋体"/>
      <w:sz w:val="24"/>
    </w:rPr>
  </w:style>
  <w:style w:type="character" w:customStyle="1" w:styleId="49">
    <w:name w:val="批注框文本 Char"/>
    <w:link w:val="21"/>
    <w:semiHidden/>
    <w:qFormat/>
    <w:uiPriority w:val="0"/>
    <w:rPr>
      <w:rFonts w:ascii="Times New Roman" w:hAnsi="Times New Roman" w:eastAsia="宋体" w:cs="Times New Roman"/>
      <w:sz w:val="18"/>
      <w:szCs w:val="18"/>
    </w:rPr>
  </w:style>
  <w:style w:type="character" w:customStyle="1" w:styleId="50">
    <w:name w:val="页脚 Char"/>
    <w:link w:val="22"/>
    <w:qFormat/>
    <w:uiPriority w:val="99"/>
    <w:rPr>
      <w:rFonts w:cs="Times New Roman"/>
      <w:sz w:val="18"/>
      <w:szCs w:val="18"/>
    </w:rPr>
  </w:style>
  <w:style w:type="character" w:customStyle="1" w:styleId="51">
    <w:name w:val="页眉 Char"/>
    <w:link w:val="23"/>
    <w:qFormat/>
    <w:uiPriority w:val="0"/>
    <w:rPr>
      <w:rFonts w:cs="Times New Roman"/>
      <w:sz w:val="18"/>
      <w:szCs w:val="18"/>
    </w:rPr>
  </w:style>
  <w:style w:type="character" w:customStyle="1" w:styleId="52">
    <w:name w:val="普通(网站) Char1"/>
    <w:link w:val="29"/>
    <w:qFormat/>
    <w:uiPriority w:val="0"/>
    <w:rPr>
      <w:rFonts w:ascii="宋体" w:hAnsi="宋体" w:eastAsia="宋体"/>
      <w:sz w:val="24"/>
    </w:rPr>
  </w:style>
  <w:style w:type="character" w:customStyle="1" w:styleId="53">
    <w:name w:val="批注主题 Char"/>
    <w:link w:val="30"/>
    <w:semiHidden/>
    <w:qFormat/>
    <w:uiPriority w:val="0"/>
    <w:rPr>
      <w:rFonts w:cs="Times New Roman"/>
      <w:b/>
      <w:bCs/>
      <w:kern w:val="2"/>
      <w:szCs w:val="24"/>
    </w:rPr>
  </w:style>
  <w:style w:type="character" w:customStyle="1" w:styleId="54">
    <w:name w:val="日期 字符"/>
    <w:semiHidden/>
    <w:qFormat/>
    <w:uiPriority w:val="0"/>
    <w:rPr>
      <w:rFonts w:ascii="Times New Roman" w:hAnsi="Times New Roman" w:eastAsia="宋体" w:cs="Times New Roman"/>
      <w:sz w:val="24"/>
      <w:szCs w:val="24"/>
    </w:rPr>
  </w:style>
  <w:style w:type="character" w:customStyle="1" w:styleId="55">
    <w:name w:val="正文文本 字符1"/>
    <w:semiHidden/>
    <w:qFormat/>
    <w:uiPriority w:val="0"/>
    <w:rPr>
      <w:rFonts w:ascii="Times New Roman" w:hAnsi="Times New Roman" w:eastAsia="宋体" w:cs="Times New Roman"/>
      <w:sz w:val="24"/>
      <w:szCs w:val="24"/>
    </w:rPr>
  </w:style>
  <w:style w:type="paragraph" w:customStyle="1" w:styleId="56">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7">
    <w:name w:val="表格 Char"/>
    <w:link w:val="58"/>
    <w:qFormat/>
    <w:uiPriority w:val="0"/>
    <w:rPr>
      <w:rFonts w:ascii="宋体"/>
      <w:sz w:val="21"/>
    </w:rPr>
  </w:style>
  <w:style w:type="paragraph" w:customStyle="1" w:styleId="58">
    <w:name w:val="表格"/>
    <w:basedOn w:val="59"/>
    <w:next w:val="1"/>
    <w:link w:val="57"/>
    <w:qFormat/>
    <w:uiPriority w:val="0"/>
    <w:pPr>
      <w:adjustRightInd w:val="0"/>
      <w:snapToGrid w:val="0"/>
      <w:spacing w:beforeLines="10" w:afterLines="10" w:line="259" w:lineRule="auto"/>
      <w:jc w:val="center"/>
    </w:pPr>
    <w:rPr>
      <w:kern w:val="0"/>
      <w:szCs w:val="20"/>
    </w:rPr>
  </w:style>
  <w:style w:type="paragraph" w:customStyle="1" w:styleId="59">
    <w:name w:val="图片"/>
    <w:basedOn w:val="1"/>
    <w:qFormat/>
    <w:uiPriority w:val="0"/>
    <w:pPr>
      <w:spacing w:before="50" w:beforeLines="50"/>
      <w:jc w:val="center"/>
    </w:pPr>
    <w:rPr>
      <w:rFonts w:eastAsia="楷体"/>
      <w:szCs w:val="22"/>
    </w:rPr>
  </w:style>
  <w:style w:type="character" w:customStyle="1" w:styleId="60">
    <w:name w:val="批注文字 字符1"/>
    <w:semiHidden/>
    <w:qFormat/>
    <w:uiPriority w:val="0"/>
    <w:rPr>
      <w:rFonts w:ascii="Times New Roman" w:hAnsi="Times New Roman" w:eastAsia="宋体" w:cs="Times New Roman"/>
      <w:sz w:val="24"/>
      <w:szCs w:val="24"/>
    </w:rPr>
  </w:style>
  <w:style w:type="character" w:customStyle="1" w:styleId="61">
    <w:name w:val="普通(网站) Char"/>
    <w:qFormat/>
    <w:uiPriority w:val="0"/>
    <w:rPr>
      <w:rFonts w:ascii="宋体" w:hAnsi="宋体" w:eastAsia="宋体"/>
      <w:sz w:val="24"/>
    </w:rPr>
  </w:style>
  <w:style w:type="paragraph" w:customStyle="1" w:styleId="62">
    <w:name w:val="文本"/>
    <w:basedOn w:val="14"/>
    <w:qFormat/>
    <w:uiPriority w:val="0"/>
    <w:pPr>
      <w:adjustRightInd w:val="0"/>
      <w:snapToGrid w:val="0"/>
      <w:spacing w:line="520" w:lineRule="exact"/>
      <w:ind w:firstLine="200" w:firstLineChars="200"/>
    </w:pPr>
    <w:rPr>
      <w:rFonts w:ascii="宋体" w:eastAsia="仿宋_GB2312"/>
      <w:sz w:val="24"/>
      <w:szCs w:val="24"/>
    </w:rPr>
  </w:style>
  <w:style w:type="paragraph" w:customStyle="1" w:styleId="63">
    <w:name w:val="图格式"/>
    <w:basedOn w:val="62"/>
    <w:qFormat/>
    <w:uiPriority w:val="0"/>
    <w:pPr>
      <w:spacing w:line="240" w:lineRule="auto"/>
      <w:ind w:firstLine="0" w:firstLineChars="0"/>
      <w:jc w:val="center"/>
    </w:pPr>
    <w:rPr>
      <w:rFonts w:hAnsi="宋体"/>
    </w:rPr>
  </w:style>
  <w:style w:type="paragraph" w:customStyle="1" w:styleId="64">
    <w:name w:val="图表名称1"/>
    <w:basedOn w:val="65"/>
    <w:qFormat/>
    <w:uiPriority w:val="0"/>
    <w:pPr>
      <w:adjustRightInd w:val="0"/>
      <w:snapToGrid w:val="0"/>
      <w:spacing w:line="520" w:lineRule="exact"/>
      <w:jc w:val="center"/>
    </w:pPr>
    <w:rPr>
      <w:rFonts w:ascii="宋体" w:hAnsi="宋体" w:cs="宋体"/>
      <w:bCs/>
      <w:kern w:val="21"/>
      <w:sz w:val="24"/>
    </w:rPr>
  </w:style>
  <w:style w:type="paragraph" w:customStyle="1" w:styleId="65">
    <w:name w:val="图标名称"/>
    <w:basedOn w:val="66"/>
    <w:qFormat/>
    <w:uiPriority w:val="0"/>
    <w:pPr>
      <w:adjustRightInd w:val="0"/>
      <w:spacing w:line="520" w:lineRule="exact"/>
      <w:ind w:firstLine="200" w:firstLineChars="200"/>
    </w:pPr>
    <w:rPr>
      <w:rFonts w:ascii="宋体" w:hAnsi="宋体"/>
      <w:b/>
      <w:sz w:val="24"/>
    </w:rPr>
  </w:style>
  <w:style w:type="paragraph" w:customStyle="1" w:styleId="66">
    <w:name w:val="正文1"/>
    <w:basedOn w:val="1"/>
    <w:qFormat/>
    <w:uiPriority w:val="0"/>
    <w:pPr>
      <w:adjustRightInd w:val="0"/>
      <w:snapToGrid w:val="0"/>
      <w:spacing w:line="500" w:lineRule="atLeast"/>
      <w:ind w:firstLine="567"/>
    </w:pPr>
    <w:rPr>
      <w:sz w:val="28"/>
    </w:rPr>
  </w:style>
  <w:style w:type="paragraph" w:customStyle="1" w:styleId="67">
    <w:name w:val="表内文字"/>
    <w:basedOn w:val="68"/>
    <w:qFormat/>
    <w:uiPriority w:val="0"/>
    <w:pPr>
      <w:adjustRightInd w:val="0"/>
      <w:jc w:val="center"/>
    </w:pPr>
    <w:rPr>
      <w:rFonts w:ascii="宋体" w:cs="宋体"/>
      <w:szCs w:val="24"/>
    </w:rPr>
  </w:style>
  <w:style w:type="paragraph" w:customStyle="1" w:styleId="68">
    <w:name w:val="表内"/>
    <w:basedOn w:val="15"/>
    <w:qFormat/>
    <w:uiPriority w:val="0"/>
    <w:pPr>
      <w:widowControl/>
      <w:spacing w:beforeLines="0" w:line="240" w:lineRule="auto"/>
      <w:ind w:left="0" w:leftChars="0" w:firstLine="0" w:firstLineChars="0"/>
      <w:jc w:val="center"/>
    </w:pPr>
    <w:rPr>
      <w:rFonts w:ascii="宋体"/>
      <w:bCs/>
      <w:color w:val="000000"/>
      <w:szCs w:val="21"/>
    </w:rPr>
  </w:style>
  <w:style w:type="paragraph" w:customStyle="1" w:styleId="69">
    <w:name w:val="正文(首缩进)"/>
    <w:basedOn w:val="1"/>
    <w:qFormat/>
    <w:uiPriority w:val="0"/>
    <w:pPr>
      <w:spacing w:before="78" w:beforeLines="25" w:after="78" w:afterLines="25" w:line="420" w:lineRule="auto"/>
      <w:ind w:firstLine="200" w:firstLineChars="200"/>
    </w:pPr>
    <w:rPr>
      <w:rFonts w:ascii="Times New Roman"/>
      <w:sz w:val="28"/>
    </w:rPr>
  </w:style>
  <w:style w:type="paragraph" w:customStyle="1" w:styleId="70">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71">
    <w:name w:val="样式 居中"/>
    <w:basedOn w:val="66"/>
    <w:qFormat/>
    <w:uiPriority w:val="0"/>
    <w:pPr>
      <w:adjustRightInd w:val="0"/>
      <w:snapToGrid w:val="0"/>
      <w:ind w:left="-9" w:leftChars="-12" w:hanging="16"/>
      <w:jc w:val="center"/>
    </w:pPr>
    <w:rPr>
      <w:rFonts w:ascii="宋体" w:hAnsi="宋体" w:cs="宋体"/>
      <w:szCs w:val="21"/>
    </w:rPr>
  </w:style>
  <w:style w:type="paragraph" w:customStyle="1" w:styleId="72">
    <w:name w:val="正文(首行缩进)"/>
    <w:basedOn w:val="1"/>
    <w:next w:val="1"/>
    <w:qFormat/>
    <w:uiPriority w:val="0"/>
    <w:pPr>
      <w:tabs>
        <w:tab w:val="left" w:pos="4584"/>
      </w:tabs>
      <w:spacing w:line="420" w:lineRule="exact"/>
      <w:ind w:firstLine="480" w:firstLineChars="200"/>
      <w:jc w:val="left"/>
    </w:pPr>
    <w:rPr>
      <w:color w:val="000000"/>
      <w:kern w:val="0"/>
      <w:sz w:val="24"/>
      <w:szCs w:val="24"/>
    </w:rPr>
  </w:style>
  <w:style w:type="paragraph" w:customStyle="1" w:styleId="73">
    <w:name w:val="样式 表内容 + 行距: 固定值 28 磅"/>
    <w:basedOn w:val="74"/>
    <w:qFormat/>
    <w:uiPriority w:val="0"/>
    <w:pPr>
      <w:spacing w:line="240" w:lineRule="auto"/>
    </w:pPr>
    <w:rPr>
      <w:rFonts w:cs="宋体"/>
      <w:szCs w:val="20"/>
    </w:rPr>
  </w:style>
  <w:style w:type="paragraph" w:customStyle="1" w:styleId="74">
    <w:name w:val="表内容"/>
    <w:basedOn w:val="1"/>
    <w:next w:val="1"/>
    <w:qFormat/>
    <w:uiPriority w:val="0"/>
    <w:pPr>
      <w:jc w:val="center"/>
    </w:pPr>
    <w:rPr>
      <w:rFonts w:ascii="宋体" w:hAnsi="宋体" w:eastAsia="宋体"/>
      <w:kern w:val="2"/>
      <w:sz w:val="21"/>
      <w:lang w:val="en-US" w:eastAsia="zh-CN" w:bidi="ar-SA"/>
    </w:rPr>
  </w:style>
  <w:style w:type="paragraph" w:styleId="75">
    <w:name w:val="List Paragraph"/>
    <w:basedOn w:val="1"/>
    <w:qFormat/>
    <w:uiPriority w:val="34"/>
    <w:pPr>
      <w:ind w:firstLine="420" w:firstLineChars="200"/>
    </w:pPr>
  </w:style>
  <w:style w:type="paragraph" w:customStyle="1" w:styleId="76">
    <w:name w:val="2"/>
    <w:basedOn w:val="1"/>
    <w:next w:val="27"/>
    <w:qFormat/>
    <w:uiPriority w:val="0"/>
    <w:pPr>
      <w:ind w:firstLine="527" w:firstLineChars="200"/>
    </w:pPr>
    <w:rPr>
      <w:spacing w:val="5"/>
    </w:rPr>
  </w:style>
  <w:style w:type="paragraph" w:customStyle="1" w:styleId="77">
    <w:name w:val="正文格式"/>
    <w:qFormat/>
    <w:uiPriority w:val="0"/>
    <w:pPr>
      <w:adjustRightInd w:val="0"/>
      <w:snapToGrid w:val="0"/>
      <w:spacing w:line="500" w:lineRule="exact"/>
      <w:ind w:firstLine="200" w:firstLineChars="200"/>
      <w:jc w:val="left"/>
      <w:textAlignment w:val="baseline"/>
    </w:pPr>
    <w:rPr>
      <w:rFonts w:ascii="Times New Roman" w:hAnsi="Times New Roman" w:eastAsia="华文中宋" w:cs="Times New Roman"/>
      <w:kern w:val="0"/>
      <w:sz w:val="24"/>
    </w:rPr>
  </w:style>
  <w:style w:type="paragraph" w:customStyle="1" w:styleId="78">
    <w:name w:val="_正文格式"/>
    <w:basedOn w:val="1"/>
    <w:qFormat/>
    <w:uiPriority w:val="0"/>
    <w:pPr>
      <w:spacing w:line="500" w:lineRule="exact"/>
      <w:ind w:firstLine="567"/>
      <w:jc w:val="left"/>
    </w:pPr>
    <w:rPr>
      <w:rFonts w:ascii="Times New Roman" w:hAnsi="Times New Roman"/>
      <w:sz w:val="24"/>
      <w:szCs w:val="24"/>
    </w:rPr>
  </w:style>
  <w:style w:type="paragraph" w:customStyle="1" w:styleId="79">
    <w:name w:val="表格内容"/>
    <w:basedOn w:val="80"/>
    <w:qFormat/>
    <w:uiPriority w:val="0"/>
    <w:pPr>
      <w:adjustRightInd w:val="0"/>
      <w:snapToGrid w:val="0"/>
      <w:jc w:val="center"/>
    </w:pPr>
    <w:rPr>
      <w:kern w:val="0"/>
      <w:szCs w:val="21"/>
    </w:rPr>
  </w:style>
  <w:style w:type="paragraph" w:customStyle="1" w:styleId="80">
    <w:name w:val="WW-正文缩进"/>
    <w:basedOn w:val="1"/>
    <w:semiHidden/>
    <w:qFormat/>
    <w:uiPriority w:val="0"/>
    <w:pPr>
      <w:spacing w:line="360" w:lineRule="auto"/>
      <w:ind w:firstLine="420"/>
    </w:pPr>
    <w:rPr>
      <w:sz w:val="28"/>
      <w:szCs w:val="20"/>
    </w:rPr>
  </w:style>
  <w:style w:type="paragraph" w:customStyle="1" w:styleId="81">
    <w:name w:val="正文11"/>
    <w:basedOn w:val="1"/>
    <w:qFormat/>
    <w:uiPriority w:val="0"/>
    <w:pPr>
      <w:spacing w:line="360" w:lineRule="auto"/>
      <w:ind w:firstLine="200" w:firstLineChars="200"/>
    </w:pPr>
    <w:rPr>
      <w:sz w:val="24"/>
      <w:szCs w:val="24"/>
    </w:rPr>
  </w:style>
  <w:style w:type="table" w:customStyle="1" w:styleId="82">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83">
    <w:name w:val="Table Text"/>
    <w:basedOn w:val="1"/>
    <w:semiHidden/>
    <w:qFormat/>
    <w:uiPriority w:val="0"/>
    <w:rPr>
      <w:rFonts w:ascii="宋体" w:hAnsi="宋体" w:eastAsia="宋体" w:cs="宋体"/>
      <w:sz w:val="20"/>
      <w:szCs w:val="20"/>
      <w:lang w:val="en-US" w:eastAsia="en-US" w:bidi="ar-SA"/>
    </w:rPr>
  </w:style>
  <w:style w:type="paragraph" w:customStyle="1" w:styleId="84">
    <w:name w:val="表格仔"/>
    <w:basedOn w:val="1"/>
    <w:next w:val="1"/>
    <w:qFormat/>
    <w:uiPriority w:val="99"/>
    <w:pPr>
      <w:spacing w:line="240" w:lineRule="auto"/>
      <w:ind w:firstLine="0" w:firstLineChars="0"/>
      <w:jc w:val="center"/>
    </w:pPr>
    <w:rPr>
      <w:sz w:val="21"/>
    </w:rPr>
  </w:style>
  <w:style w:type="paragraph" w:customStyle="1" w:styleId="85">
    <w:name w:val="List Paragraph1"/>
    <w:basedOn w:val="1"/>
    <w:semiHidden/>
    <w:qFormat/>
    <w:uiPriority w:val="0"/>
    <w:pPr>
      <w:ind w:firstLine="420"/>
    </w:pPr>
    <w:rPr>
      <w:rFonts w:ascii="Calibri" w:hAnsi="Calibri" w:cs="Times New Roman"/>
      <w:szCs w:val="28"/>
      <w:lang w:bidi="ar-SA"/>
    </w:rPr>
  </w:style>
  <w:style w:type="paragraph" w:customStyle="1" w:styleId="86">
    <w:name w:val="表内容       .."/>
    <w:basedOn w:val="1"/>
    <w:qFormat/>
    <w:uiPriority w:val="0"/>
    <w:pPr>
      <w:adjustRightInd w:val="0"/>
      <w:snapToGrid w:val="0"/>
      <w:spacing w:line="280" w:lineRule="exact"/>
      <w:ind w:firstLine="0" w:firstLineChars="0"/>
      <w:jc w:val="center"/>
      <w:textAlignment w:val="baseline"/>
    </w:pPr>
    <w:rPr>
      <w:szCs w:val="18"/>
    </w:rPr>
  </w:style>
  <w:style w:type="paragraph" w:customStyle="1" w:styleId="87">
    <w:name w:val="表头"/>
    <w:next w:val="1"/>
    <w:qFormat/>
    <w:uiPriority w:val="0"/>
    <w:pPr>
      <w:tabs>
        <w:tab w:val="left" w:pos="0"/>
        <w:tab w:val="left" w:pos="5025"/>
      </w:tabs>
      <w:adjustRightInd w:val="0"/>
      <w:snapToGrid w:val="0"/>
      <w:spacing w:line="360" w:lineRule="auto"/>
      <w:ind w:firstLine="560" w:firstLineChars="200"/>
    </w:pPr>
    <w:rPr>
      <w:rFonts w:ascii="Times New Roman" w:hAnsi="宋体" w:eastAsia="宋体" w:cs="Times New Roman"/>
      <w:color w:val="000000"/>
    </w:rPr>
  </w:style>
  <w:style w:type="character" w:customStyle="1" w:styleId="88">
    <w:name w:val="font21"/>
    <w:basedOn w:val="34"/>
    <w:qFormat/>
    <w:uiPriority w:val="0"/>
    <w:rPr>
      <w:rFonts w:hint="default" w:ascii="Times New Roman" w:hAnsi="Times New Roman" w:cs="Times New Roman"/>
      <w:color w:val="000000"/>
      <w:sz w:val="21"/>
      <w:szCs w:val="21"/>
      <w:u w:val="none"/>
    </w:rPr>
  </w:style>
  <w:style w:type="character" w:customStyle="1" w:styleId="89">
    <w:name w:val="font31"/>
    <w:basedOn w:val="34"/>
    <w:qFormat/>
    <w:uiPriority w:val="0"/>
    <w:rPr>
      <w:rFonts w:hint="default" w:ascii="Times New Roman" w:hAnsi="Times New Roman" w:cs="Times New Roman"/>
      <w:color w:val="000000"/>
      <w:sz w:val="21"/>
      <w:szCs w:val="21"/>
      <w:u w:val="none"/>
      <w:vertAlign w:val="superscript"/>
    </w:rPr>
  </w:style>
  <w:style w:type="character" w:customStyle="1" w:styleId="90">
    <w:name w:val="font41"/>
    <w:qFormat/>
    <w:uiPriority w:val="0"/>
    <w:rPr>
      <w:rFonts w:hint="default" w:ascii="Times New Roman" w:hAnsi="Times New Roman" w:cs="Times New Roman"/>
      <w:color w:val="000000"/>
      <w:sz w:val="21"/>
      <w:szCs w:val="21"/>
      <w:u w:val="none"/>
    </w:rPr>
  </w:style>
  <w:style w:type="paragraph" w:customStyle="1" w:styleId="91">
    <w:name w:val="00.正文格式"/>
    <w:basedOn w:val="8"/>
    <w:qFormat/>
    <w:uiPriority w:val="0"/>
    <w:pPr>
      <w:widowControl/>
      <w:spacing w:line="360" w:lineRule="auto"/>
      <w:ind w:firstLine="200"/>
      <w:jc w:val="left"/>
    </w:pPr>
    <w:rPr>
      <w:rFonts w:hAnsi="宋体"/>
      <w:color w:val="000000"/>
      <w:kern w:val="0"/>
      <w:sz w:val="24"/>
      <w:szCs w:val="24"/>
    </w:rPr>
  </w:style>
  <w:style w:type="character" w:customStyle="1" w:styleId="92">
    <w:name w:val="font11"/>
    <w:basedOn w:val="34"/>
    <w:qFormat/>
    <w:uiPriority w:val="0"/>
    <w:rPr>
      <w:rFonts w:hint="eastAsia" w:ascii="宋体" w:hAnsi="宋体" w:eastAsia="宋体" w:cs="宋体"/>
      <w:color w:val="FF0000"/>
      <w:sz w:val="21"/>
      <w:szCs w:val="21"/>
      <w:u w:val="none"/>
    </w:rPr>
  </w:style>
  <w:style w:type="paragraph" w:customStyle="1" w:styleId="93">
    <w:name w:val="正文_9"/>
    <w:qFormat/>
    <w:uiPriority w:val="0"/>
    <w:pPr>
      <w:widowControl w:val="0"/>
      <w:jc w:val="both"/>
    </w:pPr>
    <w:rPr>
      <w:rFonts w:ascii="Calibri" w:hAnsi="Calibri" w:eastAsia="宋体" w:cs="Times New Roman"/>
      <w:kern w:val="2"/>
      <w:sz w:val="21"/>
      <w:lang w:val="en-US" w:eastAsia="zh-CN" w:bidi="ar-SA"/>
    </w:rPr>
  </w:style>
  <w:style w:type="paragraph" w:customStyle="1" w:styleId="94">
    <w:name w:val="AA-正文"/>
    <w:basedOn w:val="1"/>
    <w:qFormat/>
    <w:uiPriority w:val="0"/>
    <w:pPr>
      <w:widowControl/>
      <w:snapToGrid w:val="0"/>
      <w:spacing w:line="440" w:lineRule="exact"/>
      <w:ind w:firstLine="420" w:firstLineChars="200"/>
    </w:pPr>
    <w:rPr>
      <w:rFonts w:ascii="Times New Roman" w:hAnsi="Times New Roman" w:eastAsia="宋体" w:cs="Times New Roman"/>
      <w:bCs/>
      <w:kern w:val="0"/>
      <w:sz w:val="24"/>
    </w:rPr>
  </w:style>
  <w:style w:type="paragraph" w:customStyle="1" w:styleId="95">
    <w:name w:val="报告正文"/>
    <w:basedOn w:val="1"/>
    <w:qFormat/>
    <w:uiPriority w:val="0"/>
    <w:pPr>
      <w:spacing w:line="360" w:lineRule="auto"/>
    </w:pPr>
    <w:rPr>
      <w:rFonts w:eastAsia="Times New Roman"/>
      <w:sz w:val="24"/>
      <w:szCs w:val="20"/>
    </w:rPr>
  </w:style>
  <w:style w:type="character" w:customStyle="1" w:styleId="96">
    <w:name w:val="16"/>
    <w:basedOn w:val="34"/>
    <w:qFormat/>
    <w:uiPriority w:val="0"/>
    <w:rPr>
      <w:rFonts w:hint="default" w:ascii="Times New Roman" w:hAnsi="Times New Roman" w:cs="Times New Roman"/>
      <w:color w:val="000000"/>
      <w:sz w:val="21"/>
      <w:szCs w:val="21"/>
      <w:vertAlign w:val="superscript"/>
    </w:rPr>
  </w:style>
  <w:style w:type="character" w:customStyle="1" w:styleId="97">
    <w:name w:val="17"/>
    <w:basedOn w:val="34"/>
    <w:qFormat/>
    <w:uiPriority w:val="0"/>
    <w:rPr>
      <w:rFonts w:hint="default" w:ascii="Times New Roman" w:hAnsi="Times New Roman" w:cs="Times New Roman"/>
    </w:rPr>
  </w:style>
  <w:style w:type="character" w:customStyle="1" w:styleId="98">
    <w:name w:val="15"/>
    <w:basedOn w:val="34"/>
    <w:qFormat/>
    <w:uiPriority w:val="0"/>
    <w:rPr>
      <w:rFonts w:hint="default" w:ascii="Times New Roman" w:hAnsi="Times New Roman" w:cs="Times New Roman"/>
      <w:color w:val="000000"/>
      <w:sz w:val="21"/>
      <w:szCs w:val="21"/>
    </w:rPr>
  </w:style>
  <w:style w:type="character" w:customStyle="1" w:styleId="99">
    <w:name w:val="10"/>
    <w:basedOn w:val="34"/>
    <w:qFormat/>
    <w:uiPriority w:val="0"/>
    <w:rPr>
      <w:rFonts w:hint="default" w:ascii="Times New Roman" w:hAnsi="Times New Roman" w:cs="Times New Roman"/>
    </w:rPr>
  </w:style>
  <w:style w:type="paragraph" w:customStyle="1" w:styleId="10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7.png"/><Relationship Id="rId33" Type="http://schemas.openxmlformats.org/officeDocument/2006/relationships/image" Target="media/image16.emf"/><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4.bin"/><Relationship Id="rId26" Type="http://schemas.openxmlformats.org/officeDocument/2006/relationships/image" Target="media/image10.png"/><Relationship Id="rId25" Type="http://schemas.openxmlformats.org/officeDocument/2006/relationships/image" Target="media/image9.wmf"/><Relationship Id="rId24" Type="http://schemas.openxmlformats.org/officeDocument/2006/relationships/oleObject" Target="embeddings/oleObject3.bin"/><Relationship Id="rId23" Type="http://schemas.openxmlformats.org/officeDocument/2006/relationships/image" Target="media/image8.png"/><Relationship Id="rId22" Type="http://schemas.openxmlformats.org/officeDocument/2006/relationships/image" Target="media/image7.emf"/><Relationship Id="rId21" Type="http://schemas.openxmlformats.org/officeDocument/2006/relationships/oleObject" Target="embeddings/oleObject2.bin"/><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emf"/><Relationship Id="rId17" Type="http://schemas.openxmlformats.org/officeDocument/2006/relationships/oleObject" Target="embeddings/oleObject1.bin"/><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238"/>
    <customShpInfo spid="_x0000_s2239"/>
    <customShpInfo spid="_x0000_s2237"/>
    <customShpInfo spid="_x0000_s2240"/>
    <customShpInfo spid="_x0000_s2236"/>
    <customShpInfo spid="_x0000_s2245"/>
    <customShpInfo spid="_x0000_s2246"/>
    <customShpInfo spid="_x0000_s2244"/>
  </customShpExts>
</s:customData>
</file>

<file path=customXml/item2.xml><?xml version="1.0" encoding="utf-8"?>
<contractReview xmlns="http://schemas.wps.cn/vas-ai-hub/contract-review">
  <reviewItems>
    <reviewItem>
      <errorID>24bc1107-0ba3-4997-8736-8637de9e5e5f</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64E49ADB</paraID>
      <start>0</start>
      <end>7</end>
      <status>unmodified</status>
      <modifiedWord/>
      <trackRevisions>false</trackRevisions>
    </reviewItem>
    <reviewItem>
      <errorID>22bbdff0-96d9-4f0f-b926-762a26b4bc53</errorID>
      <errorWord>国民经济与社会发展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词汇“国民经济和社会发展”在特定场景下为固定表述形式，请确认此处的“国民经济与社会发展”是否存在不当。</explain>
      <paraID>2F4E2F42</paraID>
      <start>84</start>
      <end>93</end>
      <status>unmodified</status>
      <modifiedWord/>
      <trackRevisions>false</trackRevisions>
    </reviewItem>
    <reviewItem>
      <errorID>ac392b24-ebb2-4d20-a178-cfc03fbdaf76</errorID>
      <errorWord>国民经济与社会发展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词汇“国民经济和社会发展”在特定场景下为固定表述形式，请确认此处的“国民经济与社会发展”是否存在不当。</explain>
      <paraID>2F4E2F42</paraID>
      <start>116</start>
      <end>125</end>
      <status>unmodified</status>
      <modifiedWord/>
      <trackRevisions>false</trackRevisions>
    </reviewItem>
    <reviewItem>
      <errorID>d4bf1a24-fccc-4732-93f9-c322d6842d43</errorID>
      <errorWord>法律、法规</errorWord>
      <group>L1_Word</group>
      <groupName>字词问题</groupName>
      <ability>L2_Typo</ability>
      <abilityName>字词错误</abilityName>
      <candidateList>
        <item>法律法规</item>
      </candidateList>
      <explain/>
      <paraID>3D673E39</paraID>
      <start>67</start>
      <end>72</end>
      <status>unmodified</status>
      <modifiedWord/>
      <trackRevisions>false</trackRevisions>
    </reviewItem>
    <reviewItem>
      <errorID>01538c4d-10a4-4909-8208-37168411934c</errorID>
      <errorWord>其它</errorWord>
      <group>L1_Word</group>
      <groupName>字词问题</groupName>
      <ability>L2_Alias</ability>
      <abilityName>也作/曾用词</abilityName>
      <candidateList>
        <item>其他</item>
      </candidateList>
      <explain>词汇[其它]为不规范表述或旧称，其规范书面表述为[其他]。</explain>
      <paraID>2561BE05</paraID>
      <start>4</start>
      <end>6</end>
      <status>unmodified</status>
      <modifiedWord/>
      <trackRevisions>false</trackRevisions>
    </reviewItem>
    <reviewItem>
      <errorID>2f380640-ef33-4ea6-84c3-ee120e9eac58</errorID>
      <errorWord>生态红线</errorWord>
      <group>L1_Political</group>
      <groupName>政治性问题</groupName>
      <ability>L2_Unpolitical</ability>
      <abilityName>政治敏感错误</abilityName>
      <candidateList>
        <item>生态保护红线</item>
      </candidateList>
      <explain/>
      <paraID>7C53597D</paraID>
      <start>97</start>
      <end>101</end>
      <status>unmodified</status>
      <modifiedWord/>
      <trackRevisions>false</trackRevisions>
    </reviewItem>
    <reviewItem>
      <errorID>e16efa4b-5ea9-4ffc-b4fe-cac1da206efa</errorID>
      <errorWord>物</errorWord>
      <group>L1_Word</group>
      <groupName>字词问题</groupName>
      <ability>L2_Typo</ability>
      <abilityName>字词错误</abilityName>
      <candidateList>
        <item>物品</item>
      </candidateList>
      <explain/>
      <paraID>5BBDA390</paraID>
      <start>24</start>
      <end>25</end>
      <status>unmodified</status>
      <modifiedWord/>
      <trackRevisions>false</trackRevisions>
    </reviewItem>
    <reviewItem>
      <errorID>57e707ee-7e65-4a7f-92b7-9a2c681eda66</errorID>
      <errorWord>上线</errorWord>
      <group>L1_Word</group>
      <groupName>字词问题</groupName>
      <ability>L2_Typo</ability>
      <abilityName>字词错误</abilityName>
      <candidateList>
        <item>上限</item>
      </candidateList>
      <explain/>
      <paraID>6E3295A2</paraID>
      <start>12</start>
      <end>14</end>
      <status>unmodified</status>
      <modifiedWord/>
      <trackRevisions>false</trackRevisions>
    </reviewItem>
    <reviewItem>
      <errorID>4ea274e3-ec80-46c3-b79f-e8f062cf1828</errorID>
      <errorWord>生态红线</errorWord>
      <group>L1_Political</group>
      <groupName>政治性问题</groupName>
      <ability>L2_Unpolitical</ability>
      <abilityName>政治敏感错误</abilityName>
      <candidateList>
        <item>生态保护红线</item>
      </candidateList>
      <explain/>
      <paraID>1FC36F91</paraID>
      <start>6</start>
      <end>10</end>
      <status>unmodified</status>
      <modifiedWord/>
      <trackRevisions>false</trackRevisions>
    </reviewItem>
    <reviewItem>
      <errorID>c6390fcf-3eb6-4fc3-bfab-f7f9092a0747</errorID>
      <errorWord>生态红线</errorWord>
      <group>L1_Political</group>
      <groupName>政治性问题</groupName>
      <ability>L2_Unpolitical</ability>
      <abilityName>政治敏感错误</abilityName>
      <candidateList>
        <item>生态保护红线</item>
      </candidateList>
      <explain/>
      <paraID>513B6F8E</paraID>
      <start>6</start>
      <end>10</end>
      <status>unmodified</status>
      <modifiedWord/>
      <trackRevisions>false</trackRevisions>
    </reviewItem>
    <reviewItem>
      <errorID>9b3d7ddb-b92d-455c-a3f7-f6d7f36a918b</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7CE030DE</paraID>
      <start>110</start>
      <end>117</end>
      <status>unmodified</status>
      <modifiedWord/>
      <trackRevisions>false</trackRevisions>
    </reviewItem>
    <reviewItem>
      <errorID>bc6403e5-473d-4e2a-a157-e78f9e6faf3a</errorID>
      <errorWord>法律、法规</errorWord>
      <group>L1_Word</group>
      <groupName>字词问题</groupName>
      <ability>L2_Typo</ability>
      <abilityName>字词错误</abilityName>
      <candidateList>
        <item>法律法规</item>
      </candidateList>
      <explain/>
      <paraID> 18541BE</paraID>
      <start>212</start>
      <end>217</end>
      <status>unmodified</status>
      <modifiedWord/>
      <trackRevisions>false</trackRevisions>
    </reviewItem>
    <reviewItem>
      <errorID>b30edc0d-d5a9-4dbc-a41c-753a63a37348</errorID>
      <errorWord>焉耆县</errorWord>
      <group>L1_Knowledge</group>
      <groupName>知识性问题</groupName>
      <ability>L2_Location</ability>
      <abilityName>地名检查</abilityName>
      <candidateList>
        <item>焉耆回族自治县</item>
      </candidateList>
      <explain>自治区州县缩写不规范。《地名管理条例》第十八条规定，标识牌、公共平台发布的信息、各类公文证件、学习类公开出版物、地图、法律法规规定等场景范围内必须使用标准地名。</explain>
      <paraID>3C2DDD7B</paraID>
      <start>48</start>
      <end>51</end>
      <status>unmodified</status>
      <modifiedWord/>
      <trackRevisions>false</trackRevisions>
    </reviewItem>
    <reviewItem>
      <errorID>bc42e5ad-47f7-43b3-a24e-48b07ddaf82a</errorID>
      <errorWord>胶粘剂</errorWord>
      <group>L1_Word</group>
      <groupName>字词问题</groupName>
      <ability>L2_Typo</ability>
      <abilityName>字词错误</abilityName>
      <candidateList>
        <item>胶黏剂</item>
      </candidateList>
      <explain/>
      <paraID> A6896E5</paraID>
      <start>122</start>
      <end>125</end>
      <status>unmodified</status>
      <modifiedWord/>
      <trackRevisions>false</trackRevisions>
    </reviewItem>
    <reviewItem>
      <errorID>1a81ef6e-d287-4a54-b180-668e2fd74571</errorID>
      <errorWord>部令</errorWord>
      <group>L1_Sensitive</group>
      <groupName>敏感问题</groupName>
      <ability>L2_UserSensitive</ability>
      <abilityName>自定义敏感词</abilityName>
      <candidateList/>
      <explain>来自自定义敏感词库。</explain>
      <paraID>656415C6</paraID>
      <start>141</start>
      <end>143</end>
      <status>unmodified</status>
      <modifiedWord/>
      <trackRevisions>false</trackRevisions>
    </reviewItem>
    <reviewItem>
      <errorID>06dea62e-a6dc-4ff0-a6bd-97b44282b5f8</errorID>
      <errorWord>大气污染处理</errorWord>
      <group>L1_Political</group>
      <groupName>政治性问题</groupName>
      <ability>L2_Keyword</ability>
      <abilityName>固定表述</abilityName>
      <candidateList>
        <item>大气污染治理</item>
      </candidateList>
      <explain>词汇“大气污染治理”在特定场景下为固定表述形式，请确认此处的“大气污染处理”是否存在不当。</explain>
      <paraID>42DA8484</paraID>
      <start>178</start>
      <end>184</end>
      <status>unmodified</status>
      <modifiedWord/>
      <trackRevisions>false</trackRevisions>
    </reviewItem>
    <reviewItem>
      <errorID>1b1d01a8-d467-4e53-8144-7ea819bb37f5</errorID>
      <errorWord>程</errorWord>
      <group>L1_Word</group>
      <groupName>字词问题</groupName>
      <ability>L2_Typo</ability>
      <abilityName>字词错误</abilityName>
      <candidateList>
        <item>程中</item>
      </candidateList>
      <explain/>
      <paraID>67A89756</paraID>
      <start>27</start>
      <end>28</end>
      <status>unmodified</status>
      <modifiedWord/>
      <trackRevisions>false</trackRevisions>
    </reviewItem>
    <reviewItem>
      <errorID>d6b46e0a-b9b0-4c60-b95a-c37fd8b9c704</errorID>
      <errorWord>巩固脱贫攻坚成果</errorWord>
      <group>L1_Word</group>
      <groupName>字词问题</groupName>
      <ability>L2_Typo</ability>
      <abilityName>字词错误</abilityName>
      <candidateList>
        <item>巩固拓展脱贫攻坚成果</item>
      </candidateList>
      <explain/>
      <paraID>4251E2ED</paraID>
      <start>50</start>
      <end>58</end>
      <status>unmodified</status>
      <modifiedWord/>
      <trackRevisions>false</trackRevisions>
    </reviewItem>
    <reviewItem>
      <errorID>226a203d-311b-4120-937c-cf1f360e90be</errorID>
      <errorWord>生态环境保护部</errorWord>
      <group>L1_Sensitive</group>
      <groupName>敏感问题</groupName>
      <ability>L2_UserSensitive</ability>
      <abilityName>自定义敏感词</abilityName>
      <candidateList/>
      <explain>来自自定义敏感词库。</explain>
      <paraID>2CEB0099</paraID>
      <start>52</start>
      <end>59</end>
      <status>unmodified</status>
      <modifiedWord/>
      <trackRevisions>false</trackRevisions>
    </reviewItem>
    <reviewItem>
      <errorID>18bdca2c-b19a-4b64-ae61-6981cd222990</errorID>
      <errorWord>法律、法规</errorWord>
      <group>L1_Word</group>
      <groupName>字词问题</groupName>
      <ability>L2_Typo</ability>
      <abilityName>字词错误</abilityName>
      <candidateList>
        <item>法律法规</item>
      </candidateList>
      <explain/>
      <paraID> 768D1B8</paraID>
      <start>63</start>
      <end>68</end>
      <status>unmodified</status>
      <modifiedWord/>
      <trackRevisions>false</trackRevisions>
    </reviewItem>
    <reviewItem>
      <errorID>2f9a0077-c47b-4295-88f7-d1349bc440d0</errorID>
      <errorWord>其它</errorWord>
      <group>L1_Word</group>
      <groupName>字词问题</groupName>
      <ability>L2_Alias</ability>
      <abilityName>也作/曾用词</abilityName>
      <candidateList>
        <item>其他</item>
      </candidateList>
      <explain>词汇[其它]为不规范表述或旧称，其规范书面表述为[其他]。</explain>
      <paraID> DAB94A0</paraID>
      <start>0</start>
      <end>2</end>
      <status>unmodified</status>
      <modifiedWord/>
      <trackRevisions>false</trackRevisions>
    </reviewItem>
    <reviewItem>
      <errorID>5528ba6b-0802-471e-8ce9-548db37e0c71</errorID>
      <errorWord>其它</errorWord>
      <group>L1_Word</group>
      <groupName>字词问题</groupName>
      <ability>L2_Alias</ability>
      <abilityName>也作/曾用词</abilityName>
      <candidateList>
        <item>其他</item>
      </candidateList>
      <explain>词汇[其它]为不规范表述或旧称，其规范书面表述为[其他]。</explain>
      <paraID>19F22BB5</paraID>
      <start>159</start>
      <end>161</end>
      <status>unmodified</status>
      <modifiedWord/>
      <trackRevisions>false</trackRevisions>
    </reviewItem>
    <reviewItem>
      <errorID>fbd1107b-f9de-4360-9625-b48aa442ee39</errorID>
      <errorWord>其它</errorWord>
      <group>L1_Word</group>
      <groupName>字词问题</groupName>
      <ability>L2_Alias</ability>
      <abilityName>也作/曾用词</abilityName>
      <candidateList>
        <item>其他</item>
      </candidateList>
      <explain>词汇[其它]为不规范表述或旧称，其规范书面表述为[其他]。</explain>
      <paraID>  240BD9</paraID>
      <start>159</start>
      <end>161</end>
      <status>unmodified</status>
      <modifiedWord/>
      <trackRevisions>false</trackRevisions>
    </reviewItem>
    <reviewItem>
      <errorID>35ba7f95-7001-4c53-8c16-d0cccd62e7d3</errorID>
      <errorWord>其它</errorWord>
      <group>L1_Word</group>
      <groupName>字词问题</groupName>
      <ability>L2_Alias</ability>
      <abilityName>也作/曾用词</abilityName>
      <candidateList>
        <item>其他</item>
      </candidateList>
      <explain>词汇[其它]为不规范表述或旧称，其规范书面表述为[其他]。</explain>
      <paraID>  240BD9</paraID>
      <start>293</start>
      <end>295</end>
      <status>unmodified</status>
      <modifiedWord/>
      <trackRevisions>false</trackRevisions>
    </reviewItem>
    <reviewItem>
      <errorID>aca4a936-60c7-401a-ad15-2e85b1c5eb4a</errorID>
      <errorWord>部令</errorWord>
      <group>L1_Sensitive</group>
      <groupName>敏感问题</groupName>
      <ability>L2_UserSensitive</ability>
      <abilityName>自定义敏感词</abilityName>
      <candidateList/>
      <explain>来自自定义敏感词库。</explain>
      <paraID>6E8D2B12</paraID>
      <start>74</start>
      <end>76</end>
      <status>unmodified</status>
      <modifiedWord/>
      <trackRevisions>false</trackRevisions>
    </reviewItem>
    <reviewItem>
      <errorID>c9e2ce2d-e6e7-45c6-87f7-67a393084154</errorID>
      <errorWord>后回覆</errorWord>
      <group>L1_Word</group>
      <groupName>字词问题</groupName>
      <ability>L2_Fanti</ability>
      <abilityName>繁转简</abilityName>
      <candidateList>
        <item>后回复</item>
      </candidateList>
      <explain/>
      <paraID>56419251</paraID>
      <start>35</start>
      <end>38</end>
      <status>unmodified</status>
      <modifiedWord/>
      <trackRevisions>false</trackRevisions>
    </reviewItem>
    <reviewItem>
      <errorID>677ab1e1-97a5-4e16-a797-abd69419a19b</errorID>
      <errorWord>交由有</errorWord>
      <group>L1_Word</group>
      <groupName>字词问题</groupName>
      <ability>L2_Typo</ability>
      <abilityName>字词错误</abilityName>
      <candidateList>
        <item>交由</item>
      </candidateList>
      <explain/>
      <paraID> 9F7D7BA</paraID>
      <start>91</start>
      <end>94</end>
      <status>unmodified</status>
      <modifiedWord/>
      <trackRevisions>false</trackRevisions>
    </reviewItem>
    <reviewItem>
      <errorID>e073a434-99ab-4e8b-a6a6-d9487d067475</errorID>
      <errorWord>束</errorWord>
      <group>L1_Word</group>
      <groupName>字词问题</groupName>
      <ability>L2_Typo</ability>
      <abilityName>字词错误</abilityName>
      <candidateList>
        <item>束后</item>
      </candidateList>
      <explain/>
      <paraID>5DA802AE</paraID>
      <start>45</start>
      <end>46</end>
      <status>unmodified</status>
      <modifiedWord/>
      <trackRevisions>false</trackRevisions>
    </reviewItem>
    <reviewItem>
      <errorID>3b23594c-2291-436a-b8ed-db8ea4482682</errorID>
      <errorWord>部令</errorWord>
      <group>L1_Sensitive</group>
      <groupName>敏感问题</groupName>
      <ability>L2_UserSensitive</ability>
      <abilityName>自定义敏感词</abilityName>
      <candidateList/>
      <explain>来自自定义敏感词库。</explain>
      <paraID>12EE4064</paraID>
      <start>290</start>
      <end>292</end>
      <status>unmodified</status>
      <modifiedWord/>
      <trackRevisions>false</trackRevisions>
    </reviewItem>
    <reviewItem>
      <errorID>32c8363c-d0f4-4f27-aaf5-7d995700a000</errorID>
      <errorWord>其它</errorWord>
      <group>L1_Word</group>
      <groupName>字词问题</groupName>
      <ability>L2_Alias</ability>
      <abilityName>也作/曾用词</abilityName>
      <candidateList>
        <item>其他</item>
      </candidateList>
      <explain>词汇[其它]为不规范表述或旧称，其规范书面表述为[其他]。</explain>
      <paraID> F396D49</paraID>
      <start>23</start>
      <end>25</end>
      <status>unmodified</status>
      <modifiedWord/>
      <trackRevisions>false</trackRevisions>
    </reviewItem>
    <reviewItem>
      <errorID>0d607080-a6f8-4e47-9a95-f4fc1e97a667</errorID>
      <errorWord>烦琐</errorWord>
      <group>L1_Word</group>
      <groupName>字词问题</groupName>
      <ability>L2_Typo</ability>
      <abilityName>字词错误</abilityName>
      <candidateList>
        <item>繁琐</item>
      </candidateList>
      <explain>存在发音相同字词的误用。</explain>
      <paraID>6FC4BC8C</paraID>
      <start>50</start>
      <end>52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ffa180-b9cc-4c0e-8ce0-542315fba7d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183</Pages>
  <Words>29513</Words>
  <Characters>30764</Characters>
  <Lines>1</Lines>
  <Paragraphs>1</Paragraphs>
  <TotalTime>2</TotalTime>
  <ScaleCrop>false</ScaleCrop>
  <LinksUpToDate>false</LinksUpToDate>
  <CharactersWithSpaces>30998</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Administrator</cp:lastModifiedBy>
  <cp:lastPrinted>2021-11-24T02:51:00Z</cp:lastPrinted>
  <dcterms:modified xsi:type="dcterms:W3CDTF">2026-09-29T04:03:46Z</dcterms:modified>
  <dc:title>建设项目环境影响报告表</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9C7E7A3FDEF940948256686656018237_13</vt:lpwstr>
  </property>
  <property fmtid="{D5CDD505-2E9C-101B-9397-08002B2CF9AE}" pid="4" name="KSOSaveFontToCloudKey">
    <vt:lpwstr>431138535_btnclosed</vt:lpwstr>
  </property>
  <property fmtid="{D5CDD505-2E9C-101B-9397-08002B2CF9AE}" pid="5" name="KSOTemplateDocerSaveRecord">
    <vt:lpwstr>eyJoZGlkIjoiZGQ3ZjkzOWE3Y2Y4ODM4NzYzMzRiYzQxZTI2ZTI3MjciLCJ1c2VySWQiOiI0MzAwMTQxNzYifQ==</vt:lpwstr>
  </property>
</Properties>
</file>